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85725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100330</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UNDER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4220" w:right="2460" w:hanging="4194"/>
        <w:spacing w:after="0" w:line="399" w:lineRule="auto"/>
        <w:tabs>
          <w:tab w:leader="none" w:pos="694"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UNDER SECTION 13 OR 15(d) OF SECURITIES EXCHANGE ACT OF 1934 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-8890</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Diamondback Energy,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64770</wp:posOffset>
            </wp:positionV>
            <wp:extent cx="282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82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8"/>
              </w:rPr>
              <w:t>DE</w:t>
            </w:r>
          </w:p>
        </w:tc>
        <w:tc>
          <w:tcPr>
            <w:tcW w:w="3640" w:type="dxa"/>
            <w:vAlign w:val="bottom"/>
          </w:tcPr>
          <w:p>
            <w:pPr>
              <w:spacing w:after="0"/>
              <w:rPr>
                <w:sz w:val="18"/>
                <w:szCs w:val="18"/>
                <w:color w:val="auto"/>
              </w:rPr>
            </w:pPr>
          </w:p>
        </w:tc>
        <w:tc>
          <w:tcPr>
            <w:tcW w:w="4080" w:type="dxa"/>
            <w:vAlign w:val="bottom"/>
            <w:gridSpan w:val="2"/>
          </w:tcPr>
          <w:p>
            <w:pPr>
              <w:jc w:val="right"/>
              <w:ind w:right="2006"/>
              <w:spacing w:after="0"/>
              <w:rPr>
                <w:sz w:val="20"/>
                <w:szCs w:val="20"/>
                <w:color w:val="auto"/>
              </w:rPr>
            </w:pPr>
            <w:r>
              <w:rPr>
                <w:rFonts w:ascii="Arial" w:cs="Arial" w:eastAsia="Arial" w:hAnsi="Arial"/>
                <w:sz w:val="16"/>
                <w:szCs w:val="16"/>
                <w:b w:val="1"/>
                <w:bCs w:val="1"/>
                <w:color w:val="auto"/>
              </w:rPr>
              <w:t>45-4502447</w:t>
            </w:r>
          </w:p>
        </w:tc>
        <w:tc>
          <w:tcPr>
            <w:tcW w:w="0" w:type="dxa"/>
            <w:vAlign w:val="bottom"/>
          </w:tcPr>
          <w:p>
            <w:pPr>
              <w:spacing w:after="0"/>
              <w:rPr>
                <w:sz w:val="1"/>
                <w:szCs w:val="1"/>
                <w:color w:val="auto"/>
              </w:rPr>
            </w:pPr>
          </w:p>
        </w:tc>
      </w:tr>
      <w:tr>
        <w:trPr>
          <w:trHeight w:val="399"/>
        </w:trPr>
        <w:tc>
          <w:tcPr>
            <w:tcW w:w="6900" w:type="dxa"/>
            <w:vAlign w:val="bottom"/>
            <w:gridSpan w:val="4"/>
          </w:tcPr>
          <w:p>
            <w:pPr>
              <w:jc w:val="center"/>
              <w:ind w:right="2184"/>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4080" w:type="dxa"/>
            <w:vAlign w:val="bottom"/>
            <w:gridSpan w:val="2"/>
          </w:tcPr>
          <w:p>
            <w:pPr>
              <w:jc w:val="center"/>
              <w:ind w:right="786"/>
              <w:spacing w:after="0"/>
              <w:rPr>
                <w:sz w:val="20"/>
                <w:szCs w:val="20"/>
                <w:color w:val="auto"/>
              </w:rPr>
            </w:pPr>
            <w:r>
              <w:rPr>
                <w:rFonts w:ascii="Arial" w:cs="Arial" w:eastAsia="Arial" w:hAnsi="Arial"/>
                <w:sz w:val="14"/>
                <w:szCs w:val="14"/>
                <w:b w:val="1"/>
                <w:bCs w:val="1"/>
                <w:color w:val="auto"/>
                <w:w w:val="96"/>
              </w:rPr>
              <w:t>(I.R.S. Employer Identification Number)</w:t>
            </w:r>
          </w:p>
        </w:tc>
        <w:tc>
          <w:tcPr>
            <w:tcW w:w="0" w:type="dxa"/>
            <w:vAlign w:val="bottom"/>
          </w:tcPr>
          <w:p>
            <w:pPr>
              <w:spacing w:after="0"/>
              <w:rPr>
                <w:sz w:val="1"/>
                <w:szCs w:val="1"/>
                <w:color w:val="auto"/>
              </w:rPr>
            </w:pPr>
          </w:p>
        </w:tc>
      </w:tr>
      <w:tr>
        <w:trPr>
          <w:trHeight w:val="438"/>
        </w:trPr>
        <w:tc>
          <w:tcPr>
            <w:tcW w:w="3260" w:type="dxa"/>
            <w:vAlign w:val="bottom"/>
            <w:gridSpan w:val="3"/>
          </w:tcPr>
          <w:p>
            <w:pPr>
              <w:jc w:val="center"/>
              <w:ind w:left="1285"/>
              <w:spacing w:after="0"/>
              <w:rPr>
                <w:sz w:val="20"/>
                <w:szCs w:val="20"/>
                <w:color w:val="auto"/>
              </w:rPr>
            </w:pPr>
            <w:r>
              <w:rPr>
                <w:rFonts w:ascii="Arial" w:cs="Arial" w:eastAsia="Arial" w:hAnsi="Arial"/>
                <w:sz w:val="16"/>
                <w:szCs w:val="16"/>
                <w:b w:val="1"/>
                <w:bCs w:val="1"/>
                <w:color w:val="auto"/>
                <w:w w:val="88"/>
              </w:rPr>
              <w:t>500 West Texas</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Suite 1200</w:t>
            </w:r>
          </w:p>
        </w:tc>
        <w:tc>
          <w:tcPr>
            <w:tcW w:w="3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ind w:left="1780"/>
              <w:spacing w:after="0"/>
              <w:rPr>
                <w:sz w:val="20"/>
                <w:szCs w:val="20"/>
                <w:color w:val="auto"/>
              </w:rPr>
            </w:pPr>
            <w:r>
              <w:rPr>
                <w:rFonts w:ascii="Arial" w:cs="Arial" w:eastAsia="Arial" w:hAnsi="Arial"/>
                <w:sz w:val="16"/>
                <w:szCs w:val="16"/>
                <w:b w:val="1"/>
                <w:bCs w:val="1"/>
                <w:color w:val="auto"/>
              </w:rPr>
              <w:t>Midland, TX</w:t>
            </w:r>
          </w:p>
        </w:tc>
        <w:tc>
          <w:tcPr>
            <w:tcW w:w="3640" w:type="dxa"/>
            <w:vAlign w:val="bottom"/>
          </w:tcPr>
          <w:p>
            <w:pPr>
              <w:spacing w:after="0"/>
              <w:rPr>
                <w:sz w:val="18"/>
                <w:szCs w:val="18"/>
                <w:color w:val="auto"/>
              </w:rPr>
            </w:pPr>
          </w:p>
        </w:tc>
        <w:tc>
          <w:tcPr>
            <w:tcW w:w="4080" w:type="dxa"/>
            <w:vAlign w:val="bottom"/>
            <w:gridSpan w:val="2"/>
          </w:tcPr>
          <w:p>
            <w:pPr>
              <w:jc w:val="right"/>
              <w:ind w:right="2206"/>
              <w:spacing w:after="0"/>
              <w:rPr>
                <w:sz w:val="20"/>
                <w:szCs w:val="20"/>
                <w:color w:val="auto"/>
              </w:rPr>
            </w:pPr>
            <w:r>
              <w:rPr>
                <w:rFonts w:ascii="Arial" w:cs="Arial" w:eastAsia="Arial" w:hAnsi="Arial"/>
                <w:sz w:val="16"/>
                <w:szCs w:val="16"/>
                <w:b w:val="1"/>
                <w:bCs w:val="1"/>
                <w:color w:val="auto"/>
              </w:rPr>
              <w:t>79701</w:t>
            </w:r>
          </w:p>
        </w:tc>
        <w:tc>
          <w:tcPr>
            <w:tcW w:w="0" w:type="dxa"/>
            <w:vAlign w:val="bottom"/>
          </w:tcPr>
          <w:p>
            <w:pPr>
              <w:spacing w:after="0"/>
              <w:rPr>
                <w:sz w:val="1"/>
                <w:szCs w:val="1"/>
                <w:color w:val="auto"/>
              </w:rPr>
            </w:pPr>
          </w:p>
        </w:tc>
      </w:tr>
      <w:tr>
        <w:trPr>
          <w:trHeight w:val="399"/>
        </w:trPr>
        <w:tc>
          <w:tcPr>
            <w:tcW w:w="6900" w:type="dxa"/>
            <w:vAlign w:val="bottom"/>
            <w:gridSpan w:val="4"/>
          </w:tcPr>
          <w:p>
            <w:pPr>
              <w:jc w:val="center"/>
              <w:ind w:right="220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spacing w:after="0"/>
              <w:rPr>
                <w:sz w:val="24"/>
                <w:szCs w:val="24"/>
                <w:color w:val="auto"/>
              </w:rPr>
            </w:pPr>
          </w:p>
        </w:tc>
        <w:tc>
          <w:tcPr>
            <w:tcW w:w="2820" w:type="dxa"/>
            <w:vAlign w:val="bottom"/>
          </w:tcPr>
          <w:p>
            <w:pPr>
              <w:jc w:val="center"/>
              <w:ind w:right="2046"/>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539"/>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20" w:type="dxa"/>
            <w:vAlign w:val="bottom"/>
            <w:gridSpan w:val="3"/>
          </w:tcPr>
          <w:p>
            <w:pPr>
              <w:ind w:left="120"/>
              <w:spacing w:after="0"/>
              <w:rPr>
                <w:sz w:val="20"/>
                <w:szCs w:val="20"/>
                <w:color w:val="auto"/>
              </w:rPr>
            </w:pPr>
            <w:r>
              <w:rPr>
                <w:rFonts w:ascii="Arial" w:cs="Arial" w:eastAsia="Arial" w:hAnsi="Arial"/>
                <w:sz w:val="14"/>
                <w:szCs w:val="14"/>
                <w:b w:val="1"/>
                <w:bCs w:val="1"/>
                <w:color w:val="auto"/>
              </w:rPr>
              <w:t xml:space="preserve">(Registrant Telephone Number, Including Area Code): </w:t>
            </w:r>
            <w:r>
              <w:rPr>
                <w:rFonts w:ascii="Arial" w:cs="Arial" w:eastAsia="Arial" w:hAnsi="Arial"/>
                <w:sz w:val="17"/>
                <w:szCs w:val="17"/>
                <w:b w:val="1"/>
                <w:bCs w:val="1"/>
                <w:color w:val="auto"/>
              </w:rPr>
              <w:t>(432) 221-7400</w:t>
            </w:r>
          </w:p>
        </w:tc>
        <w:tc>
          <w:tcPr>
            <w:tcW w:w="0" w:type="dxa"/>
            <w:vAlign w:val="bottom"/>
          </w:tcPr>
          <w:p>
            <w:pPr>
              <w:spacing w:after="0"/>
              <w:rPr>
                <w:sz w:val="1"/>
                <w:szCs w:val="1"/>
                <w:color w:val="auto"/>
              </w:rPr>
            </w:pPr>
          </w:p>
        </w:tc>
      </w:tr>
      <w:tr>
        <w:trPr>
          <w:trHeight w:val="258"/>
        </w:trPr>
        <w:tc>
          <w:tcPr>
            <w:tcW w:w="1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720" w:type="dxa"/>
            <w:vAlign w:val="bottom"/>
            <w:gridSpan w:val="3"/>
          </w:tcPr>
          <w:p>
            <w:pPr>
              <w:jc w:val="center"/>
              <w:ind w:right="280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Title of Each Class</w:t>
            </w:r>
          </w:p>
        </w:tc>
        <w:tc>
          <w:tcPr>
            <w:tcW w:w="3640" w:type="dxa"/>
            <w:vAlign w:val="bottom"/>
          </w:tcPr>
          <w:p>
            <w:pPr>
              <w:jc w:val="center"/>
              <w:ind w:left="904"/>
              <w:spacing w:after="0"/>
              <w:rPr>
                <w:sz w:val="20"/>
                <w:szCs w:val="20"/>
                <w:color w:val="auto"/>
              </w:rPr>
            </w:pPr>
            <w:r>
              <w:rPr>
                <w:rFonts w:ascii="Arial" w:cs="Arial" w:eastAsia="Arial" w:hAnsi="Arial"/>
                <w:sz w:val="16"/>
                <w:szCs w:val="16"/>
                <w:b w:val="1"/>
                <w:bCs w:val="1"/>
                <w:color w:val="auto"/>
                <w:w w:val="92"/>
              </w:rPr>
              <w:t>Trading Symbol(s)</w:t>
            </w:r>
          </w:p>
        </w:tc>
        <w:tc>
          <w:tcPr>
            <w:tcW w:w="126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60" w:type="dxa"/>
            <w:vAlign w:val="bottom"/>
            <w:gridSpan w:val="3"/>
          </w:tcPr>
          <w:p>
            <w:pPr>
              <w:jc w:val="center"/>
              <w:ind w:left="1485"/>
              <w:spacing w:after="0" w:line="155" w:lineRule="exact"/>
              <w:rPr>
                <w:sz w:val="20"/>
                <w:szCs w:val="20"/>
                <w:color w:val="auto"/>
              </w:rPr>
            </w:pPr>
            <w:r>
              <w:rPr>
                <w:rFonts w:ascii="Arial" w:cs="Arial" w:eastAsia="Arial" w:hAnsi="Arial"/>
                <w:sz w:val="14"/>
                <w:szCs w:val="14"/>
                <w:color w:val="auto"/>
                <w:w w:val="93"/>
              </w:rPr>
              <w:t>Common Stock, par value</w:t>
            </w:r>
          </w:p>
        </w:tc>
        <w:tc>
          <w:tcPr>
            <w:tcW w:w="3640" w:type="dxa"/>
            <w:vAlign w:val="bottom"/>
            <w:vMerge w:val="restart"/>
          </w:tcPr>
          <w:p>
            <w:pPr>
              <w:jc w:val="center"/>
              <w:ind w:left="904"/>
              <w:spacing w:after="0"/>
              <w:rPr>
                <w:sz w:val="20"/>
                <w:szCs w:val="20"/>
                <w:color w:val="auto"/>
              </w:rPr>
            </w:pPr>
            <w:r>
              <w:rPr>
                <w:rFonts w:ascii="Arial" w:cs="Arial" w:eastAsia="Arial" w:hAnsi="Arial"/>
                <w:sz w:val="16"/>
                <w:szCs w:val="16"/>
                <w:color w:val="auto"/>
                <w:w w:val="94"/>
              </w:rPr>
              <w:t>FANG</w:t>
            </w:r>
          </w:p>
        </w:tc>
        <w:tc>
          <w:tcPr>
            <w:tcW w:w="1260" w:type="dxa"/>
            <w:vAlign w:val="bottom"/>
          </w:tcPr>
          <w:p>
            <w:pPr>
              <w:spacing w:after="0"/>
              <w:rPr>
                <w:sz w:val="13"/>
                <w:szCs w:val="13"/>
                <w:color w:val="auto"/>
              </w:rPr>
            </w:pPr>
          </w:p>
        </w:tc>
        <w:tc>
          <w:tcPr>
            <w:tcW w:w="2820" w:type="dxa"/>
            <w:vAlign w:val="bottom"/>
            <w:vMerge w:val="restart"/>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$0.01 per share</w:t>
            </w:r>
          </w:p>
        </w:tc>
        <w:tc>
          <w:tcPr>
            <w:tcW w:w="36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96"/>
              </w:rPr>
              <w:t>(NASDAQ Global Select Market)</w:t>
            </w:r>
          </w:p>
        </w:tc>
        <w:tc>
          <w:tcPr>
            <w:tcW w:w="0" w:type="dxa"/>
            <w:vAlign w:val="bottom"/>
          </w:tcPr>
          <w:p>
            <w:pPr>
              <w:spacing w:after="0"/>
              <w:rPr>
                <w:sz w:val="1"/>
                <w:szCs w:val="1"/>
                <w:color w:val="auto"/>
              </w:rPr>
            </w:pPr>
          </w:p>
        </w:tc>
      </w:tr>
      <w:tr>
        <w:trPr>
          <w:trHeight w:val="186"/>
        </w:trPr>
        <w:tc>
          <w:tcPr>
            <w:tcW w:w="1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720" w:type="dxa"/>
            <w:vAlign w:val="bottom"/>
            <w:gridSpan w:val="3"/>
          </w:tcPr>
          <w:p>
            <w:pPr>
              <w:jc w:val="center"/>
              <w:ind w:right="2806"/>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228"/>
        </w:trPr>
        <w:tc>
          <w:tcPr>
            <w:tcW w:w="690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4080" w:type="dxa"/>
            <w:vAlign w:val="bottom"/>
            <w:gridSpan w:val="2"/>
          </w:tcPr>
          <w:p>
            <w:pPr>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23"/>
        </w:trPr>
        <w:tc>
          <w:tcPr>
            <w:tcW w:w="690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4080" w:type="dxa"/>
            <w:vAlign w:val="bottom"/>
            <w:gridSpan w:val="2"/>
          </w:tcPr>
          <w:p>
            <w:pPr>
              <w:ind w:left="120"/>
              <w:spacing w:after="0" w:line="188" w:lineRule="exact"/>
              <w:rPr>
                <w:sz w:val="20"/>
                <w:szCs w:val="20"/>
                <w:color w:val="auto"/>
              </w:rPr>
            </w:pPr>
            <w:r>
              <w:rPr>
                <w:rFonts w:ascii="Arial" w:cs="Arial" w:eastAsia="Arial" w:hAnsi="Arial"/>
                <w:sz w:val="14"/>
                <w:szCs w:val="14"/>
                <w:color w:val="auto"/>
              </w:rPr>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ind w:right="20"/>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6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720" w:type="dxa"/>
            <w:vAlign w:val="bottom"/>
          </w:tcPr>
          <w:p>
            <w:pPr>
              <w:ind w:left="238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189"/>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316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720" w:type="dxa"/>
            <w:vAlign w:val="bottom"/>
          </w:tcPr>
          <w:p>
            <w:pPr>
              <w:ind w:left="238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26"/>
        </w:trPr>
        <w:tc>
          <w:tcPr>
            <w:tcW w:w="20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720" w:type="dxa"/>
            <w:vAlign w:val="bottom"/>
          </w:tcPr>
          <w:p>
            <w:pPr>
              <w:ind w:left="238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58"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ind w:right="20"/>
        <w:spacing w:after="0" w:line="201"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w:t>
      </w:r>
      <w:r>
        <w:rPr>
          <w:rFonts w:ascii="Arial Unicode MS" w:cs="Arial Unicode MS" w:eastAsia="Arial Unicode MS" w:hAnsi="Arial Unicode MS"/>
          <w:sz w:val="14"/>
          <w:szCs w:val="14"/>
          <w:color w:val="auto"/>
        </w:rPr>
        <w:t>ﬀ</w:t>
      </w:r>
      <w:r>
        <w:rPr>
          <w:rFonts w:ascii="Arial" w:cs="Arial" w:eastAsia="Arial" w:hAnsi="Arial"/>
          <w:sz w:val="14"/>
          <w:szCs w:val="14"/>
          <w:color w:val="auto"/>
        </w:rPr>
        <w:t xml:space="preserve">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spacing w:after="0" w:line="188"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Aggregate market value of the voting and non-voting common equity held by non-affiliates of registrant as of June 30, 2021 was approximately $16.9 billion.</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18, 2022, 177,414,969 shares of the registrant’s common stock were outstanding.</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jc w:val="center"/>
        <w:ind w:right="80"/>
        <w:spacing w:after="0"/>
        <w:rPr>
          <w:sz w:val="20"/>
          <w:szCs w:val="20"/>
          <w:color w:val="auto"/>
        </w:rPr>
      </w:pPr>
      <w:r>
        <w:rPr>
          <w:rFonts w:ascii="Arial" w:cs="Arial" w:eastAsia="Arial" w:hAnsi="Arial"/>
          <w:sz w:val="13"/>
          <w:szCs w:val="13"/>
          <w:color w:val="auto"/>
        </w:rPr>
        <w:t>Portions of Diamondback Energy, Inc.’s Proxy Statement for the 2022 Annual Meeting of Stockholders are incorporated by reference in Items 10, 11, 12, 13 and 14 of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0"/>
              </w:rPr>
              <w:t>Page</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0000FF"/>
            </w:tcBorders>
            <w:gridSpan w:val="13"/>
            <w:shd w:val="clear" w:color="auto" w:fill="CCEEFF"/>
          </w:tcPr>
          <w:p>
            <w:pPr>
              <w:spacing w:after="0" w:line="149" w:lineRule="exact"/>
              <w:rPr>
                <w:rFonts w:ascii="Arial" w:cs="Arial" w:eastAsia="Arial" w:hAnsi="Arial"/>
                <w:sz w:val="17"/>
                <w:szCs w:val="17"/>
                <w:color w:val="0000FF"/>
                <w:w w:val="95"/>
              </w:rPr>
            </w:pPr>
            <w:hyperlink w:anchor="page2">
              <w:r>
                <w:rPr>
                  <w:rFonts w:ascii="Arial" w:cs="Arial" w:eastAsia="Arial" w:hAnsi="Arial"/>
                  <w:sz w:val="17"/>
                  <w:szCs w:val="17"/>
                  <w:color w:val="0000FF"/>
                  <w:w w:val="95"/>
                </w:rPr>
                <w:t>Glossary of Oil and Natural Gas Terms</w:t>
              </w:r>
            </w:hyperlink>
          </w:p>
        </w:tc>
        <w:tc>
          <w:tcPr>
            <w:tcW w:w="6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center"/>
              <w:ind w:right="280"/>
              <w:spacing w:after="0" w:line="169" w:lineRule="exact"/>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60" w:type="dxa"/>
            <w:vAlign w:val="bottom"/>
            <w:gridSpan w:val="32"/>
          </w:tcPr>
          <w:p>
            <w:pPr>
              <w:spacing w:after="0" w:line="183" w:lineRule="exact"/>
              <w:rPr>
                <w:rFonts w:ascii="Arial" w:cs="Arial" w:eastAsia="Arial" w:hAnsi="Arial"/>
                <w:sz w:val="18"/>
                <w:szCs w:val="18"/>
                <w:color w:val="0000FF"/>
              </w:rPr>
            </w:pPr>
            <w:hyperlink w:anchor="page5">
              <w:r>
                <w:rPr>
                  <w:rFonts w:ascii="Arial" w:cs="Arial" w:eastAsia="Arial" w:hAnsi="Arial"/>
                  <w:sz w:val="18"/>
                  <w:szCs w:val="18"/>
                  <w:color w:val="0000FF"/>
                </w:rPr>
                <w:t>Glossary of Certain Other Terms</w:t>
              </w:r>
            </w:hyperlink>
          </w:p>
        </w:tc>
        <w:tc>
          <w:tcPr>
            <w:tcW w:w="280" w:type="dxa"/>
            <w:vAlign w:val="bottom"/>
          </w:tcPr>
          <w:p>
            <w:pPr>
              <w:spacing w:after="0"/>
              <w:rPr>
                <w:sz w:val="15"/>
                <w:szCs w:val="15"/>
                <w:color w:val="auto"/>
              </w:rPr>
            </w:pPr>
          </w:p>
        </w:tc>
        <w:tc>
          <w:tcPr>
            <w:tcW w:w="380" w:type="dxa"/>
            <w:vAlign w:val="bottom"/>
            <w:gridSpan w:val="3"/>
          </w:tcPr>
          <w:p>
            <w:pPr>
              <w:jc w:val="center"/>
              <w:ind w:right="260"/>
              <w:spacing w:after="0" w:line="183"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iv</w:t>
              </w:r>
            </w:hyperlink>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32"/>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Cautionary Statement Regarding Forward-Looking Statements</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8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v</w:t>
              </w:r>
            </w:hyperlink>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gridSpan w:val="11"/>
            <w:shd w:val="clear" w:color="auto" w:fill="CCEEFF"/>
          </w:tcPr>
          <w:p>
            <w:pPr>
              <w:jc w:val="center"/>
              <w:ind w:right="4620"/>
              <w:spacing w:after="0" w:line="189" w:lineRule="exact"/>
              <w:rPr>
                <w:rFonts w:ascii="Arial" w:cs="Arial" w:eastAsia="Arial" w:hAnsi="Arial"/>
                <w:sz w:val="18"/>
                <w:szCs w:val="18"/>
                <w:b w:val="1"/>
                <w:bCs w:val="1"/>
                <w:color w:val="0000FF"/>
                <w:w w:val="98"/>
              </w:rPr>
            </w:pPr>
            <w:hyperlink w:anchor="page7">
              <w:r>
                <w:rPr>
                  <w:rFonts w:ascii="Arial" w:cs="Arial" w:eastAsia="Arial" w:hAnsi="Arial"/>
                  <w:sz w:val="18"/>
                  <w:szCs w:val="18"/>
                  <w:b w:val="1"/>
                  <w:bCs w:val="1"/>
                  <w:color w:val="0000FF"/>
                  <w:w w:val="98"/>
                </w:rPr>
                <w:t>PART I</w:t>
              </w:r>
            </w:hyperlink>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320" w:type="dxa"/>
            <w:vAlign w:val="bottom"/>
            <w:tcBorders>
              <w:top w:val="single" w:sz="8" w:color="CCEEFF"/>
            </w:tcBorders>
            <w:gridSpan w:val="22"/>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Items 1 and 2. Business and Properties</w:t>
              </w:r>
            </w:hyperlink>
          </w:p>
        </w:tc>
        <w:tc>
          <w:tcPr>
            <w:tcW w:w="580" w:type="dxa"/>
            <w:vAlign w:val="bottom"/>
            <w:tcBorders>
              <w:top w:val="single" w:sz="8" w:color="0000FF"/>
            </w:tcBorders>
            <w:gridSpan w:val="2"/>
          </w:tcPr>
          <w:p>
            <w:pPr>
              <w:spacing w:after="0"/>
              <w:rPr>
                <w:sz w:val="16"/>
                <w:szCs w:val="16"/>
                <w:color w:val="auto"/>
              </w:rPr>
            </w:pPr>
          </w:p>
        </w:tc>
        <w:tc>
          <w:tcPr>
            <w:tcW w:w="4660" w:type="dxa"/>
            <w:vAlign w:val="bottom"/>
            <w:tcBorders>
              <w:top w:val="single" w:sz="8" w:color="CCEEFF"/>
            </w:tcBorders>
            <w:gridSpan w:val="8"/>
          </w:tcPr>
          <w:p>
            <w:pPr>
              <w:spacing w:after="0"/>
              <w:rPr>
                <w:sz w:val="16"/>
                <w:szCs w:val="16"/>
                <w:color w:val="auto"/>
              </w:rPr>
            </w:pPr>
          </w:p>
        </w:tc>
        <w:tc>
          <w:tcPr>
            <w:tcW w:w="380" w:type="dxa"/>
            <w:vAlign w:val="bottom"/>
            <w:tcBorders>
              <w:top w:val="single" w:sz="8" w:color="CCEEFF"/>
            </w:tcBorders>
            <w:gridSpan w:val="2"/>
          </w:tcPr>
          <w:p>
            <w:pPr>
              <w:jc w:val="center"/>
              <w:ind w:left="190"/>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1</w:t>
              </w:r>
            </w:hyperlink>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0000FF"/>
            </w:tcBorders>
            <w:gridSpan w:val="2"/>
            <w:shd w:val="clear" w:color="auto" w:fill="CCEEFF"/>
          </w:tcPr>
          <w:p>
            <w:pPr>
              <w:spacing w:after="0" w:line="182" w:lineRule="exact"/>
              <w:rPr>
                <w:rFonts w:ascii="Arial" w:cs="Arial" w:eastAsia="Arial" w:hAnsi="Arial"/>
                <w:sz w:val="18"/>
                <w:szCs w:val="18"/>
                <w:color w:val="0000FF"/>
                <w:w w:val="91"/>
              </w:rPr>
            </w:pPr>
            <w:hyperlink w:anchor="page33">
              <w:r>
                <w:rPr>
                  <w:rFonts w:ascii="Arial" w:cs="Arial" w:eastAsia="Arial" w:hAnsi="Arial"/>
                  <w:sz w:val="18"/>
                  <w:szCs w:val="18"/>
                  <w:color w:val="0000FF"/>
                  <w:w w:val="91"/>
                </w:rPr>
                <w:t>Item 1A. Risk Factors</w:t>
              </w:r>
            </w:hyperlink>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right w:val="single" w:sz="8" w:color="CCEEFF"/>
            </w:tcBorders>
            <w:gridSpan w:val="3"/>
            <w:shd w:val="clear" w:color="auto" w:fill="CCEEFF"/>
          </w:tcPr>
          <w:p>
            <w:pPr>
              <w:jc w:val="center"/>
              <w:ind w:left="110"/>
              <w:spacing w:after="0" w:line="196"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27</w:t>
              </w:r>
            </w:hyperlink>
          </w:p>
        </w:tc>
        <w:tc>
          <w:tcPr>
            <w:tcW w:w="200" w:type="dxa"/>
            <w:vAlign w:val="bottom"/>
            <w:tcBorders>
              <w:bottom w:val="single" w:sz="8" w:color="CCEEFF"/>
            </w:tcBorders>
            <w:shd w:val="clear" w:color="auto" w:fill="CCEEFF"/>
          </w:tcPr>
          <w:p>
            <w:pPr>
              <w:spacing w:after="0"/>
              <w:rPr>
                <w:sz w:val="19"/>
                <w:szCs w:val="19"/>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80" w:type="dxa"/>
            <w:vAlign w:val="bottom"/>
            <w:tcBorders>
              <w:top w:val="single" w:sz="8" w:color="CCEEFF"/>
              <w:right w:val="single" w:sz="8" w:color="0000FF"/>
            </w:tcBorders>
            <w:shd w:val="clear" w:color="auto" w:fill="0000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0560" w:type="dxa"/>
            <w:vAlign w:val="bottom"/>
            <w:gridSpan w:val="32"/>
          </w:tcPr>
          <w:p>
            <w:pPr>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Item 1B. Unresolved Staff Comments</w:t>
              </w:r>
            </w:hyperlink>
          </w:p>
        </w:tc>
        <w:tc>
          <w:tcPr>
            <w:tcW w:w="460" w:type="dxa"/>
            <w:vAlign w:val="bottom"/>
            <w:gridSpan w:val="3"/>
          </w:tcPr>
          <w:p>
            <w:pPr>
              <w:jc w:val="center"/>
              <w:ind w:left="110"/>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44</w:t>
              </w:r>
            </w:hyperlink>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00" w:type="dxa"/>
            <w:vAlign w:val="bottom"/>
            <w:gridSpan w:val="3"/>
            <w:shd w:val="clear" w:color="auto" w:fill="CCEEFF"/>
          </w:tcPr>
          <w:p>
            <w:pPr>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Item 3. Legal Proceedings</w:t>
              </w:r>
            </w:hyperlink>
          </w:p>
        </w:tc>
        <w:tc>
          <w:tcPr>
            <w:tcW w:w="8660" w:type="dxa"/>
            <w:vAlign w:val="bottom"/>
            <w:gridSpan w:val="29"/>
            <w:shd w:val="clear" w:color="auto" w:fill="CCEEFF"/>
          </w:tcPr>
          <w:p>
            <w:pPr>
              <w:spacing w:after="0"/>
              <w:rPr>
                <w:sz w:val="16"/>
                <w:szCs w:val="16"/>
                <w:color w:val="auto"/>
              </w:rPr>
            </w:pPr>
          </w:p>
        </w:tc>
        <w:tc>
          <w:tcPr>
            <w:tcW w:w="460" w:type="dxa"/>
            <w:vAlign w:val="bottom"/>
            <w:tcBorders>
              <w:right w:val="single" w:sz="8" w:color="CCEEFF"/>
            </w:tcBorders>
            <w:gridSpan w:val="3"/>
            <w:shd w:val="clear" w:color="auto" w:fill="CCEEFF"/>
          </w:tcPr>
          <w:p>
            <w:pPr>
              <w:jc w:val="center"/>
              <w:ind w:left="110"/>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44</w:t>
              </w:r>
            </w:hyperlink>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60" w:type="dxa"/>
            <w:vAlign w:val="bottom"/>
            <w:gridSpan w:val="32"/>
          </w:tcPr>
          <w:p>
            <w:pPr>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Item 4. Mine Safety Disclosures</w:t>
              </w:r>
            </w:hyperlink>
          </w:p>
        </w:tc>
        <w:tc>
          <w:tcPr>
            <w:tcW w:w="460" w:type="dxa"/>
            <w:vAlign w:val="bottom"/>
            <w:gridSpan w:val="3"/>
          </w:tcPr>
          <w:p>
            <w:pPr>
              <w:jc w:val="center"/>
              <w:ind w:left="110"/>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44</w:t>
              </w:r>
            </w:hyperlink>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20" w:type="dxa"/>
            <w:vAlign w:val="bottom"/>
            <w:gridSpan w:val="12"/>
          </w:tcPr>
          <w:p>
            <w:pPr>
              <w:jc w:val="center"/>
              <w:ind w:right="4580"/>
              <w:spacing w:after="0" w:line="189" w:lineRule="exact"/>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PART II</w:t>
              </w:r>
            </w:hyperlink>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20" w:type="dxa"/>
            <w:vAlign w:val="bottom"/>
            <w:gridSpan w:val="31"/>
            <w:shd w:val="clear" w:color="auto" w:fill="CCEEFF"/>
          </w:tcPr>
          <w:p>
            <w:pPr>
              <w:spacing w:after="0" w:line="189"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Item 5. Market for Registrant's Common Equity, Related Stockholder Matters and Issuer Purchases of Equity Securities</w:t>
              </w:r>
            </w:hyperlink>
          </w:p>
        </w:tc>
        <w:tc>
          <w:tcPr>
            <w:tcW w:w="1940" w:type="dxa"/>
            <w:vAlign w:val="bottom"/>
            <w:shd w:val="clear" w:color="auto" w:fill="CCEEFF"/>
          </w:tcPr>
          <w:p>
            <w:pPr>
              <w:spacing w:after="0"/>
              <w:rPr>
                <w:sz w:val="16"/>
                <w:szCs w:val="16"/>
                <w:color w:val="auto"/>
              </w:rPr>
            </w:pPr>
          </w:p>
        </w:tc>
        <w:tc>
          <w:tcPr>
            <w:tcW w:w="460" w:type="dxa"/>
            <w:vAlign w:val="bottom"/>
            <w:tcBorders>
              <w:right w:val="single" w:sz="8" w:color="CCEEFF"/>
            </w:tcBorders>
            <w:gridSpan w:val="3"/>
            <w:shd w:val="clear" w:color="auto" w:fill="CCEEFF"/>
          </w:tcPr>
          <w:p>
            <w:pPr>
              <w:jc w:val="center"/>
              <w:ind w:left="110"/>
              <w:spacing w:after="0" w:line="189"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45</w:t>
              </w:r>
            </w:hyperlink>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20" w:type="dxa"/>
            <w:vAlign w:val="bottom"/>
            <w:gridSpan w:val="31"/>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Item 6. Selected Financial Data</w:t>
              </w:r>
            </w:hyperlink>
          </w:p>
        </w:tc>
        <w:tc>
          <w:tcPr>
            <w:tcW w:w="1940" w:type="dxa"/>
            <w:vAlign w:val="bottom"/>
          </w:tcPr>
          <w:p>
            <w:pPr>
              <w:spacing w:after="0"/>
              <w:rPr>
                <w:sz w:val="16"/>
                <w:szCs w:val="16"/>
                <w:color w:val="auto"/>
              </w:rPr>
            </w:pPr>
          </w:p>
        </w:tc>
        <w:tc>
          <w:tcPr>
            <w:tcW w:w="460" w:type="dxa"/>
            <w:vAlign w:val="bottom"/>
            <w:gridSpan w:val="3"/>
          </w:tcPr>
          <w:p>
            <w:pPr>
              <w:jc w:val="center"/>
              <w:ind w:left="110"/>
              <w:spacing w:after="0" w:line="189"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45</w:t>
              </w:r>
            </w:hyperlink>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000" w:type="dxa"/>
            <w:vAlign w:val="bottom"/>
            <w:gridSpan w:val="28"/>
            <w:shd w:val="clear" w:color="auto" w:fill="CCEEFF"/>
          </w:tcPr>
          <w:p>
            <w:pPr>
              <w:spacing w:after="0" w:line="189"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Item 7. Management's Discussion and Analysis of Financial Condition and Results of Operations</w:t>
              </w:r>
            </w:hyperlink>
          </w:p>
        </w:tc>
        <w:tc>
          <w:tcPr>
            <w:tcW w:w="3560" w:type="dxa"/>
            <w:vAlign w:val="bottom"/>
            <w:gridSpan w:val="4"/>
            <w:shd w:val="clear" w:color="auto" w:fill="CCEEFF"/>
          </w:tcPr>
          <w:p>
            <w:pPr>
              <w:spacing w:after="0"/>
              <w:rPr>
                <w:sz w:val="16"/>
                <w:szCs w:val="16"/>
                <w:color w:val="auto"/>
              </w:rPr>
            </w:pPr>
          </w:p>
        </w:tc>
        <w:tc>
          <w:tcPr>
            <w:tcW w:w="460" w:type="dxa"/>
            <w:vAlign w:val="bottom"/>
            <w:tcBorders>
              <w:right w:val="single" w:sz="8" w:color="CCEEFF"/>
            </w:tcBorders>
            <w:gridSpan w:val="3"/>
            <w:shd w:val="clear" w:color="auto" w:fill="CCEEFF"/>
          </w:tcPr>
          <w:p>
            <w:pPr>
              <w:jc w:val="center"/>
              <w:ind w:left="110"/>
              <w:spacing w:after="0" w:line="189"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46</w:t>
              </w:r>
            </w:hyperlink>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28"/>
          </w:tcPr>
          <w:p>
            <w:pPr>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Item 7A. Quantitative and Qualitative Disclosures about Market Risk</w:t>
              </w:r>
            </w:hyperlink>
          </w:p>
        </w:tc>
        <w:tc>
          <w:tcPr>
            <w:tcW w:w="3560" w:type="dxa"/>
            <w:vAlign w:val="bottom"/>
            <w:gridSpan w:val="4"/>
          </w:tcPr>
          <w:p>
            <w:pPr>
              <w:spacing w:after="0"/>
              <w:rPr>
                <w:sz w:val="16"/>
                <w:szCs w:val="16"/>
                <w:color w:val="auto"/>
              </w:rPr>
            </w:pPr>
          </w:p>
        </w:tc>
        <w:tc>
          <w:tcPr>
            <w:tcW w:w="460" w:type="dxa"/>
            <w:vAlign w:val="bottom"/>
            <w:gridSpan w:val="3"/>
          </w:tcPr>
          <w:p>
            <w:pPr>
              <w:jc w:val="center"/>
              <w:ind w:left="110"/>
              <w:spacing w:after="0" w:line="189"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63</w:t>
              </w:r>
            </w:hyperlink>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60" w:type="dxa"/>
            <w:vAlign w:val="bottom"/>
            <w:gridSpan w:val="32"/>
            <w:shd w:val="clear" w:color="auto" w:fill="CCEEFF"/>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8. Financial Statements and Supplementary Data</w:t>
              </w:r>
            </w:hyperlink>
          </w:p>
        </w:tc>
        <w:tc>
          <w:tcPr>
            <w:tcW w:w="460" w:type="dxa"/>
            <w:vAlign w:val="bottom"/>
            <w:tcBorders>
              <w:right w:val="single" w:sz="8" w:color="CCEEFF"/>
            </w:tcBorders>
            <w:gridSpan w:val="3"/>
            <w:shd w:val="clear" w:color="auto" w:fill="CCEEFF"/>
          </w:tcPr>
          <w:p>
            <w:pPr>
              <w:jc w:val="center"/>
              <w:ind w:left="11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64</w:t>
              </w:r>
            </w:hyperlink>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60" w:type="dxa"/>
            <w:vAlign w:val="bottom"/>
            <w:gridSpan w:val="32"/>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Item 9. Changes in and Disagreements with Accountants on Accounting and Financial Disclosure</w:t>
              </w:r>
            </w:hyperlink>
          </w:p>
        </w:tc>
        <w:tc>
          <w:tcPr>
            <w:tcW w:w="460" w:type="dxa"/>
            <w:vAlign w:val="bottom"/>
            <w:gridSpan w:val="3"/>
          </w:tcPr>
          <w:p>
            <w:pPr>
              <w:jc w:val="center"/>
              <w:ind w:left="11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64</w:t>
              </w:r>
            </w:hyperlink>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60" w:type="dxa"/>
            <w:vAlign w:val="bottom"/>
            <w:gridSpan w:val="10"/>
            <w:shd w:val="clear" w:color="auto" w:fill="CCEEFF"/>
          </w:tcPr>
          <w:p>
            <w:pPr>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Item 9A. Controls and Procedures</w:t>
              </w:r>
            </w:hyperlink>
          </w:p>
        </w:tc>
        <w:tc>
          <w:tcPr>
            <w:tcW w:w="8100" w:type="dxa"/>
            <w:vAlign w:val="bottom"/>
            <w:gridSpan w:val="22"/>
            <w:shd w:val="clear" w:color="auto" w:fill="CCEEFF"/>
          </w:tcPr>
          <w:p>
            <w:pPr>
              <w:spacing w:after="0"/>
              <w:rPr>
                <w:sz w:val="16"/>
                <w:szCs w:val="16"/>
                <w:color w:val="auto"/>
              </w:rPr>
            </w:pPr>
          </w:p>
        </w:tc>
        <w:tc>
          <w:tcPr>
            <w:tcW w:w="460" w:type="dxa"/>
            <w:vAlign w:val="bottom"/>
            <w:tcBorders>
              <w:right w:val="single" w:sz="8" w:color="CCEEFF"/>
            </w:tcBorders>
            <w:gridSpan w:val="3"/>
            <w:shd w:val="clear" w:color="auto" w:fill="CCEEFF"/>
          </w:tcPr>
          <w:p>
            <w:pPr>
              <w:jc w:val="center"/>
              <w:ind w:left="11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65</w:t>
              </w:r>
            </w:hyperlink>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gridSpan w:val="10"/>
          </w:tcPr>
          <w:p>
            <w:pPr>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Item 9B. Other Information</w:t>
              </w:r>
            </w:hyperlink>
          </w:p>
        </w:tc>
        <w:tc>
          <w:tcPr>
            <w:tcW w:w="8100" w:type="dxa"/>
            <w:vAlign w:val="bottom"/>
            <w:gridSpan w:val="22"/>
          </w:tcPr>
          <w:p>
            <w:pPr>
              <w:spacing w:after="0"/>
              <w:rPr>
                <w:sz w:val="16"/>
                <w:szCs w:val="16"/>
                <w:color w:val="auto"/>
              </w:rPr>
            </w:pPr>
          </w:p>
        </w:tc>
        <w:tc>
          <w:tcPr>
            <w:tcW w:w="460" w:type="dxa"/>
            <w:vAlign w:val="bottom"/>
            <w:gridSpan w:val="3"/>
          </w:tcPr>
          <w:p>
            <w:pPr>
              <w:jc w:val="center"/>
              <w:ind w:left="110"/>
              <w:spacing w:after="0" w:line="189"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68</w:t>
              </w:r>
            </w:hyperlink>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32"/>
            <w:shd w:val="clear" w:color="auto" w:fill="CCEEFF"/>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Item 9C. Disclosure Regarding Foreign Jurisdictions that Prevent Inspections</w:t>
              </w:r>
            </w:hyperlink>
          </w:p>
        </w:tc>
        <w:tc>
          <w:tcPr>
            <w:tcW w:w="460" w:type="dxa"/>
            <w:vAlign w:val="bottom"/>
            <w:tcBorders>
              <w:right w:val="single" w:sz="8" w:color="CCEEFF"/>
            </w:tcBorders>
            <w:gridSpan w:val="3"/>
            <w:shd w:val="clear" w:color="auto" w:fill="CCEEFF"/>
          </w:tcPr>
          <w:p>
            <w:pPr>
              <w:jc w:val="center"/>
              <w:ind w:left="11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68</w:t>
              </w:r>
            </w:hyperlink>
          </w:p>
        </w:tc>
        <w:tc>
          <w:tcPr>
            <w:tcW w:w="20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8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20" w:type="dxa"/>
            <w:vAlign w:val="bottom"/>
            <w:gridSpan w:val="12"/>
            <w:shd w:val="clear" w:color="auto" w:fill="CCEEFF"/>
          </w:tcPr>
          <w:p>
            <w:pPr>
              <w:jc w:val="center"/>
              <w:ind w:right="4600"/>
              <w:spacing w:after="0" w:line="189" w:lineRule="exact"/>
              <w:rPr>
                <w:rFonts w:ascii="Arial" w:cs="Arial" w:eastAsia="Arial" w:hAnsi="Arial"/>
                <w:sz w:val="18"/>
                <w:szCs w:val="18"/>
                <w:b w:val="1"/>
                <w:bCs w:val="1"/>
                <w:color w:val="0000FF"/>
              </w:rPr>
            </w:pPr>
            <w:hyperlink w:anchor="page75">
              <w:r>
                <w:rPr>
                  <w:rFonts w:ascii="Arial" w:cs="Arial" w:eastAsia="Arial" w:hAnsi="Arial"/>
                  <w:sz w:val="18"/>
                  <w:szCs w:val="18"/>
                  <w:b w:val="1"/>
                  <w:bCs w:val="1"/>
                  <w:color w:val="0000FF"/>
                </w:rPr>
                <w:t>PART III</w:t>
              </w:r>
            </w:hyperlink>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40" w:type="dxa"/>
            <w:vAlign w:val="bottom"/>
            <w:tcBorders>
              <w:top w:val="single" w:sz="8" w:color="CCEEFF"/>
            </w:tcBorders>
            <w:gridSpan w:val="20"/>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Item 10. Directors, Executive Officers and Corporate Governance</w:t>
              </w:r>
            </w:hyperlink>
          </w:p>
        </w:tc>
        <w:tc>
          <w:tcPr>
            <w:tcW w:w="720" w:type="dxa"/>
            <w:vAlign w:val="bottom"/>
            <w:tcBorders>
              <w:top w:val="single" w:sz="8" w:color="0000FF"/>
            </w:tcBorders>
            <w:gridSpan w:val="6"/>
          </w:tcPr>
          <w:p>
            <w:pPr>
              <w:spacing w:after="0"/>
              <w:rPr>
                <w:sz w:val="16"/>
                <w:szCs w:val="16"/>
                <w:color w:val="auto"/>
              </w:rPr>
            </w:pPr>
          </w:p>
        </w:tc>
        <w:tc>
          <w:tcPr>
            <w:tcW w:w="4600" w:type="dxa"/>
            <w:vAlign w:val="bottom"/>
            <w:tcBorders>
              <w:top w:val="single" w:sz="8" w:color="CCEEFF"/>
            </w:tcBorders>
            <w:gridSpan w:val="6"/>
          </w:tcPr>
          <w:p>
            <w:pPr>
              <w:spacing w:after="0"/>
              <w:rPr>
                <w:sz w:val="16"/>
                <w:szCs w:val="16"/>
                <w:color w:val="auto"/>
              </w:rPr>
            </w:pPr>
          </w:p>
        </w:tc>
        <w:tc>
          <w:tcPr>
            <w:tcW w:w="460" w:type="dxa"/>
            <w:vAlign w:val="bottom"/>
            <w:tcBorders>
              <w:top w:val="single" w:sz="8" w:color="CCEEFF"/>
            </w:tcBorders>
            <w:gridSpan w:val="3"/>
          </w:tcPr>
          <w:p>
            <w:pPr>
              <w:jc w:val="center"/>
              <w:ind w:left="11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68</w:t>
              </w:r>
            </w:hyperlink>
          </w:p>
        </w:tc>
        <w:tc>
          <w:tcPr>
            <w:tcW w:w="20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60" w:type="dxa"/>
            <w:vAlign w:val="bottom"/>
            <w:gridSpan w:val="32"/>
            <w:shd w:val="clear" w:color="auto" w:fill="CCEEFF"/>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Item 11. Executive Compensation</w:t>
              </w:r>
            </w:hyperlink>
          </w:p>
        </w:tc>
        <w:tc>
          <w:tcPr>
            <w:tcW w:w="460" w:type="dxa"/>
            <w:vAlign w:val="bottom"/>
            <w:tcBorders>
              <w:right w:val="single" w:sz="8" w:color="CCEEFF"/>
            </w:tcBorders>
            <w:gridSpan w:val="3"/>
            <w:shd w:val="clear" w:color="auto" w:fill="CCEEFF"/>
          </w:tcPr>
          <w:p>
            <w:pPr>
              <w:jc w:val="center"/>
              <w:ind w:left="11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68</w:t>
              </w:r>
            </w:hyperlink>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60" w:type="dxa"/>
            <w:vAlign w:val="bottom"/>
            <w:gridSpan w:val="32"/>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Item 12. Security Ownership of Certain Beneficial Owners and Management and Related Stockholder Matters</w:t>
              </w:r>
            </w:hyperlink>
          </w:p>
        </w:tc>
        <w:tc>
          <w:tcPr>
            <w:tcW w:w="460" w:type="dxa"/>
            <w:vAlign w:val="bottom"/>
            <w:gridSpan w:val="3"/>
          </w:tcPr>
          <w:p>
            <w:pPr>
              <w:jc w:val="center"/>
              <w:ind w:left="11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68</w:t>
              </w:r>
            </w:hyperlink>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60" w:type="dxa"/>
            <w:vAlign w:val="bottom"/>
            <w:gridSpan w:val="32"/>
            <w:shd w:val="clear" w:color="auto" w:fill="CCEEFF"/>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Item 13. Certain Relationships and Related Transactions, and Director Independence</w:t>
              </w:r>
            </w:hyperlink>
          </w:p>
        </w:tc>
        <w:tc>
          <w:tcPr>
            <w:tcW w:w="460" w:type="dxa"/>
            <w:vAlign w:val="bottom"/>
            <w:tcBorders>
              <w:right w:val="single" w:sz="8" w:color="CCEEFF"/>
            </w:tcBorders>
            <w:gridSpan w:val="3"/>
            <w:shd w:val="clear" w:color="auto" w:fill="CCEEFF"/>
          </w:tcPr>
          <w:p>
            <w:pPr>
              <w:jc w:val="center"/>
              <w:ind w:left="11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68</w:t>
              </w:r>
            </w:hyperlink>
          </w:p>
        </w:tc>
        <w:tc>
          <w:tcPr>
            <w:tcW w:w="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27"/>
          </w:tcPr>
          <w:p>
            <w:pPr>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Item 14. Principal Accountant Fees and Services</w:t>
              </w:r>
            </w:hyperlink>
          </w:p>
        </w:tc>
        <w:tc>
          <w:tcPr>
            <w:tcW w:w="4460" w:type="dxa"/>
            <w:vAlign w:val="bottom"/>
            <w:gridSpan w:val="5"/>
          </w:tcPr>
          <w:p>
            <w:pPr>
              <w:spacing w:after="0"/>
              <w:rPr>
                <w:sz w:val="16"/>
                <w:szCs w:val="16"/>
                <w:color w:val="auto"/>
              </w:rPr>
            </w:pPr>
          </w:p>
        </w:tc>
        <w:tc>
          <w:tcPr>
            <w:tcW w:w="460" w:type="dxa"/>
            <w:vAlign w:val="bottom"/>
            <w:gridSpan w:val="3"/>
          </w:tcPr>
          <w:p>
            <w:pPr>
              <w:jc w:val="center"/>
              <w:ind w:left="110"/>
              <w:spacing w:after="0" w:line="189"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69</w:t>
              </w:r>
            </w:hyperlink>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20" w:type="dxa"/>
            <w:vAlign w:val="bottom"/>
            <w:gridSpan w:val="12"/>
          </w:tcPr>
          <w:p>
            <w:pPr>
              <w:jc w:val="center"/>
              <w:ind w:right="4600"/>
              <w:spacing w:after="0" w:line="189" w:lineRule="exact"/>
              <w:rPr>
                <w:rFonts w:ascii="Arial" w:cs="Arial" w:eastAsia="Arial" w:hAnsi="Arial"/>
                <w:sz w:val="18"/>
                <w:szCs w:val="18"/>
                <w:b w:val="1"/>
                <w:bCs w:val="1"/>
                <w:color w:val="0000FF"/>
              </w:rPr>
            </w:pPr>
            <w:hyperlink w:anchor="page76">
              <w:r>
                <w:rPr>
                  <w:rFonts w:ascii="Arial" w:cs="Arial" w:eastAsia="Arial" w:hAnsi="Arial"/>
                  <w:sz w:val="18"/>
                  <w:szCs w:val="18"/>
                  <w:b w:val="1"/>
                  <w:bCs w:val="1"/>
                  <w:color w:val="0000FF"/>
                </w:rPr>
                <w:t>PART IV</w:t>
              </w:r>
            </w:hyperlink>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60" w:type="dxa"/>
            <w:vAlign w:val="bottom"/>
            <w:gridSpan w:val="32"/>
            <w:shd w:val="clear" w:color="auto" w:fill="CCEEFF"/>
          </w:tcPr>
          <w:p>
            <w:pPr>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Item 15. Exhibits and Financial Statement Schedules</w:t>
              </w:r>
            </w:hyperlink>
          </w:p>
        </w:tc>
        <w:tc>
          <w:tcPr>
            <w:tcW w:w="460" w:type="dxa"/>
            <w:vAlign w:val="bottom"/>
            <w:tcBorders>
              <w:right w:val="single" w:sz="8" w:color="CCEEFF"/>
            </w:tcBorders>
            <w:gridSpan w:val="3"/>
            <w:shd w:val="clear" w:color="auto" w:fill="CCEEFF"/>
          </w:tcPr>
          <w:p>
            <w:pPr>
              <w:jc w:val="center"/>
              <w:ind w:left="110"/>
              <w:spacing w:after="0" w:line="189"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70</w:t>
              </w:r>
            </w:hyperlink>
          </w:p>
        </w:tc>
        <w:tc>
          <w:tcPr>
            <w:tcW w:w="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gridSpan w:val="15"/>
          </w:tcPr>
          <w:p>
            <w:pPr>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Item 16. Form 10-K Summary</w:t>
              </w:r>
            </w:hyperlink>
          </w:p>
        </w:tc>
        <w:tc>
          <w:tcPr>
            <w:tcW w:w="6760" w:type="dxa"/>
            <w:vAlign w:val="bottom"/>
            <w:gridSpan w:val="17"/>
          </w:tcPr>
          <w:p>
            <w:pPr>
              <w:spacing w:after="0"/>
              <w:rPr>
                <w:sz w:val="16"/>
                <w:szCs w:val="16"/>
                <w:color w:val="auto"/>
              </w:rPr>
            </w:pPr>
          </w:p>
        </w:tc>
        <w:tc>
          <w:tcPr>
            <w:tcW w:w="460" w:type="dxa"/>
            <w:vAlign w:val="bottom"/>
            <w:gridSpan w:val="3"/>
          </w:tcPr>
          <w:p>
            <w:pPr>
              <w:jc w:val="center"/>
              <w:ind w:left="110"/>
              <w:spacing w:after="0" w:line="189"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74</w:t>
              </w:r>
            </w:hyperlink>
          </w:p>
        </w:tc>
        <w:tc>
          <w:tcPr>
            <w:tcW w:w="2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32"/>
            <w:shd w:val="clear" w:color="auto" w:fill="CCEEFF"/>
          </w:tcPr>
          <w:p>
            <w:pPr>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Signatures</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00"/>
              <w:spacing w:after="0"/>
              <w:rPr>
                <w:rFonts w:ascii="Arial" w:cs="Arial" w:eastAsia="Arial" w:hAnsi="Arial"/>
                <w:sz w:val="16"/>
                <w:szCs w:val="16"/>
                <w:color w:val="0000FF"/>
                <w:w w:val="72"/>
              </w:rPr>
            </w:pPr>
            <w:r>
              <w:rPr>
                <w:rFonts w:ascii="Arial" w:cs="Arial" w:eastAsia="Arial" w:hAnsi="Arial"/>
                <w:sz w:val="16"/>
                <w:szCs w:val="16"/>
                <w:color w:val="0000FF"/>
                <w:w w:val="72"/>
              </w:rPr>
              <w:t>S-</w:t>
            </w:r>
            <w:hyperlink w:anchor="page81">
              <w:r>
                <w:rPr>
                  <w:rFonts w:ascii="Arial" w:cs="Arial" w:eastAsia="Arial" w:hAnsi="Arial"/>
                  <w:sz w:val="16"/>
                  <w:szCs w:val="16"/>
                  <w:color w:val="0000FF"/>
                  <w:w w:val="72"/>
                </w:rPr>
                <w:t>1</w:t>
              </w:r>
            </w:hyperlink>
          </w:p>
        </w:tc>
      </w:tr>
      <w:tr>
        <w:trPr>
          <w:trHeight w:val="1087"/>
        </w:trPr>
        <w:tc>
          <w:tcPr>
            <w:tcW w:w="20" w:type="dxa"/>
            <w:vAlign w:val="bottom"/>
            <w:tcBorders>
              <w:top w:val="single" w:sz="8" w:color="CCEE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19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GLOSSARY OF OIL AND NATURAL GAS TERMS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glossary of certain oil and natural gas industry terms used in this Annual Report on Form 10-K, which we refer to as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or this report: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7"/>
                <w:szCs w:val="17"/>
                <w:color w:val="auto"/>
              </w:rPr>
              <w:t>3-D seismic</w:t>
            </w:r>
          </w:p>
        </w:tc>
        <w:tc>
          <w:tcPr>
            <w:tcW w:w="8240" w:type="dxa"/>
            <w:vAlign w:val="bottom"/>
            <w:tcBorders>
              <w:top w:val="single" w:sz="8" w:color="auto"/>
            </w:tcBorders>
            <w:shd w:val="clear" w:color="auto" w:fill="CCEEFF"/>
          </w:tcPr>
          <w:p>
            <w:pPr>
              <w:ind w:left="380"/>
              <w:spacing w:after="0" w:line="176" w:lineRule="exact"/>
              <w:rPr>
                <w:sz w:val="20"/>
                <w:szCs w:val="20"/>
                <w:color w:val="auto"/>
              </w:rPr>
            </w:pPr>
            <w:r>
              <w:rPr>
                <w:rFonts w:ascii="Arial" w:cs="Arial" w:eastAsia="Arial" w:hAnsi="Arial"/>
                <w:sz w:val="17"/>
                <w:szCs w:val="17"/>
                <w:color w:val="auto"/>
                <w:w w:val="95"/>
              </w:rPr>
              <w:t>Geophysical data that depict the subsurface strata in three dimensions. 3-D seismic typically provides a more</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detailed and accurate interpretation of the subsurface strata than 2-D, or two-dimensional, seismic.</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Basin</w:t>
            </w:r>
          </w:p>
        </w:tc>
        <w:tc>
          <w:tcPr>
            <w:tcW w:w="8240" w:type="dxa"/>
            <w:vAlign w:val="bottom"/>
          </w:tcPr>
          <w:p>
            <w:pPr>
              <w:ind w:left="380"/>
              <w:spacing w:after="0"/>
              <w:rPr>
                <w:sz w:val="20"/>
                <w:szCs w:val="20"/>
                <w:color w:val="auto"/>
              </w:rPr>
            </w:pPr>
            <w:r>
              <w:rPr>
                <w:rFonts w:ascii="Arial" w:cs="Arial" w:eastAsia="Arial" w:hAnsi="Arial"/>
                <w:sz w:val="17"/>
                <w:szCs w:val="17"/>
                <w:color w:val="auto"/>
              </w:rPr>
              <w:t>A large depression on the earth’s surface in which sediments accumulate.</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Bbl or barrel</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2"/>
              </w:rPr>
              <w:t>One stock tank barrel, or 42 U.S. gallons liquid volume, used in this report in reference to crude oil or other liquid</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hydrocarbons.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BOE</w:t>
            </w:r>
          </w:p>
        </w:tc>
        <w:tc>
          <w:tcPr>
            <w:tcW w:w="8240" w:type="dxa"/>
            <w:vAlign w:val="bottom"/>
          </w:tcPr>
          <w:p>
            <w:pPr>
              <w:ind w:left="380"/>
              <w:spacing w:after="0"/>
              <w:rPr>
                <w:sz w:val="20"/>
                <w:szCs w:val="20"/>
                <w:color w:val="auto"/>
              </w:rPr>
            </w:pPr>
            <w:r>
              <w:rPr>
                <w:rFonts w:ascii="Arial" w:cs="Arial" w:eastAsia="Arial" w:hAnsi="Arial"/>
                <w:sz w:val="17"/>
                <w:szCs w:val="17"/>
                <w:color w:val="auto"/>
                <w:w w:val="97"/>
              </w:rPr>
              <w:t>One barrel of oil equivalent, with six thousand cubic feet of natural gas being equivalent to one barrel of oil.</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BOE/d</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Barrels of oil equivalent per day.</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Brent</w:t>
            </w:r>
          </w:p>
        </w:tc>
        <w:tc>
          <w:tcPr>
            <w:tcW w:w="8240" w:type="dxa"/>
            <w:vAlign w:val="bottom"/>
            <w:vMerge w:val="restart"/>
          </w:tcPr>
          <w:p>
            <w:pPr>
              <w:ind w:left="380"/>
              <w:spacing w:after="0"/>
              <w:rPr>
                <w:sz w:val="20"/>
                <w:szCs w:val="20"/>
                <w:color w:val="auto"/>
              </w:rPr>
            </w:pPr>
            <w:r>
              <w:rPr>
                <w:rFonts w:ascii="Arial" w:cs="Arial" w:eastAsia="Arial" w:hAnsi="Arial"/>
                <w:sz w:val="17"/>
                <w:szCs w:val="17"/>
                <w:color w:val="auto"/>
              </w:rPr>
              <w:t>Brent sweet light crude oil.</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8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British Thermal Unit or BTU</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Completion</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5"/>
              </w:rPr>
              <w:t>The process of treating a drilled well followed by the installation of permanent equipment for the production of</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natural gas or oil, or in the case of a dry hole, the reporting of abandonment to the appropriate agency.</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Condensate</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Liquid hydrocarbons associated with the production that is primarily natural gas.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Crude oil</w:t>
            </w:r>
          </w:p>
        </w:tc>
        <w:tc>
          <w:tcPr>
            <w:tcW w:w="8240" w:type="dxa"/>
            <w:vAlign w:val="bottom"/>
          </w:tcPr>
          <w:p>
            <w:pPr>
              <w:ind w:left="380"/>
              <w:spacing w:after="0"/>
              <w:rPr>
                <w:sz w:val="20"/>
                <w:szCs w:val="20"/>
                <w:color w:val="auto"/>
              </w:rPr>
            </w:pPr>
            <w:r>
              <w:rPr>
                <w:rFonts w:ascii="Arial" w:cs="Arial" w:eastAsia="Arial" w:hAnsi="Arial"/>
                <w:sz w:val="17"/>
                <w:szCs w:val="17"/>
                <w:color w:val="auto"/>
              </w:rPr>
              <w:t>Liquid hydrocarbons retrieved from geological structures underground to be refined into fuel sources.</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acreage</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Acreage assignable to productive wells.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Development costs</w:t>
            </w:r>
          </w:p>
        </w:tc>
        <w:tc>
          <w:tcPr>
            <w:tcW w:w="8240" w:type="dxa"/>
            <w:vAlign w:val="bottom"/>
          </w:tcPr>
          <w:p>
            <w:pPr>
              <w:ind w:left="380"/>
              <w:spacing w:after="0"/>
              <w:rPr>
                <w:sz w:val="20"/>
                <w:szCs w:val="20"/>
                <w:color w:val="auto"/>
              </w:rPr>
            </w:pPr>
            <w:r>
              <w:rPr>
                <w:rFonts w:ascii="Arial" w:cs="Arial" w:eastAsia="Arial" w:hAnsi="Arial"/>
                <w:sz w:val="17"/>
                <w:szCs w:val="17"/>
                <w:color w:val="auto"/>
                <w:w w:val="97"/>
              </w:rPr>
              <w:t>Capital costs incurred in the acquisition, exploitation and exploration of proved oil and natural gas reserves.</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Differential</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3"/>
              </w:rPr>
              <w:t>An adjustment to the price of oil or natural gas from an established spot market price to reflect differences in the</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quality and/or location of oil or natural gas.</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Dry hole or dry well</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3"/>
              </w:rPr>
              <w:t>A well found to be incapable of producing hydrocarbons in sufficient quantities such that proceeds from the sale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of such production exceed production expenses and taxes.</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Estimated Ultimate Recovery or EUR</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2"/>
              </w:rPr>
              <w:t>Estimated ultimate recovery is the sum of reserves remaining as of a given date and cumulative production as of</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that date.</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Exploitation</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6"/>
              </w:rPr>
              <w:t>A development or other project which may target proven or unproven reserves (such as probable or possible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reserves), but which generally has a lower risk than that associated with exploration projects.</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Field</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9"/>
              </w:rPr>
              <w:t>An area consisting of either a single reservoir or multiple reservoirs, all grouped on or related to the same</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individual geological structural feature and/or stratigraphic condition.</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Finding and development costs</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7"/>
              </w:rPr>
              <w:t>Capital costs incurred in the acquisition, exploitation and exploration of proved oil and natural gas reserves</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divided by proved reserve additions and revisions to proved reserves.</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Fracturing</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2"/>
              </w:rPr>
              <w:t>The process of creating and preserving a fracture or system of fractures in a reservoir rock typically by injecting a</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fluid under pressure through a wellbore and into the targeted formation.</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Gross acres or gross wells</w:t>
            </w:r>
          </w:p>
        </w:tc>
        <w:tc>
          <w:tcPr>
            <w:tcW w:w="8240" w:type="dxa"/>
            <w:vAlign w:val="bottom"/>
          </w:tcPr>
          <w:p>
            <w:pPr>
              <w:ind w:left="380"/>
              <w:spacing w:after="0"/>
              <w:rPr>
                <w:sz w:val="20"/>
                <w:szCs w:val="20"/>
                <w:color w:val="auto"/>
              </w:rPr>
            </w:pPr>
            <w:r>
              <w:rPr>
                <w:rFonts w:ascii="Arial" w:cs="Arial" w:eastAsia="Arial" w:hAnsi="Arial"/>
                <w:sz w:val="17"/>
                <w:szCs w:val="17"/>
                <w:color w:val="auto"/>
              </w:rPr>
              <w:t>The total acres or wells, as the case may be, in which a working interest is owned.</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Horizontal drilling</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w w:val="93"/>
              </w:rPr>
              <w:t>A drilling technique used in certain formations where a well is drilled vertically to a certain depth and then drilled</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at a right angle with a specified interval.</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Horizontal wells</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7"/>
              </w:rPr>
              <w:t>Wells drilled directionally horizontal to allow for development of structures not reachable through traditional</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vertical drilling mechanisms.</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MBbls</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One thousand barrels of crude oil or other liquid hydrocarbons.</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Arial" w:cs="Arial" w:eastAsia="Arial" w:hAnsi="Arial"/>
                <w:sz w:val="17"/>
                <w:szCs w:val="17"/>
                <w:color w:val="auto"/>
              </w:rPr>
              <w:t>MBOE</w:t>
            </w:r>
          </w:p>
        </w:tc>
        <w:tc>
          <w:tcPr>
            <w:tcW w:w="8240" w:type="dxa"/>
            <w:vAlign w:val="bottom"/>
          </w:tcPr>
          <w:p>
            <w:pPr>
              <w:ind w:left="380"/>
              <w:spacing w:after="0" w:line="162" w:lineRule="exact"/>
              <w:rPr>
                <w:sz w:val="20"/>
                <w:szCs w:val="20"/>
                <w:color w:val="auto"/>
              </w:rPr>
            </w:pPr>
            <w:r>
              <w:rPr>
                <w:rFonts w:ascii="Arial" w:cs="Arial" w:eastAsia="Arial" w:hAnsi="Arial"/>
                <w:sz w:val="17"/>
                <w:szCs w:val="17"/>
                <w:color w:val="auto"/>
                <w:w w:val="96"/>
              </w:rPr>
              <w:t>One thousand barrels of crude oil equivalent, determined using a ratio of six Mcf of natural gas to one Bbl of</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Arial" w:cs="Arial" w:eastAsia="Arial" w:hAnsi="Arial"/>
                <w:sz w:val="17"/>
                <w:szCs w:val="17"/>
                <w:color w:val="auto"/>
              </w:rPr>
              <w:t>crude oil, condensate or natural gas liquids.</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Mcf</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One thousand cubic feet of natural gas.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Mcf/d</w:t>
            </w:r>
          </w:p>
        </w:tc>
        <w:tc>
          <w:tcPr>
            <w:tcW w:w="8240" w:type="dxa"/>
            <w:vAlign w:val="bottom"/>
          </w:tcPr>
          <w:p>
            <w:pPr>
              <w:ind w:left="380"/>
              <w:spacing w:after="0"/>
              <w:rPr>
                <w:sz w:val="20"/>
                <w:szCs w:val="20"/>
                <w:color w:val="auto"/>
              </w:rPr>
            </w:pPr>
            <w:r>
              <w:rPr>
                <w:rFonts w:ascii="Arial" w:cs="Arial" w:eastAsia="Arial" w:hAnsi="Arial"/>
                <w:sz w:val="17"/>
                <w:szCs w:val="17"/>
                <w:color w:val="auto"/>
              </w:rPr>
              <w:t>One thousand cubic feet of natural gas per day.</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Mineral interests</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rPr>
              <w:t>The interests in ownership of the resource and mineral rights, giving an owner the right to profit from the</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extracted resources.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MMBtu</w:t>
            </w:r>
          </w:p>
        </w:tc>
        <w:tc>
          <w:tcPr>
            <w:tcW w:w="8240" w:type="dxa"/>
            <w:vAlign w:val="bottom"/>
          </w:tcPr>
          <w:p>
            <w:pPr>
              <w:ind w:left="380"/>
              <w:spacing w:after="0"/>
              <w:rPr>
                <w:sz w:val="20"/>
                <w:szCs w:val="20"/>
                <w:color w:val="auto"/>
              </w:rPr>
            </w:pPr>
            <w:r>
              <w:rPr>
                <w:rFonts w:ascii="Arial" w:cs="Arial" w:eastAsia="Arial" w:hAnsi="Arial"/>
                <w:sz w:val="17"/>
                <w:szCs w:val="17"/>
                <w:color w:val="auto"/>
              </w:rPr>
              <w:t>One million British Thermal Units.</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MMcf</w:t>
            </w: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Million cubic feet of natural gas.</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Net acres or net wells</w:t>
            </w:r>
          </w:p>
        </w:tc>
        <w:tc>
          <w:tcPr>
            <w:tcW w:w="8240" w:type="dxa"/>
            <w:vAlign w:val="bottom"/>
          </w:tcPr>
          <w:p>
            <w:pPr>
              <w:ind w:left="380"/>
              <w:spacing w:after="0"/>
              <w:rPr>
                <w:sz w:val="20"/>
                <w:szCs w:val="20"/>
                <w:color w:val="auto"/>
              </w:rPr>
            </w:pPr>
            <w:r>
              <w:rPr>
                <w:rFonts w:ascii="Arial" w:cs="Arial" w:eastAsia="Arial" w:hAnsi="Arial"/>
                <w:sz w:val="17"/>
                <w:szCs w:val="17"/>
                <w:color w:val="auto"/>
              </w:rPr>
              <w:t>The sum of the fractional working interest owned in gross acres.</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Net revenue interest</w:t>
            </w:r>
          </w:p>
        </w:tc>
        <w:tc>
          <w:tcPr>
            <w:tcW w:w="8240" w:type="dxa"/>
            <w:vAlign w:val="bottom"/>
            <w:shd w:val="clear" w:color="auto" w:fill="CCEEFF"/>
          </w:tcPr>
          <w:p>
            <w:pPr>
              <w:ind w:left="380"/>
              <w:spacing w:after="0" w:line="162" w:lineRule="exact"/>
              <w:rPr>
                <w:sz w:val="20"/>
                <w:szCs w:val="20"/>
                <w:color w:val="auto"/>
              </w:rPr>
            </w:pPr>
            <w:r>
              <w:rPr>
                <w:rFonts w:ascii="Arial" w:cs="Arial" w:eastAsia="Arial" w:hAnsi="Arial"/>
                <w:sz w:val="17"/>
                <w:szCs w:val="17"/>
                <w:color w:val="auto"/>
              </w:rPr>
              <w:t>An owner’s interest in the revenues of a well after deducting proceeds allocated to royalty and overriding</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2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interests.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Net royalty acres</w:t>
            </w:r>
          </w:p>
        </w:tc>
        <w:tc>
          <w:tcPr>
            <w:tcW w:w="8520" w:type="dxa"/>
            <w:vAlign w:val="bottom"/>
            <w:tcBorders>
              <w:top w:val="single" w:sz="8" w:color="auto"/>
            </w:tcBorders>
          </w:tcPr>
          <w:p>
            <w:pPr>
              <w:ind w:left="660"/>
              <w:spacing w:after="0"/>
              <w:rPr>
                <w:sz w:val="20"/>
                <w:szCs w:val="20"/>
                <w:color w:val="auto"/>
              </w:rPr>
            </w:pPr>
            <w:r>
              <w:rPr>
                <w:rFonts w:ascii="Arial" w:cs="Arial" w:eastAsia="Arial" w:hAnsi="Arial"/>
                <w:sz w:val="17"/>
                <w:szCs w:val="17"/>
                <w:color w:val="auto"/>
              </w:rPr>
              <w:t>Gross acreage multiplied by the average royalty interest.</w:t>
            </w: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Oil and natural gas properties</w:t>
            </w: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Tracts of land consisting of properties to be developed for oil and natural gas resource extraction.</w:t>
            </w:r>
          </w:p>
        </w:tc>
      </w:tr>
      <w:tr>
        <w:trPr>
          <w:trHeight w:val="216"/>
        </w:trPr>
        <w:tc>
          <w:tcPr>
            <w:tcW w:w="2720" w:type="dxa"/>
            <w:vAlign w:val="bottom"/>
          </w:tcPr>
          <w:p>
            <w:pPr>
              <w:ind w:left="20"/>
              <w:spacing w:after="0"/>
              <w:rPr>
                <w:sz w:val="20"/>
                <w:szCs w:val="20"/>
                <w:color w:val="auto"/>
              </w:rPr>
            </w:pPr>
            <w:r>
              <w:rPr>
                <w:rFonts w:ascii="Arial" w:cs="Arial" w:eastAsia="Arial" w:hAnsi="Arial"/>
                <w:sz w:val="17"/>
                <w:szCs w:val="17"/>
                <w:color w:val="auto"/>
              </w:rPr>
              <w:t>Operator</w:t>
            </w:r>
          </w:p>
        </w:tc>
        <w:tc>
          <w:tcPr>
            <w:tcW w:w="8520" w:type="dxa"/>
            <w:vAlign w:val="bottom"/>
          </w:tcPr>
          <w:p>
            <w:pPr>
              <w:ind w:left="660"/>
              <w:spacing w:after="0"/>
              <w:rPr>
                <w:sz w:val="20"/>
                <w:szCs w:val="20"/>
                <w:color w:val="auto"/>
              </w:rPr>
            </w:pPr>
            <w:r>
              <w:rPr>
                <w:rFonts w:ascii="Arial" w:cs="Arial" w:eastAsia="Arial" w:hAnsi="Arial"/>
                <w:sz w:val="17"/>
                <w:szCs w:val="17"/>
                <w:color w:val="auto"/>
                <w:w w:val="92"/>
              </w:rPr>
              <w:t>The individual or company responsible for the exploration and/or production of an oil or natural gas well or lease.</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Play</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3"/>
              </w:rPr>
              <w:t>A set of discovered or prospective oil and/or natural gas accumulations sharing similar geologic, geographic and</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2"/>
              </w:rPr>
              <w:t>temporal properties, such as source rock, reservoir structure, timing, trapping mechanism and hydrocarbon type.</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Plugging and abandonment</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6"/>
              </w:rPr>
              <w:t>Refers to the sealing off of fluids in the strata penetrated by a well so that the fluids from one stratum will not</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escape into another or to the surface. Regulations of all states require plugging of abandoned wells.</w:t>
            </w: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PUD</w:t>
            </w: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Proved undeveloped reserves.</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Productive well</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8"/>
              </w:rPr>
              <w:t>A well that is found to be mechanically capable of producing hydrocarbons in sufficient quantities such that</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proceeds from the sale of the production exceed production expenses and taxes.</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Prospect</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2"/>
              </w:rPr>
              <w:t>A specific geographic area which, based on supporting geological, geophysical or other data and also preliminary</w:t>
            </w:r>
          </w:p>
        </w:tc>
      </w:tr>
      <w:tr>
        <w:trPr>
          <w:trHeight w:val="162"/>
        </w:trPr>
        <w:tc>
          <w:tcPr>
            <w:tcW w:w="2720" w:type="dxa"/>
            <w:vAlign w:val="bottom"/>
            <w:shd w:val="clear" w:color="auto" w:fill="CCEEFF"/>
          </w:tcPr>
          <w:p>
            <w:pPr>
              <w:spacing w:after="0"/>
              <w:rPr>
                <w:sz w:val="14"/>
                <w:szCs w:val="14"/>
                <w:color w:val="auto"/>
              </w:rPr>
            </w:pP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1"/>
              </w:rPr>
              <w:t>economic analysis using reasonably anticipated prices and costs, is deemed to have potential for the discovery of</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commercial hydrocarbons.</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Proved developed reserves</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6"/>
              </w:rPr>
              <w:t>Reserves that can be expected to be recovered through existing wells with existing equipment and operating</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methods.</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Proved reserves</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9"/>
              </w:rPr>
              <w:t>The estimated quantities of oil, natural gas and natural gas liquids which geological and engineering data</w:t>
            </w:r>
          </w:p>
        </w:tc>
      </w:tr>
      <w:tr>
        <w:trPr>
          <w:trHeight w:val="162"/>
        </w:trPr>
        <w:tc>
          <w:tcPr>
            <w:tcW w:w="2720" w:type="dxa"/>
            <w:vAlign w:val="bottom"/>
            <w:shd w:val="clear" w:color="auto" w:fill="CCEEFF"/>
          </w:tcPr>
          <w:p>
            <w:pPr>
              <w:spacing w:after="0"/>
              <w:rPr>
                <w:sz w:val="14"/>
                <w:szCs w:val="14"/>
                <w:color w:val="auto"/>
              </w:rPr>
            </w:pP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6"/>
              </w:rPr>
              <w:t>demonstrate with reasonable certainty to be commercially recoverable in future years from known reservoirs</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under existing economic and operating conditions.</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Proved undeveloped reserves</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5"/>
              </w:rPr>
              <w:t>Proved reserves that are expected to be recovered from new wells on undrilled acreage or from existing wells</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where a relatively major expenditure is required for recompletion.</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Recompletion</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6"/>
              </w:rPr>
              <w:t>The process of re-entering an existing wellbore that is either producing or not producing and completing new</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reservoirs in an attempt to establish or increase existing production.</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Reserves</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6"/>
              </w:rPr>
              <w:t>Reserves are estimated remaining quantities of oil and natural gas and related substances anticipated to be</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4"/>
              </w:rPr>
              <w:t>economically producible, as of a given date, by application of development projects to known accumulations. In</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1"/>
              </w:rPr>
              <w:t>addition, there must exist, or there must be a reasonable expectation that there will exist, the legal right to produce</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3"/>
              </w:rPr>
              <w:t>or a revenue interest in the production, installed means of delivering oil and natural gas or related substances to</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3"/>
              </w:rPr>
              <w:t>the market and all permits and financing required to implement the project. Reserves should not be assigned to</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1"/>
              </w:rPr>
              <w:t>adjacent reservoirs isolated by major, potentially sealing, faults until those reservoirs are penetrated and evaluated</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3"/>
              </w:rPr>
              <w:t>as economically producible. Reserves should not be assigned to areas that are clearly separated from a known</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3"/>
              </w:rPr>
              <w:t>accumulation by a non-productive reservoir (i.e., absence of reservoir, structurally low reservoir or negative test</w:t>
            </w:r>
          </w:p>
        </w:tc>
      </w:tr>
      <w:tr>
        <w:trPr>
          <w:trHeight w:val="162"/>
        </w:trPr>
        <w:tc>
          <w:tcPr>
            <w:tcW w:w="2720" w:type="dxa"/>
            <w:vAlign w:val="bottom"/>
          </w:tcPr>
          <w:p>
            <w:pPr>
              <w:spacing w:after="0"/>
              <w:rPr>
                <w:sz w:val="14"/>
                <w:szCs w:val="14"/>
                <w:color w:val="auto"/>
              </w:rPr>
            </w:pP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1"/>
              </w:rPr>
              <w:t>results). Such areas may contain prospective resources (i.e., potentially recoverable resources from undiscovered</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accumulations).</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Reservoir</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6"/>
              </w:rPr>
              <w:t>A porous and permeable underground formation containing a natural accumulation of producible natural gas</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6"/>
              </w:rPr>
              <w:t>and/or crude oil that is confined by impermeable rock or water barriers and is separate from other reservoirs.</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Resource play</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3"/>
              </w:rPr>
              <w:t>A set of discovered or prospective oil and/or natural gas accumulations sharing similar geologic, geographic and</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w w:val="92"/>
              </w:rPr>
              <w:t>temporal properties, such as source rock, reservoir structure, timing, trapping mechanism and hydrocarbon type.</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Royalty interest</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2"/>
              </w:rPr>
              <w:t>An interest that gives an owner the right to receive a portion of the resources or revenues without having to carry</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any costs of development, which may be subject to expiration.</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Spacing</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1"/>
              </w:rPr>
              <w:t>The distance between wells producing from the same reservoir. Spacing is often expressed in terms of acres (e.g.,</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rPr>
              <w:t>40-acre spacing) and is often established by regulatory agencies.</w:t>
            </w: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Tight formation</w:t>
            </w: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7"/>
              </w:rPr>
              <w:t>A formation with low permeability that produces natural gas with very low flow rates for long periods of time.</w:t>
            </w:r>
          </w:p>
        </w:tc>
      </w:tr>
      <w:tr>
        <w:trPr>
          <w:trHeight w:val="162"/>
        </w:trPr>
        <w:tc>
          <w:tcPr>
            <w:tcW w:w="2720" w:type="dxa"/>
            <w:vAlign w:val="bottom"/>
          </w:tcPr>
          <w:p>
            <w:pPr>
              <w:ind w:left="20"/>
              <w:spacing w:after="0" w:line="162" w:lineRule="exact"/>
              <w:rPr>
                <w:sz w:val="20"/>
                <w:szCs w:val="20"/>
                <w:color w:val="auto"/>
              </w:rPr>
            </w:pPr>
            <w:r>
              <w:rPr>
                <w:rFonts w:ascii="Arial" w:cs="Arial" w:eastAsia="Arial" w:hAnsi="Arial"/>
                <w:sz w:val="17"/>
                <w:szCs w:val="17"/>
                <w:color w:val="auto"/>
              </w:rPr>
              <w:t>Undeveloped acreage</w:t>
            </w:r>
          </w:p>
        </w:tc>
        <w:tc>
          <w:tcPr>
            <w:tcW w:w="8520" w:type="dxa"/>
            <w:vAlign w:val="bottom"/>
          </w:tcPr>
          <w:p>
            <w:pPr>
              <w:ind w:left="660"/>
              <w:spacing w:after="0" w:line="162" w:lineRule="exact"/>
              <w:rPr>
                <w:sz w:val="20"/>
                <w:szCs w:val="20"/>
                <w:color w:val="auto"/>
              </w:rPr>
            </w:pPr>
            <w:r>
              <w:rPr>
                <w:rFonts w:ascii="Arial" w:cs="Arial" w:eastAsia="Arial" w:hAnsi="Arial"/>
                <w:sz w:val="17"/>
                <w:szCs w:val="17"/>
                <w:color w:val="auto"/>
                <w:w w:val="94"/>
              </w:rPr>
              <w:t>Lease acreage on which wells have not been drilled or completed to a point that would permit the production of</w:t>
            </w:r>
          </w:p>
        </w:tc>
      </w:tr>
      <w:tr>
        <w:trPr>
          <w:trHeight w:val="216"/>
        </w:trPr>
        <w:tc>
          <w:tcPr>
            <w:tcW w:w="2720" w:type="dxa"/>
            <w:vAlign w:val="bottom"/>
          </w:tcPr>
          <w:p>
            <w:pPr>
              <w:spacing w:after="0"/>
              <w:rPr>
                <w:sz w:val="18"/>
                <w:szCs w:val="18"/>
                <w:color w:val="auto"/>
              </w:rPr>
            </w:pPr>
          </w:p>
        </w:tc>
        <w:tc>
          <w:tcPr>
            <w:tcW w:w="8520" w:type="dxa"/>
            <w:vAlign w:val="bottom"/>
          </w:tcPr>
          <w:p>
            <w:pPr>
              <w:ind w:left="660"/>
              <w:spacing w:after="0"/>
              <w:rPr>
                <w:sz w:val="20"/>
                <w:szCs w:val="20"/>
                <w:color w:val="auto"/>
              </w:rPr>
            </w:pPr>
            <w:r>
              <w:rPr>
                <w:rFonts w:ascii="Arial" w:cs="Arial" w:eastAsia="Arial" w:hAnsi="Arial"/>
                <w:sz w:val="17"/>
                <w:szCs w:val="17"/>
                <w:color w:val="auto"/>
                <w:w w:val="99"/>
              </w:rPr>
              <w:t>economic quantities of oil and natural gas regardless of whether such acreage contains proved reserves.</w:t>
            </w: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Working interest</w:t>
            </w: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8"/>
              </w:rPr>
              <w:t>An operating interest that gives the owner the right to drill, produce and conduct operating activities on the</w:t>
            </w:r>
          </w:p>
        </w:tc>
      </w:tr>
      <w:tr>
        <w:trPr>
          <w:trHeight w:val="162"/>
        </w:trPr>
        <w:tc>
          <w:tcPr>
            <w:tcW w:w="2720" w:type="dxa"/>
            <w:vAlign w:val="bottom"/>
            <w:shd w:val="clear" w:color="auto" w:fill="CCEEFF"/>
          </w:tcPr>
          <w:p>
            <w:pPr>
              <w:spacing w:after="0"/>
              <w:rPr>
                <w:sz w:val="14"/>
                <w:szCs w:val="14"/>
                <w:color w:val="auto"/>
              </w:rPr>
            </w:pPr>
          </w:p>
        </w:tc>
        <w:tc>
          <w:tcPr>
            <w:tcW w:w="8520" w:type="dxa"/>
            <w:vAlign w:val="bottom"/>
            <w:shd w:val="clear" w:color="auto" w:fill="CCEEFF"/>
          </w:tcPr>
          <w:p>
            <w:pPr>
              <w:ind w:left="660"/>
              <w:spacing w:after="0" w:line="162" w:lineRule="exact"/>
              <w:rPr>
                <w:sz w:val="20"/>
                <w:szCs w:val="20"/>
                <w:color w:val="auto"/>
              </w:rPr>
            </w:pPr>
            <w:r>
              <w:rPr>
                <w:rFonts w:ascii="Arial" w:cs="Arial" w:eastAsia="Arial" w:hAnsi="Arial"/>
                <w:sz w:val="17"/>
                <w:szCs w:val="17"/>
                <w:color w:val="auto"/>
                <w:w w:val="97"/>
              </w:rPr>
              <w:t>property and receive a share of production and requires the owner to pay a share of the costs of drilling and</w:t>
            </w:r>
          </w:p>
        </w:tc>
      </w:tr>
      <w:tr>
        <w:trPr>
          <w:trHeight w:val="216"/>
        </w:trPr>
        <w:tc>
          <w:tcPr>
            <w:tcW w:w="2720" w:type="dxa"/>
            <w:vAlign w:val="bottom"/>
            <w:shd w:val="clear" w:color="auto" w:fill="CCEEFF"/>
          </w:tcPr>
          <w:p>
            <w:pPr>
              <w:spacing w:after="0"/>
              <w:rPr>
                <w:sz w:val="18"/>
                <w:szCs w:val="18"/>
                <w:color w:val="auto"/>
              </w:rPr>
            </w:pPr>
          </w:p>
        </w:tc>
        <w:tc>
          <w:tcPr>
            <w:tcW w:w="85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production operations.</w:t>
            </w:r>
          </w:p>
        </w:tc>
      </w:tr>
      <w:tr>
        <w:trPr>
          <w:trHeight w:val="216"/>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WTI</w:t>
            </w:r>
          </w:p>
        </w:tc>
        <w:tc>
          <w:tcPr>
            <w:tcW w:w="852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rPr>
              <w:t>West Texas Intermediate.</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60" w:type="dxa"/>
            <w:vAlign w:val="bottom"/>
          </w:tcPr>
          <w:p>
            <w:pPr>
              <w:spacing w:after="0"/>
              <w:rPr>
                <w:sz w:val="24"/>
                <w:szCs w:val="24"/>
                <w:color w:val="auto"/>
              </w:rPr>
            </w:pPr>
          </w:p>
        </w:tc>
        <w:tc>
          <w:tcPr>
            <w:tcW w:w="9180" w:type="dxa"/>
            <w:vAlign w:val="bottom"/>
          </w:tcPr>
          <w:p>
            <w:pPr>
              <w:ind w:left="1460"/>
              <w:spacing w:after="0"/>
              <w:rPr>
                <w:sz w:val="20"/>
                <w:szCs w:val="20"/>
                <w:color w:val="auto"/>
              </w:rPr>
            </w:pPr>
            <w:r>
              <w:rPr>
                <w:rFonts w:ascii="Arial" w:cs="Arial" w:eastAsia="Arial" w:hAnsi="Arial"/>
                <w:sz w:val="22"/>
                <w:szCs w:val="22"/>
                <w:b w:val="1"/>
                <w:bCs w:val="1"/>
                <w:color w:val="auto"/>
              </w:rPr>
              <w:t>GLOSSARY OF CERTAIN OTHER TERMS</w:t>
            </w:r>
          </w:p>
        </w:tc>
      </w:tr>
      <w:tr>
        <w:trPr>
          <w:trHeight w:val="368"/>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Annual Report:</w:t>
            </w:r>
          </w:p>
        </w:tc>
      </w:tr>
      <w:tr>
        <w:trPr>
          <w:trHeight w:val="122"/>
        </w:trPr>
        <w:tc>
          <w:tcPr>
            <w:tcW w:w="2060" w:type="dxa"/>
            <w:vAlign w:val="bottom"/>
            <w:tcBorders>
              <w:bottom w:val="single" w:sz="8" w:color="auto"/>
            </w:tcBorders>
          </w:tcPr>
          <w:p>
            <w:pPr>
              <w:spacing w:after="0"/>
              <w:rPr>
                <w:sz w:val="10"/>
                <w:szCs w:val="10"/>
                <w:color w:val="auto"/>
              </w:rPr>
            </w:pPr>
          </w:p>
        </w:tc>
        <w:tc>
          <w:tcPr>
            <w:tcW w:w="9180" w:type="dxa"/>
            <w:vAlign w:val="bottom"/>
            <w:tcBorders>
              <w:bottom w:val="single" w:sz="8" w:color="auto"/>
            </w:tcBorders>
          </w:tcPr>
          <w:p>
            <w:pPr>
              <w:spacing w:after="0"/>
              <w:rPr>
                <w:sz w:val="10"/>
                <w:szCs w:val="10"/>
                <w:color w:val="auto"/>
              </w:rPr>
            </w:pPr>
          </w:p>
        </w:tc>
      </w:tr>
      <w:tr>
        <w:trPr>
          <w:trHeight w:val="209"/>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ASU</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Accounting Standards Update.</w:t>
            </w:r>
          </w:p>
        </w:tc>
      </w:tr>
      <w:tr>
        <w:trPr>
          <w:trHeight w:val="216"/>
        </w:trPr>
        <w:tc>
          <w:tcPr>
            <w:tcW w:w="2060" w:type="dxa"/>
            <w:vAlign w:val="bottom"/>
          </w:tcPr>
          <w:p>
            <w:pPr>
              <w:ind w:left="20"/>
              <w:spacing w:after="0"/>
              <w:rPr>
                <w:sz w:val="20"/>
                <w:szCs w:val="20"/>
                <w:color w:val="auto"/>
              </w:rPr>
            </w:pPr>
            <w:r>
              <w:rPr>
                <w:rFonts w:ascii="Arial" w:cs="Arial" w:eastAsia="Arial" w:hAnsi="Arial"/>
                <w:sz w:val="17"/>
                <w:szCs w:val="17"/>
                <w:color w:val="auto"/>
              </w:rPr>
              <w:t>Company</w:t>
            </w:r>
          </w:p>
        </w:tc>
        <w:tc>
          <w:tcPr>
            <w:tcW w:w="9180" w:type="dxa"/>
            <w:vAlign w:val="bottom"/>
          </w:tcPr>
          <w:p>
            <w:pPr>
              <w:ind w:left="320"/>
              <w:spacing w:after="0"/>
              <w:rPr>
                <w:sz w:val="20"/>
                <w:szCs w:val="20"/>
                <w:color w:val="auto"/>
              </w:rPr>
            </w:pPr>
            <w:r>
              <w:rPr>
                <w:rFonts w:ascii="Arial" w:cs="Arial" w:eastAsia="Arial" w:hAnsi="Arial"/>
                <w:sz w:val="17"/>
                <w:szCs w:val="17"/>
                <w:color w:val="auto"/>
              </w:rPr>
              <w:t>Diamondback Energy, Inc., a Delaware corporation, together with its subsidiaries.</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Dodd-Frank Act</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Dodd-Frank Wall Street Reform and Consumer Protection Act (HR 4173).</w:t>
            </w:r>
          </w:p>
        </w:tc>
      </w:tr>
      <w:tr>
        <w:trPr>
          <w:trHeight w:val="216"/>
        </w:trPr>
        <w:tc>
          <w:tcPr>
            <w:tcW w:w="2060" w:type="dxa"/>
            <w:vAlign w:val="bottom"/>
          </w:tcPr>
          <w:p>
            <w:pPr>
              <w:ind w:left="20"/>
              <w:spacing w:after="0"/>
              <w:rPr>
                <w:sz w:val="20"/>
                <w:szCs w:val="20"/>
                <w:color w:val="auto"/>
              </w:rPr>
            </w:pPr>
            <w:r>
              <w:rPr>
                <w:rFonts w:ascii="Arial" w:cs="Arial" w:eastAsia="Arial" w:hAnsi="Arial"/>
                <w:sz w:val="17"/>
                <w:szCs w:val="17"/>
                <w:color w:val="auto"/>
              </w:rPr>
              <w:t>EPA</w:t>
            </w:r>
          </w:p>
        </w:tc>
        <w:tc>
          <w:tcPr>
            <w:tcW w:w="9180" w:type="dxa"/>
            <w:vAlign w:val="bottom"/>
          </w:tcPr>
          <w:p>
            <w:pPr>
              <w:ind w:left="320"/>
              <w:spacing w:after="0"/>
              <w:rPr>
                <w:sz w:val="20"/>
                <w:szCs w:val="20"/>
                <w:color w:val="auto"/>
              </w:rPr>
            </w:pPr>
            <w:r>
              <w:rPr>
                <w:rFonts w:ascii="Arial" w:cs="Arial" w:eastAsia="Arial" w:hAnsi="Arial"/>
                <w:sz w:val="17"/>
                <w:szCs w:val="17"/>
                <w:color w:val="auto"/>
              </w:rPr>
              <w:t>U.S. Environmental Protection Agency.</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Plan</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The Company’s Equity Incentive Plan.</w:t>
            </w:r>
          </w:p>
        </w:tc>
      </w:tr>
      <w:tr>
        <w:trPr>
          <w:trHeight w:val="216"/>
        </w:trPr>
        <w:tc>
          <w:tcPr>
            <w:tcW w:w="2060" w:type="dxa"/>
            <w:vAlign w:val="bottom"/>
          </w:tcPr>
          <w:p>
            <w:pPr>
              <w:ind w:left="20"/>
              <w:spacing w:after="0"/>
              <w:rPr>
                <w:sz w:val="20"/>
                <w:szCs w:val="20"/>
                <w:color w:val="auto"/>
              </w:rPr>
            </w:pPr>
            <w:r>
              <w:rPr>
                <w:rFonts w:ascii="Arial" w:cs="Arial" w:eastAsia="Arial" w:hAnsi="Arial"/>
                <w:sz w:val="17"/>
                <w:szCs w:val="17"/>
                <w:color w:val="auto"/>
              </w:rPr>
              <w:t>Exchange Act</w:t>
            </w:r>
          </w:p>
        </w:tc>
        <w:tc>
          <w:tcPr>
            <w:tcW w:w="9180" w:type="dxa"/>
            <w:vAlign w:val="bottom"/>
          </w:tcPr>
          <w:p>
            <w:pPr>
              <w:ind w:left="320"/>
              <w:spacing w:after="0"/>
              <w:rPr>
                <w:sz w:val="20"/>
                <w:szCs w:val="20"/>
                <w:color w:val="auto"/>
              </w:rPr>
            </w:pPr>
            <w:r>
              <w:rPr>
                <w:rFonts w:ascii="Arial" w:cs="Arial" w:eastAsia="Arial" w:hAnsi="Arial"/>
                <w:sz w:val="17"/>
                <w:szCs w:val="17"/>
                <w:color w:val="auto"/>
              </w:rPr>
              <w:t>The Securities Exchange Act of 1934, as amended.</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FASB</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Financial Accounting Standards Board.</w:t>
            </w:r>
          </w:p>
        </w:tc>
      </w:tr>
      <w:tr>
        <w:trPr>
          <w:trHeight w:val="216"/>
        </w:trPr>
        <w:tc>
          <w:tcPr>
            <w:tcW w:w="2060" w:type="dxa"/>
            <w:vAlign w:val="bottom"/>
          </w:tcPr>
          <w:p>
            <w:pPr>
              <w:ind w:left="20"/>
              <w:spacing w:after="0"/>
              <w:rPr>
                <w:sz w:val="20"/>
                <w:szCs w:val="20"/>
                <w:color w:val="auto"/>
              </w:rPr>
            </w:pPr>
            <w:r>
              <w:rPr>
                <w:rFonts w:ascii="Arial" w:cs="Arial" w:eastAsia="Arial" w:hAnsi="Arial"/>
                <w:sz w:val="17"/>
                <w:szCs w:val="17"/>
                <w:color w:val="auto"/>
              </w:rPr>
              <w:t>FERC</w:t>
            </w:r>
          </w:p>
        </w:tc>
        <w:tc>
          <w:tcPr>
            <w:tcW w:w="9180" w:type="dxa"/>
            <w:vAlign w:val="bottom"/>
          </w:tcPr>
          <w:p>
            <w:pPr>
              <w:ind w:left="320"/>
              <w:spacing w:after="0"/>
              <w:rPr>
                <w:sz w:val="20"/>
                <w:szCs w:val="20"/>
                <w:color w:val="auto"/>
              </w:rPr>
            </w:pPr>
            <w:r>
              <w:rPr>
                <w:rFonts w:ascii="Arial" w:cs="Arial" w:eastAsia="Arial" w:hAnsi="Arial"/>
                <w:sz w:val="17"/>
                <w:szCs w:val="17"/>
                <w:color w:val="auto"/>
              </w:rPr>
              <w:t>Federal Energy Regulatory Commission.</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Accounting principles generally accepted in the United States.</w:t>
            </w:r>
          </w:p>
        </w:tc>
      </w:tr>
      <w:tr>
        <w:trPr>
          <w:trHeight w:val="162"/>
        </w:trPr>
        <w:tc>
          <w:tcPr>
            <w:tcW w:w="2060" w:type="dxa"/>
            <w:vAlign w:val="bottom"/>
          </w:tcPr>
          <w:p>
            <w:pPr>
              <w:ind w:left="20"/>
              <w:spacing w:after="0" w:line="162" w:lineRule="exact"/>
              <w:rPr>
                <w:sz w:val="20"/>
                <w:szCs w:val="20"/>
                <w:color w:val="auto"/>
              </w:rPr>
            </w:pPr>
            <w:r>
              <w:rPr>
                <w:rFonts w:ascii="Arial" w:cs="Arial" w:eastAsia="Arial" w:hAnsi="Arial"/>
                <w:sz w:val="17"/>
                <w:szCs w:val="17"/>
                <w:color w:val="auto"/>
              </w:rPr>
              <w:t>2025 Indenture</w:t>
            </w:r>
          </w:p>
        </w:tc>
        <w:tc>
          <w:tcPr>
            <w:tcW w:w="9180" w:type="dxa"/>
            <w:vAlign w:val="bottom"/>
          </w:tcPr>
          <w:p>
            <w:pPr>
              <w:ind w:left="320"/>
              <w:spacing w:after="0" w:line="162" w:lineRule="exact"/>
              <w:rPr>
                <w:sz w:val="20"/>
                <w:szCs w:val="20"/>
                <w:color w:val="auto"/>
              </w:rPr>
            </w:pPr>
            <w:r>
              <w:rPr>
                <w:rFonts w:ascii="Arial" w:cs="Arial" w:eastAsia="Arial" w:hAnsi="Arial"/>
                <w:sz w:val="17"/>
                <w:szCs w:val="17"/>
                <w:color w:val="auto"/>
                <w:w w:val="90"/>
              </w:rPr>
              <w:t>The indenture relating to the 2025 Senior Notes, dated as of December 20, 2016, among the Company, the subsidiary guarantors</w:t>
            </w:r>
          </w:p>
        </w:tc>
      </w:tr>
      <w:tr>
        <w:trPr>
          <w:trHeight w:val="216"/>
        </w:trPr>
        <w:tc>
          <w:tcPr>
            <w:tcW w:w="2060" w:type="dxa"/>
            <w:vAlign w:val="bottom"/>
          </w:tcPr>
          <w:p>
            <w:pPr>
              <w:spacing w:after="0"/>
              <w:rPr>
                <w:sz w:val="18"/>
                <w:szCs w:val="18"/>
                <w:color w:val="auto"/>
              </w:rPr>
            </w:pPr>
          </w:p>
        </w:tc>
        <w:tc>
          <w:tcPr>
            <w:tcW w:w="9180" w:type="dxa"/>
            <w:vAlign w:val="bottom"/>
          </w:tcPr>
          <w:p>
            <w:pPr>
              <w:ind w:left="320"/>
              <w:spacing w:after="0"/>
              <w:rPr>
                <w:sz w:val="20"/>
                <w:szCs w:val="20"/>
                <w:color w:val="auto"/>
              </w:rPr>
            </w:pPr>
            <w:r>
              <w:rPr>
                <w:rFonts w:ascii="Arial" w:cs="Arial" w:eastAsia="Arial" w:hAnsi="Arial"/>
                <w:sz w:val="17"/>
                <w:szCs w:val="17"/>
                <w:color w:val="auto"/>
              </w:rPr>
              <w:t>party thereto and Wells Fargo, as the trustee, as supplemented.</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 Senior Notes</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The Company’s 5.375% senior unsecured notes due 2025 issued under the 2025 indenture.</w:t>
            </w:r>
          </w:p>
        </w:tc>
      </w:tr>
      <w:tr>
        <w:trPr>
          <w:trHeight w:val="162"/>
        </w:trPr>
        <w:tc>
          <w:tcPr>
            <w:tcW w:w="2060" w:type="dxa"/>
            <w:vAlign w:val="bottom"/>
          </w:tcPr>
          <w:p>
            <w:pPr>
              <w:ind w:left="20"/>
              <w:spacing w:after="0" w:line="162" w:lineRule="exact"/>
              <w:rPr>
                <w:sz w:val="20"/>
                <w:szCs w:val="20"/>
                <w:color w:val="auto"/>
              </w:rPr>
            </w:pPr>
            <w:r>
              <w:rPr>
                <w:rFonts w:ascii="Arial" w:cs="Arial" w:eastAsia="Arial" w:hAnsi="Arial"/>
                <w:sz w:val="17"/>
                <w:szCs w:val="17"/>
                <w:color w:val="auto"/>
              </w:rPr>
              <w:t>IG Indenture</w:t>
            </w:r>
          </w:p>
        </w:tc>
        <w:tc>
          <w:tcPr>
            <w:tcW w:w="9180" w:type="dxa"/>
            <w:vAlign w:val="bottom"/>
          </w:tcPr>
          <w:p>
            <w:pPr>
              <w:ind w:left="320"/>
              <w:spacing w:after="0" w:line="162" w:lineRule="exact"/>
              <w:rPr>
                <w:sz w:val="20"/>
                <w:szCs w:val="20"/>
                <w:color w:val="auto"/>
              </w:rPr>
            </w:pPr>
            <w:r>
              <w:rPr>
                <w:rFonts w:ascii="Arial" w:cs="Arial" w:eastAsia="Arial" w:hAnsi="Arial"/>
                <w:sz w:val="17"/>
                <w:szCs w:val="17"/>
                <w:color w:val="auto"/>
                <w:w w:val="91"/>
              </w:rPr>
              <w:t>The indenture dated as of December 5, 2019, among the Company, the subsidiary guarantors party thereto and Wells Fargo, as</w:t>
            </w:r>
          </w:p>
        </w:tc>
      </w:tr>
      <w:tr>
        <w:trPr>
          <w:trHeight w:val="162"/>
        </w:trPr>
        <w:tc>
          <w:tcPr>
            <w:tcW w:w="2060" w:type="dxa"/>
            <w:vAlign w:val="bottom"/>
          </w:tcPr>
          <w:p>
            <w:pPr>
              <w:spacing w:after="0"/>
              <w:rPr>
                <w:sz w:val="14"/>
                <w:szCs w:val="14"/>
                <w:color w:val="auto"/>
              </w:rPr>
            </w:pPr>
          </w:p>
        </w:tc>
        <w:tc>
          <w:tcPr>
            <w:tcW w:w="9180" w:type="dxa"/>
            <w:vAlign w:val="bottom"/>
          </w:tcPr>
          <w:p>
            <w:pPr>
              <w:ind w:left="320"/>
              <w:spacing w:after="0" w:line="162" w:lineRule="exact"/>
              <w:rPr>
                <w:sz w:val="20"/>
                <w:szCs w:val="20"/>
                <w:color w:val="auto"/>
              </w:rPr>
            </w:pPr>
            <w:r>
              <w:rPr>
                <w:rFonts w:ascii="Arial" w:cs="Arial" w:eastAsia="Arial" w:hAnsi="Arial"/>
                <w:sz w:val="17"/>
                <w:szCs w:val="17"/>
                <w:color w:val="auto"/>
                <w:w w:val="91"/>
              </w:rPr>
              <w:t>the trustee, as supplemented by the supplemental indentures relating to the December 2019 Notes, the May 2020 Notes and the</w:t>
            </w:r>
          </w:p>
        </w:tc>
      </w:tr>
      <w:tr>
        <w:trPr>
          <w:trHeight w:val="216"/>
        </w:trPr>
        <w:tc>
          <w:tcPr>
            <w:tcW w:w="2060" w:type="dxa"/>
            <w:vAlign w:val="bottom"/>
          </w:tcPr>
          <w:p>
            <w:pPr>
              <w:spacing w:after="0"/>
              <w:rPr>
                <w:sz w:val="18"/>
                <w:szCs w:val="18"/>
                <w:color w:val="auto"/>
              </w:rPr>
            </w:pPr>
          </w:p>
        </w:tc>
        <w:tc>
          <w:tcPr>
            <w:tcW w:w="9180" w:type="dxa"/>
            <w:vAlign w:val="bottom"/>
          </w:tcPr>
          <w:p>
            <w:pPr>
              <w:ind w:left="320"/>
              <w:spacing w:after="0"/>
              <w:rPr>
                <w:sz w:val="20"/>
                <w:szCs w:val="20"/>
                <w:color w:val="auto"/>
              </w:rPr>
            </w:pPr>
            <w:r>
              <w:rPr>
                <w:rFonts w:ascii="Arial" w:cs="Arial" w:eastAsia="Arial" w:hAnsi="Arial"/>
                <w:sz w:val="17"/>
                <w:szCs w:val="17"/>
                <w:color w:val="auto"/>
              </w:rPr>
              <w:t>March 2021 Notes.</w:t>
            </w: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December 2019 Notes</w:t>
            </w:r>
          </w:p>
        </w:tc>
        <w:tc>
          <w:tcPr>
            <w:tcW w:w="9180" w:type="dxa"/>
            <w:vAlign w:val="bottom"/>
            <w:shd w:val="clear" w:color="auto" w:fill="CCEEFF"/>
          </w:tcPr>
          <w:p>
            <w:pPr>
              <w:ind w:left="320"/>
              <w:spacing w:after="0" w:line="162" w:lineRule="exact"/>
              <w:rPr>
                <w:sz w:val="20"/>
                <w:szCs w:val="20"/>
                <w:color w:val="auto"/>
              </w:rPr>
            </w:pPr>
            <w:r>
              <w:rPr>
                <w:rFonts w:ascii="Arial" w:cs="Arial" w:eastAsia="Arial" w:hAnsi="Arial"/>
                <w:sz w:val="17"/>
                <w:szCs w:val="17"/>
                <w:color w:val="auto"/>
                <w:w w:val="93"/>
              </w:rPr>
              <w:t>The Company’s 2.875% senior unsecured notes due 2024, the Company’s 3.250% senior unsecured notes due 2026 and the</w:t>
            </w:r>
          </w:p>
        </w:tc>
      </w:tr>
      <w:tr>
        <w:trPr>
          <w:trHeight w:val="216"/>
        </w:trPr>
        <w:tc>
          <w:tcPr>
            <w:tcW w:w="2060" w:type="dxa"/>
            <w:vAlign w:val="bottom"/>
            <w:shd w:val="clear" w:color="auto" w:fill="CCEEFF"/>
          </w:tcPr>
          <w:p>
            <w:pPr>
              <w:spacing w:after="0"/>
              <w:rPr>
                <w:sz w:val="18"/>
                <w:szCs w:val="18"/>
                <w:color w:val="auto"/>
              </w:rPr>
            </w:pP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1"/>
              </w:rPr>
              <w:t>Company’s 3.500% senior unsecured notes due 2029 issued under the IG indenture and the related first supplemental indenture.</w:t>
            </w:r>
          </w:p>
        </w:tc>
      </w:tr>
      <w:tr>
        <w:trPr>
          <w:trHeight w:val="216"/>
        </w:trPr>
        <w:tc>
          <w:tcPr>
            <w:tcW w:w="2060" w:type="dxa"/>
            <w:vAlign w:val="bottom"/>
          </w:tcPr>
          <w:p>
            <w:pPr>
              <w:ind w:left="20"/>
              <w:spacing w:after="0"/>
              <w:rPr>
                <w:sz w:val="20"/>
                <w:szCs w:val="20"/>
                <w:color w:val="auto"/>
              </w:rPr>
            </w:pPr>
            <w:r>
              <w:rPr>
                <w:rFonts w:ascii="Arial" w:cs="Arial" w:eastAsia="Arial" w:hAnsi="Arial"/>
                <w:sz w:val="17"/>
                <w:szCs w:val="17"/>
                <w:color w:val="auto"/>
              </w:rPr>
              <w:t>May 2020 Notes</w:t>
            </w:r>
          </w:p>
        </w:tc>
        <w:tc>
          <w:tcPr>
            <w:tcW w:w="9180" w:type="dxa"/>
            <w:vAlign w:val="bottom"/>
          </w:tcPr>
          <w:p>
            <w:pPr>
              <w:ind w:left="320"/>
              <w:spacing w:after="0"/>
              <w:rPr>
                <w:sz w:val="20"/>
                <w:szCs w:val="20"/>
                <w:color w:val="auto"/>
              </w:rPr>
            </w:pPr>
            <w:r>
              <w:rPr>
                <w:rFonts w:ascii="Arial" w:cs="Arial" w:eastAsia="Arial" w:hAnsi="Arial"/>
                <w:sz w:val="17"/>
                <w:szCs w:val="17"/>
                <w:color w:val="auto"/>
                <w:w w:val="92"/>
              </w:rPr>
              <w:t>The Company’s 4.750% Senior Notes due 2025 issued under the IG Indenture and the related second supplemental indenture.</w:t>
            </w:r>
          </w:p>
        </w:tc>
      </w:tr>
      <w:tr>
        <w:trPr>
          <w:trHeight w:val="162"/>
        </w:trPr>
        <w:tc>
          <w:tcPr>
            <w:tcW w:w="20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March 2021 Notes</w:t>
            </w:r>
          </w:p>
        </w:tc>
        <w:tc>
          <w:tcPr>
            <w:tcW w:w="9180" w:type="dxa"/>
            <w:vAlign w:val="bottom"/>
            <w:shd w:val="clear" w:color="auto" w:fill="CCEEFF"/>
          </w:tcPr>
          <w:p>
            <w:pPr>
              <w:ind w:left="320"/>
              <w:spacing w:after="0" w:line="162" w:lineRule="exact"/>
              <w:rPr>
                <w:sz w:val="20"/>
                <w:szCs w:val="20"/>
                <w:color w:val="auto"/>
              </w:rPr>
            </w:pPr>
            <w:r>
              <w:rPr>
                <w:rFonts w:ascii="Arial" w:cs="Arial" w:eastAsia="Arial" w:hAnsi="Arial"/>
                <w:sz w:val="17"/>
                <w:szCs w:val="17"/>
                <w:color w:val="auto"/>
                <w:w w:val="94"/>
              </w:rPr>
              <w:t>The Company’s 0.900% Senior Notes due 2023, the Company’s 3.125% Senior Notes due 2031 and the Company’s 4.400%</w:t>
            </w:r>
          </w:p>
        </w:tc>
      </w:tr>
      <w:tr>
        <w:trPr>
          <w:trHeight w:val="216"/>
        </w:trPr>
        <w:tc>
          <w:tcPr>
            <w:tcW w:w="2060" w:type="dxa"/>
            <w:vAlign w:val="bottom"/>
            <w:shd w:val="clear" w:color="auto" w:fill="CCEEFF"/>
          </w:tcPr>
          <w:p>
            <w:pPr>
              <w:spacing w:after="0"/>
              <w:rPr>
                <w:sz w:val="18"/>
                <w:szCs w:val="18"/>
                <w:color w:val="auto"/>
              </w:rPr>
            </w:pP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Senior Notes due 2051 issued under the IG Indenture and the related third supplemental indenture.</w:t>
            </w:r>
          </w:p>
        </w:tc>
      </w:tr>
      <w:tr>
        <w:trPr>
          <w:trHeight w:val="216"/>
        </w:trPr>
        <w:tc>
          <w:tcPr>
            <w:tcW w:w="2060" w:type="dxa"/>
            <w:vAlign w:val="bottom"/>
          </w:tcPr>
          <w:p>
            <w:pPr>
              <w:ind w:left="20"/>
              <w:spacing w:after="0"/>
              <w:rPr>
                <w:sz w:val="20"/>
                <w:szCs w:val="20"/>
                <w:color w:val="auto"/>
              </w:rPr>
            </w:pPr>
            <w:r>
              <w:rPr>
                <w:rFonts w:ascii="Arial" w:cs="Arial" w:eastAsia="Arial" w:hAnsi="Arial"/>
                <w:sz w:val="17"/>
                <w:szCs w:val="17"/>
                <w:color w:val="auto"/>
              </w:rPr>
              <w:t>NYMEX</w:t>
            </w:r>
          </w:p>
        </w:tc>
        <w:tc>
          <w:tcPr>
            <w:tcW w:w="9180" w:type="dxa"/>
            <w:vAlign w:val="bottom"/>
          </w:tcPr>
          <w:p>
            <w:pPr>
              <w:ind w:left="320"/>
              <w:spacing w:after="0"/>
              <w:rPr>
                <w:sz w:val="20"/>
                <w:szCs w:val="20"/>
                <w:color w:val="auto"/>
              </w:rPr>
            </w:pPr>
            <w:r>
              <w:rPr>
                <w:rFonts w:ascii="Arial" w:cs="Arial" w:eastAsia="Arial" w:hAnsi="Arial"/>
                <w:sz w:val="17"/>
                <w:szCs w:val="17"/>
                <w:color w:val="auto"/>
              </w:rPr>
              <w:t>New York Mercantile Exchange.</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Rattler</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Rattler Midstream LP, a Delaware limited partnership.</w:t>
            </w:r>
          </w:p>
        </w:tc>
      </w:tr>
      <w:tr>
        <w:trPr>
          <w:trHeight w:val="162"/>
        </w:trPr>
        <w:tc>
          <w:tcPr>
            <w:tcW w:w="2060" w:type="dxa"/>
            <w:vAlign w:val="bottom"/>
          </w:tcPr>
          <w:p>
            <w:pPr>
              <w:ind w:left="20"/>
              <w:spacing w:after="0" w:line="162" w:lineRule="exact"/>
              <w:rPr>
                <w:sz w:val="20"/>
                <w:szCs w:val="20"/>
                <w:color w:val="auto"/>
              </w:rPr>
            </w:pPr>
            <w:r>
              <w:rPr>
                <w:rFonts w:ascii="Arial" w:cs="Arial" w:eastAsia="Arial" w:hAnsi="Arial"/>
                <w:sz w:val="17"/>
                <w:szCs w:val="17"/>
                <w:color w:val="auto"/>
              </w:rPr>
              <w:t>Rattler’s General Partner</w:t>
            </w:r>
          </w:p>
        </w:tc>
        <w:tc>
          <w:tcPr>
            <w:tcW w:w="9180" w:type="dxa"/>
            <w:vAlign w:val="bottom"/>
          </w:tcPr>
          <w:p>
            <w:pPr>
              <w:ind w:left="320"/>
              <w:spacing w:after="0" w:line="162" w:lineRule="exact"/>
              <w:rPr>
                <w:sz w:val="20"/>
                <w:szCs w:val="20"/>
                <w:color w:val="auto"/>
              </w:rPr>
            </w:pPr>
            <w:r>
              <w:rPr>
                <w:rFonts w:ascii="Arial" w:cs="Arial" w:eastAsia="Arial" w:hAnsi="Arial"/>
                <w:sz w:val="17"/>
                <w:szCs w:val="17"/>
                <w:color w:val="auto"/>
                <w:w w:val="96"/>
              </w:rPr>
              <w:t>Rattler Midstream GP LLC, a Delaware limited liability company; the general partner of Rattler Midstream LP and a wholly</w:t>
            </w:r>
          </w:p>
        </w:tc>
      </w:tr>
      <w:tr>
        <w:trPr>
          <w:trHeight w:val="216"/>
        </w:trPr>
        <w:tc>
          <w:tcPr>
            <w:tcW w:w="2060" w:type="dxa"/>
            <w:vAlign w:val="bottom"/>
          </w:tcPr>
          <w:p>
            <w:pPr>
              <w:spacing w:after="0"/>
              <w:rPr>
                <w:sz w:val="18"/>
                <w:szCs w:val="18"/>
                <w:color w:val="auto"/>
              </w:rPr>
            </w:pPr>
          </w:p>
        </w:tc>
        <w:tc>
          <w:tcPr>
            <w:tcW w:w="9180" w:type="dxa"/>
            <w:vAlign w:val="bottom"/>
          </w:tcPr>
          <w:p>
            <w:pPr>
              <w:ind w:left="320"/>
              <w:spacing w:after="0"/>
              <w:rPr>
                <w:sz w:val="20"/>
                <w:szCs w:val="20"/>
                <w:color w:val="auto"/>
              </w:rPr>
            </w:pPr>
            <w:r>
              <w:rPr>
                <w:rFonts w:ascii="Arial" w:cs="Arial" w:eastAsia="Arial" w:hAnsi="Arial"/>
                <w:sz w:val="17"/>
                <w:szCs w:val="17"/>
                <w:color w:val="auto"/>
              </w:rPr>
              <w:t>owned subsidiary of the Company.</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Rattler LLC</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Rattler Midstream Operating LLC, a Delaware limited liability company and a subsidiary of Rattler.</w:t>
            </w:r>
          </w:p>
        </w:tc>
      </w:tr>
      <w:tr>
        <w:trPr>
          <w:trHeight w:val="216"/>
        </w:trPr>
        <w:tc>
          <w:tcPr>
            <w:tcW w:w="2060" w:type="dxa"/>
            <w:vAlign w:val="bottom"/>
          </w:tcPr>
          <w:p>
            <w:pPr>
              <w:ind w:left="20"/>
              <w:spacing w:after="0"/>
              <w:rPr>
                <w:sz w:val="20"/>
                <w:szCs w:val="20"/>
                <w:color w:val="auto"/>
              </w:rPr>
            </w:pPr>
            <w:r>
              <w:rPr>
                <w:rFonts w:ascii="Arial" w:cs="Arial" w:eastAsia="Arial" w:hAnsi="Arial"/>
                <w:sz w:val="17"/>
                <w:szCs w:val="17"/>
                <w:color w:val="auto"/>
              </w:rPr>
              <w:t>Rattler LTIP</w:t>
            </w:r>
          </w:p>
        </w:tc>
        <w:tc>
          <w:tcPr>
            <w:tcW w:w="9180" w:type="dxa"/>
            <w:vAlign w:val="bottom"/>
          </w:tcPr>
          <w:p>
            <w:pPr>
              <w:ind w:left="320"/>
              <w:spacing w:after="0"/>
              <w:rPr>
                <w:sz w:val="20"/>
                <w:szCs w:val="20"/>
                <w:color w:val="auto"/>
              </w:rPr>
            </w:pPr>
            <w:r>
              <w:rPr>
                <w:rFonts w:ascii="Arial" w:cs="Arial" w:eastAsia="Arial" w:hAnsi="Arial"/>
                <w:sz w:val="17"/>
                <w:szCs w:val="17"/>
                <w:color w:val="auto"/>
              </w:rPr>
              <w:t>Rattler Midstream LP Long-Term Incentive Plan.</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Rattler Offering</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Rattler’s initial public offering.</w:t>
            </w:r>
          </w:p>
        </w:tc>
      </w:tr>
      <w:tr>
        <w:trPr>
          <w:trHeight w:val="216"/>
        </w:trPr>
        <w:tc>
          <w:tcPr>
            <w:tcW w:w="2060" w:type="dxa"/>
            <w:vAlign w:val="bottom"/>
          </w:tcPr>
          <w:p>
            <w:pPr>
              <w:ind w:left="20"/>
              <w:spacing w:after="0"/>
              <w:rPr>
                <w:sz w:val="20"/>
                <w:szCs w:val="20"/>
                <w:color w:val="auto"/>
              </w:rPr>
            </w:pPr>
            <w:r>
              <w:rPr>
                <w:rFonts w:ascii="Arial" w:cs="Arial" w:eastAsia="Arial" w:hAnsi="Arial"/>
                <w:sz w:val="17"/>
                <w:szCs w:val="17"/>
                <w:color w:val="auto"/>
              </w:rPr>
              <w:t>Ryder Scott</w:t>
            </w:r>
          </w:p>
        </w:tc>
        <w:tc>
          <w:tcPr>
            <w:tcW w:w="9180" w:type="dxa"/>
            <w:vAlign w:val="bottom"/>
          </w:tcPr>
          <w:p>
            <w:pPr>
              <w:ind w:left="320"/>
              <w:spacing w:after="0"/>
              <w:rPr>
                <w:sz w:val="20"/>
                <w:szCs w:val="20"/>
                <w:color w:val="auto"/>
              </w:rPr>
            </w:pPr>
            <w:r>
              <w:rPr>
                <w:rFonts w:ascii="Arial" w:cs="Arial" w:eastAsia="Arial" w:hAnsi="Arial"/>
                <w:sz w:val="17"/>
                <w:szCs w:val="17"/>
                <w:color w:val="auto"/>
              </w:rPr>
              <w:t>Ryder Scott Company, L.P.</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United States Securities and Exchange Commission.</w:t>
            </w:r>
          </w:p>
        </w:tc>
      </w:tr>
      <w:tr>
        <w:trPr>
          <w:trHeight w:val="162"/>
        </w:trPr>
        <w:tc>
          <w:tcPr>
            <w:tcW w:w="2060" w:type="dxa"/>
            <w:vAlign w:val="bottom"/>
          </w:tcPr>
          <w:p>
            <w:pPr>
              <w:ind w:left="20"/>
              <w:spacing w:after="0" w:line="162" w:lineRule="exact"/>
              <w:rPr>
                <w:sz w:val="20"/>
                <w:szCs w:val="20"/>
                <w:color w:val="auto"/>
              </w:rPr>
            </w:pPr>
            <w:r>
              <w:rPr>
                <w:rFonts w:ascii="Arial" w:cs="Arial" w:eastAsia="Arial" w:hAnsi="Arial"/>
                <w:sz w:val="17"/>
                <w:szCs w:val="17"/>
                <w:color w:val="auto"/>
              </w:rPr>
              <w:t>SEC Prices</w:t>
            </w:r>
          </w:p>
        </w:tc>
        <w:tc>
          <w:tcPr>
            <w:tcW w:w="9180" w:type="dxa"/>
            <w:vAlign w:val="bottom"/>
          </w:tcPr>
          <w:p>
            <w:pPr>
              <w:ind w:left="320"/>
              <w:spacing w:after="0" w:line="162" w:lineRule="exact"/>
              <w:rPr>
                <w:sz w:val="20"/>
                <w:szCs w:val="20"/>
                <w:color w:val="auto"/>
              </w:rPr>
            </w:pPr>
            <w:r>
              <w:rPr>
                <w:rFonts w:ascii="Arial" w:cs="Arial" w:eastAsia="Arial" w:hAnsi="Arial"/>
                <w:sz w:val="17"/>
                <w:szCs w:val="17"/>
                <w:color w:val="auto"/>
                <w:w w:val="91"/>
              </w:rPr>
              <w:t>Unweighted arithmetic average oil and natural gas prices as of the first day of the month for the most recent 12 months as of the</w:t>
            </w:r>
          </w:p>
        </w:tc>
      </w:tr>
      <w:tr>
        <w:trPr>
          <w:trHeight w:val="216"/>
        </w:trPr>
        <w:tc>
          <w:tcPr>
            <w:tcW w:w="2060" w:type="dxa"/>
            <w:vAlign w:val="bottom"/>
          </w:tcPr>
          <w:p>
            <w:pPr>
              <w:spacing w:after="0"/>
              <w:rPr>
                <w:sz w:val="18"/>
                <w:szCs w:val="18"/>
                <w:color w:val="auto"/>
              </w:rPr>
            </w:pPr>
          </w:p>
        </w:tc>
        <w:tc>
          <w:tcPr>
            <w:tcW w:w="9180" w:type="dxa"/>
            <w:vAlign w:val="bottom"/>
          </w:tcPr>
          <w:p>
            <w:pPr>
              <w:ind w:left="320"/>
              <w:spacing w:after="0"/>
              <w:rPr>
                <w:sz w:val="20"/>
                <w:szCs w:val="20"/>
                <w:color w:val="auto"/>
              </w:rPr>
            </w:pPr>
            <w:r>
              <w:rPr>
                <w:rFonts w:ascii="Arial" w:cs="Arial" w:eastAsia="Arial" w:hAnsi="Arial"/>
                <w:sz w:val="17"/>
                <w:szCs w:val="17"/>
                <w:color w:val="auto"/>
              </w:rPr>
              <w:t>balance sheet date.</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 Act</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The Securities Act of 1933, as amended.</w:t>
            </w:r>
          </w:p>
        </w:tc>
      </w:tr>
      <w:tr>
        <w:trPr>
          <w:trHeight w:val="216"/>
        </w:trPr>
        <w:tc>
          <w:tcPr>
            <w:tcW w:w="2060" w:type="dxa"/>
            <w:vAlign w:val="bottom"/>
          </w:tcPr>
          <w:p>
            <w:pPr>
              <w:ind w:left="20"/>
              <w:spacing w:after="0"/>
              <w:rPr>
                <w:sz w:val="20"/>
                <w:szCs w:val="20"/>
                <w:color w:val="auto"/>
              </w:rPr>
            </w:pPr>
            <w:r>
              <w:rPr>
                <w:rFonts w:ascii="Arial" w:cs="Arial" w:eastAsia="Arial" w:hAnsi="Arial"/>
                <w:sz w:val="17"/>
                <w:szCs w:val="17"/>
                <w:color w:val="auto"/>
              </w:rPr>
              <w:t>Senior Notes</w:t>
            </w:r>
          </w:p>
        </w:tc>
        <w:tc>
          <w:tcPr>
            <w:tcW w:w="9180" w:type="dxa"/>
            <w:vAlign w:val="bottom"/>
          </w:tcPr>
          <w:p>
            <w:pPr>
              <w:ind w:left="320"/>
              <w:spacing w:after="0"/>
              <w:rPr>
                <w:sz w:val="20"/>
                <w:szCs w:val="20"/>
                <w:color w:val="auto"/>
              </w:rPr>
            </w:pPr>
            <w:r>
              <w:rPr>
                <w:rFonts w:ascii="Arial" w:cs="Arial" w:eastAsia="Arial" w:hAnsi="Arial"/>
                <w:sz w:val="17"/>
                <w:szCs w:val="17"/>
                <w:color w:val="auto"/>
              </w:rPr>
              <w:t>The December 2019 Notes, the May 2020 Notes and the March 2021 Notes.</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Viper</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Viper Energy Partners LP, a Delaware limited partnership.</w:t>
            </w:r>
          </w:p>
        </w:tc>
      </w:tr>
      <w:tr>
        <w:trPr>
          <w:trHeight w:val="216"/>
        </w:trPr>
        <w:tc>
          <w:tcPr>
            <w:tcW w:w="2060" w:type="dxa"/>
            <w:vAlign w:val="bottom"/>
          </w:tcPr>
          <w:p>
            <w:pPr>
              <w:ind w:left="20"/>
              <w:spacing w:after="0"/>
              <w:rPr>
                <w:sz w:val="20"/>
                <w:szCs w:val="20"/>
                <w:color w:val="auto"/>
              </w:rPr>
            </w:pPr>
            <w:r>
              <w:rPr>
                <w:rFonts w:ascii="Arial" w:cs="Arial" w:eastAsia="Arial" w:hAnsi="Arial"/>
                <w:sz w:val="17"/>
                <w:szCs w:val="17"/>
                <w:color w:val="auto"/>
              </w:rPr>
              <w:t>Viper’s general partner</w:t>
            </w:r>
          </w:p>
        </w:tc>
        <w:tc>
          <w:tcPr>
            <w:tcW w:w="9180" w:type="dxa"/>
            <w:vAlign w:val="bottom"/>
          </w:tcPr>
          <w:p>
            <w:pPr>
              <w:ind w:left="320"/>
              <w:spacing w:after="0"/>
              <w:rPr>
                <w:sz w:val="20"/>
                <w:szCs w:val="20"/>
                <w:color w:val="auto"/>
              </w:rPr>
            </w:pPr>
            <w:r>
              <w:rPr>
                <w:rFonts w:ascii="Arial" w:cs="Arial" w:eastAsia="Arial" w:hAnsi="Arial"/>
                <w:sz w:val="17"/>
                <w:szCs w:val="17"/>
                <w:color w:val="auto"/>
              </w:rPr>
              <w:t>Viper Energy Partners GP LLC, a Delaware limited liability company and the General Partner of the Partnership.</w:t>
            </w: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Viper LLC</w:t>
            </w:r>
          </w:p>
        </w:tc>
        <w:tc>
          <w:tcPr>
            <w:tcW w:w="9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Viper Energy Partners LLC, a Delaware limited liability company and a subsidiary of Viper.</w:t>
            </w:r>
          </w:p>
        </w:tc>
      </w:tr>
      <w:tr>
        <w:trPr>
          <w:trHeight w:val="216"/>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Wells Fargo</w:t>
            </w:r>
          </w:p>
        </w:tc>
        <w:tc>
          <w:tcPr>
            <w:tcW w:w="918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Wells Fargo 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our outcomes to differ materially include (but are not limited to) the following:</w:t>
      </w:r>
    </w:p>
    <w:p>
      <w:pPr>
        <w:spacing w:after="0" w:line="225" w:lineRule="exact"/>
        <w:rPr>
          <w:sz w:val="20"/>
          <w:szCs w:val="20"/>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spacing w:after="0" w:line="61"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61"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61"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and inflation rates;</w:t>
      </w:r>
    </w:p>
    <w:p>
      <w:pPr>
        <w:spacing w:after="0" w:line="61"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or governmental orders, rules or regulations that impose production limits;</w:t>
      </w:r>
    </w:p>
    <w:p>
      <w:pPr>
        <w:spacing w:after="0" w:line="61" w:lineRule="exact"/>
        <w:rPr>
          <w:rFonts w:ascii="Arial" w:cs="Arial" w:eastAsia="Arial" w:hAnsi="Arial"/>
          <w:sz w:val="18"/>
          <w:szCs w:val="18"/>
          <w:color w:val="auto"/>
        </w:rPr>
      </w:pPr>
    </w:p>
    <w:p>
      <w:pPr>
        <w:ind w:left="1300" w:right="2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61" w:lineRule="exact"/>
        <w:rPr>
          <w:rFonts w:ascii="Arial" w:cs="Arial" w:eastAsia="Arial" w:hAnsi="Arial"/>
          <w:sz w:val="18"/>
          <w:szCs w:val="18"/>
          <w:color w:val="auto"/>
        </w:rPr>
      </w:pPr>
    </w:p>
    <w:p>
      <w:pPr>
        <w:ind w:left="1300" w:right="2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61"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90"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61"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with employee retention and an increasingly competitive labor market due to a sustained labor shortage or increased turnover caused by the COVID-19 pandemic;</w:t>
      </w:r>
    </w:p>
    <w:p>
      <w:pPr>
        <w:spacing w:after="0" w:line="61"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or cost of rigs, equipment, raw materials, supplies, oilfield services;</w:t>
      </w:r>
    </w:p>
    <w:p>
      <w:pPr>
        <w:spacing w:after="0" w:line="90" w:lineRule="exact"/>
        <w:rPr>
          <w:rFonts w:ascii="Arial" w:cs="Arial" w:eastAsia="Arial" w:hAnsi="Arial"/>
          <w:sz w:val="18"/>
          <w:szCs w:val="18"/>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(including those addressing air emissions, water management, or the impact of global climate change);</w:t>
      </w:r>
    </w:p>
    <w:p>
      <w:pPr>
        <w:spacing w:after="0" w:line="61" w:lineRule="exact"/>
        <w:rPr>
          <w:rFonts w:ascii="Arial" w:cs="Arial" w:eastAsia="Arial" w:hAnsi="Arial"/>
          <w:sz w:val="18"/>
          <w:szCs w:val="18"/>
          <w:color w:val="auto"/>
        </w:rPr>
      </w:pPr>
    </w:p>
    <w:p>
      <w:pPr>
        <w:ind w:left="1300" w:hanging="320"/>
        <w:spacing w:after="0" w:line="274"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39" w:lineRule="exact"/>
        <w:rPr>
          <w:rFonts w:ascii="Arial" w:cs="Arial" w:eastAsia="Arial" w:hAnsi="Arial"/>
          <w:sz w:val="17"/>
          <w:szCs w:val="17"/>
          <w:color w:val="auto"/>
        </w:rPr>
      </w:pPr>
    </w:p>
    <w:p>
      <w:pPr>
        <w:ind w:left="1300" w:hanging="320"/>
        <w:spacing w:after="0" w:line="246"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or disruption in, access to adequate and reliable transportation, processing, storage, and other facilities for our oil, natural gas, and natural gas liquids;</w:t>
      </w:r>
    </w:p>
    <w:p>
      <w:pPr>
        <w:spacing w:after="0" w:line="61" w:lineRule="exact"/>
        <w:rPr>
          <w:rFonts w:ascii="Arial" w:cs="Arial" w:eastAsia="Arial" w:hAnsi="Arial"/>
          <w:sz w:val="18"/>
          <w:szCs w:val="18"/>
          <w:color w:val="auto"/>
        </w:rPr>
      </w:pPr>
    </w:p>
    <w:p>
      <w:pPr>
        <w:ind w:left="1300" w:hanging="320"/>
        <w:spacing w:after="0" w:line="274"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39" w:lineRule="exact"/>
        <w:rPr>
          <w:rFonts w:ascii="Arial" w:cs="Arial" w:eastAsia="Arial" w:hAnsi="Arial"/>
          <w:sz w:val="17"/>
          <w:szCs w:val="17"/>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obtaining necessary approvals and permits;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our credit agreement and hedging contracts;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factors discussed in Item 1A of Part I of this Annual Report on Form 10-K.</w:t>
      </w:r>
    </w:p>
    <w:p>
      <w:pPr>
        <w:spacing w:after="0" w:line="333"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Except as noted, in this Annual Report on Form 10-K, we refer to Diamondback, together with its consolidated subsidiaries, as “we,” “us,” “our,” or “the Company”. This Annual Report includes certain terms commonly used in the oil and natural gas industry, which are defined above in the “Glossary of Oil and Natural Gas Terms.”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and 2. 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an independent oil and natural gas company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 We report operations in two operating segments: (i) the upstream segment and (ii) the midstream operations segment, which includes midstream services.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activities are primarily focused on horizontal development of the Spraberry and Wolfcamp formations of the Midland Basin and the Wolfcamp and Bone Spring formations of the Delaware Basin, both of which are part of the larger Permian Basin in West Texas and New Mexico. These formations are characterized by a high concentration of oil and liquids rich natural gas, multiple vertical and horizontal target horizons, extensive production history, long-lived reserves and high drilling success rates.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December 31, 2021, our total acreage position in the Permian Basin was approximately 524,700 gross (445,848 net) acres, which consisted primarily of approximately 292,903 gross (265,562 net) acres in the Midland Basin and approximately 189,357 gross (148,588 net) acres in the Delaware Basin.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publicly traded subsidiary Viper Energy Partners LP, which we refer to as Viper, owns mineral interests in the Permian Basin and Eagle Ford Shale. We own Viper Energy Partners GP LLC, the general partner of Viper, which we refer to as Viper’s general partner, and we own approximately 54% of the limited partner interests in Viper.</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 our publicly traded subsidiary Rattler Midstream LP, which we refer to as Rattler, is focused on ownership, operation, development and acquisition of midstream infrastructure assets in the Midland and Delaware Basins of the Permian Basin. We own Rattler Midstream GP LLC, the general partner of Rattler, which we refer to as Rattler’s general partner, and we own approximately 74% of the limited partner interests in Rattler.</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2021, our estimated proved oil and natural gas reserves were 1,788,991 MBOE (which includes estimated reserves of 127,888 MBOE attributable to the mineral interests owned by Viper). Of these reserves, approximately 67% are classified as proved developed producing. Proved undeveloped, or PUD, reserves included in this estimate are from 602 gross (533 net) horizontal well locations in which we have a working interest, and 17 horizontal wells in which we own only a mineral interest through our subsidiary, Viper. As of December 31, 2021, our estimated proved reserves were approximately 52% oil, 24% natural gas liquids and 24% natural gas.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2021 Acquisitions and Divestitures</w:t>
      </w:r>
    </w:p>
    <w:p>
      <w:pPr>
        <w:spacing w:after="0" w:line="2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On February 26, 2021, we acquired all leasehold interests and related assets of Guidon Operating LLC (the “Guidon Acquisition”), which included approximately 32,500 net acres in the Northern Midland Basin, in exchange for 10.68 million shares of the Company’s common stock and $375 million of cash.</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17, 2021, we acquired QEP Resources, Inc. (”QEP”) in a transaction structured as a merger (the “QEP Merger”). The addition of QEP’s assets increased our net acreage in the Midland Basin by approximately 49,000 net acres. Under the terms of the merger agreement with QEP, we issued approximately 12.12 million shares of our common stock to the former QEP stockholders, constituting a total value at the closing date of approximately $987 million.</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21, 2021, we completed the divestiture of our Williston Basin oil and natural gas assets, consisting of approximately 95,000 net acres acquired in the QEP Merger, for net cash proceeds of approximately $586 million after customary closing adjustments.</w:t>
      </w:r>
    </w:p>
    <w:p>
      <w:pPr>
        <w:spacing w:after="0" w:line="197"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See Note 4—</w:t>
      </w:r>
      <w:hyperlink w:anchor="page98">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notes to the consolidated financial statements included elsewhere in this Annual Report for additional discussion of our acquisitions and divestitures during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Effects on Commodity Prices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After briefly reaching negative levels in April 2020, oil prices recovered during 2021, closing at $85.43 per Bbl as of January 18, 2022 per Bbl WTI, spurred by the global economic recovery from the COVID-19 pandemic and producer restraint. Demand for oil and natural gas increased during 2021, as many restrictions on conducting business implemented in response to the COVID-19 pandemic were lifted due to improved treatments and availability of vaccinations in the U.S. and globally. The emergence of the Delta COVID-19 variant in the latter part of 2021 and the subsequent surge of the highly transmissible Omicron variant, however, contributed to economic and pricing volatility as industry and market participants evaluated industry conditions and production outlook. Further, on January 4, 2022, OPEC and its non-OPEC allies, known collectively as OPEC+, agreed to continue their program (commenced in August of 2021) of gradual monthly output increases in February 2022, raising its output target by 400,000 Bbls per day, which move is expected to further boost oil supply in response to rising demand. In its report issued on February 10, 2022, OPEC noted its expectation that world oil demand will rise by 4.15 million Bbls per day in 2022 as the global economy continues to post a strong recovery from the COVID-19 pandemic. Although this demand outlook is expected to underpin oil prices, already seen at a seven-year high in February 2022, we cannot predict any future volatility in commodity prices or demand for crude oil.</w:t>
      </w:r>
    </w:p>
    <w:p>
      <w:pPr>
        <w:spacing w:after="0" w:line="20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Despite the recovery in commodity prices and rising demand, we kept our production relatively flat during 2021, using excess cash flow for debt repayment and/or return to our stockholders rather than expanding our drilling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strategy includes the following:</w:t>
      </w:r>
    </w:p>
    <w:p>
      <w:pPr>
        <w:spacing w:after="0" w:line="248" w:lineRule="exact"/>
        <w:rPr>
          <w:sz w:val="20"/>
          <w:szCs w:val="20"/>
          <w:color w:val="auto"/>
        </w:rPr>
      </w:pPr>
    </w:p>
    <w:p>
      <w:pPr>
        <w:jc w:val="both"/>
        <w:ind w:left="980" w:hanging="324"/>
        <w:spacing w:after="0" w:line="256"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Exercise Capital Discipline. </w:t>
      </w:r>
      <w:r>
        <w:rPr>
          <w:rFonts w:ascii="Arial" w:cs="Arial" w:eastAsia="Arial" w:hAnsi="Arial"/>
          <w:sz w:val="18"/>
          <w:szCs w:val="18"/>
          <w:color w:val="auto"/>
        </w:rPr>
        <w:t>During 2021, we continued building on our execution track record, generating free cash flow while keeping</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costs under control. Our efficiency gains, particularly in the Midland Basin drilling and completion programs, enabled us to mitigate certain inflationary pressures on well costs, which led to a total capital expenditure amount of $1.5 billion, down 11% from our guidance presented in April of 2021. We expect to continue to exercise capital discipline and plan to spend between $1.75 billion and $1.90 billion in 2022, with the goal of maintaining flat oil production throughout the year. This capital range accounts for the inflationary pressures we expect to see in 2022.</w:t>
      </w:r>
    </w:p>
    <w:p>
      <w:pPr>
        <w:spacing w:after="0" w:line="214"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Focus on low cost development strategy and continuous improvement in operational, capital allocation and cost efficiencies.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acreage position is generally in contiguous blocks which allows us to develop this acreage efficiently with a “manufacturing” strategy that takes advantage of economies of scale and uses centralized production and fluid handling facilities. We are the operator of approximately 99% of our acreage, which allows us to efficiently manage our operating costs, pace of development activities and the gathering and marketing of our production. Our average 85% working interest in our acreage allows us to realize the majority of the benefits of these activities and cost efficiencies.</w:t>
      </w:r>
    </w:p>
    <w:p>
      <w:pPr>
        <w:spacing w:after="0" w:line="214" w:lineRule="exact"/>
        <w:rPr>
          <w:rFonts w:ascii="Arial" w:cs="Arial" w:eastAsia="Arial" w:hAnsi="Arial"/>
          <w:sz w:val="18"/>
          <w:szCs w:val="18"/>
          <w:b w:val="1"/>
          <w:bCs w:val="1"/>
          <w:color w:val="auto"/>
        </w:rPr>
      </w:pPr>
    </w:p>
    <w:p>
      <w:pPr>
        <w:jc w:val="both"/>
        <w:ind w:left="980" w:hanging="324"/>
        <w:spacing w:after="0" w:line="314"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Continue to deliver on our enhanced capital return program. </w:t>
      </w:r>
      <w:r>
        <w:rPr>
          <w:rFonts w:ascii="Arial" w:cs="Arial" w:eastAsia="Arial" w:hAnsi="Arial"/>
          <w:sz w:val="16"/>
          <w:szCs w:val="16"/>
          <w:color w:val="auto"/>
        </w:rPr>
        <w:t>We expect to be in a position to continue to deliver on our enhanced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return program, through which we intend to distribute 50% of our quarterly free cash flow to our stockholders. Our capital return program is currently focused on our sustainable and growing base dividend and a combination of stock repurchases and variable dividends.</w:t>
      </w:r>
    </w:p>
    <w:p>
      <w:pPr>
        <w:spacing w:after="0" w:line="168" w:lineRule="exact"/>
        <w:rPr>
          <w:rFonts w:ascii="Arial" w:cs="Arial" w:eastAsia="Arial" w:hAnsi="Arial"/>
          <w:sz w:val="16"/>
          <w:szCs w:val="16"/>
          <w:color w:val="auto"/>
        </w:rPr>
      </w:pPr>
    </w:p>
    <w:p>
      <w:pPr>
        <w:jc w:val="both"/>
        <w:ind w:left="980" w:hanging="324"/>
        <w:spacing w:after="0" w:line="291"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experience operating in the Permian Basin. </w:t>
      </w:r>
      <w:r>
        <w:rPr>
          <w:rFonts w:ascii="Arial" w:cs="Arial" w:eastAsia="Arial" w:hAnsi="Arial"/>
          <w:sz w:val="16"/>
          <w:szCs w:val="16"/>
          <w:color w:val="auto"/>
        </w:rPr>
        <w:t>Our executive team, which has significant experience in the Permian Basin,</w:t>
      </w:r>
      <w:r>
        <w:rPr>
          <w:rFonts w:ascii="Arial" w:cs="Arial" w:eastAsia="Arial" w:hAnsi="Arial"/>
          <w:sz w:val="16"/>
          <w:szCs w:val="16"/>
          <w:b w:val="1"/>
          <w:bCs w:val="1"/>
          <w:color w:val="auto"/>
        </w:rPr>
        <w:t xml:space="preserve"> </w:t>
      </w:r>
      <w:r>
        <w:rPr>
          <w:rFonts w:ascii="Arial" w:cs="Arial" w:eastAsia="Arial" w:hAnsi="Arial"/>
          <w:sz w:val="16"/>
          <w:szCs w:val="16"/>
          <w:color w:val="auto"/>
        </w:rPr>
        <w:t>intends to continue to seek ways to maximize hydrocarbon recovery by optimizing and enhancing our drilling and completion techniques. Our focus on efficient drilling and completion techniques is an important part of the continuous drilling program we have planned for our significant inventory of identified potential drilling locations. We believe that the experience of our executive team in deviated and horizontal drilling and completions has helped reduce the execution risk normally associated with these complex well paths. In addition, our completion techniques are continually evolving as we evaluate and implement hydraulic fracturing practices that have and are expected to continue to increase recovery and reduce completion costs. Our executive team regularly evaluates our operating results against those of other top operators in the area in an effort to benchmark our performance and adopt best practices compared to our peers.</w:t>
      </w:r>
    </w:p>
    <w:p>
      <w:pPr>
        <w:spacing w:after="0" w:line="186" w:lineRule="exact"/>
        <w:rPr>
          <w:rFonts w:ascii="Arial" w:cs="Arial" w:eastAsia="Arial" w:hAnsi="Arial"/>
          <w:sz w:val="16"/>
          <w:szCs w:val="16"/>
          <w:color w:val="auto"/>
        </w:rPr>
      </w:pPr>
    </w:p>
    <w:p>
      <w:pPr>
        <w:jc w:val="both"/>
        <w:ind w:left="980" w:hanging="324"/>
        <w:spacing w:after="0" w:line="261"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Pursue strategic acquisitions with substantial resource potential. </w:t>
      </w:r>
      <w:r>
        <w:rPr>
          <w:rFonts w:ascii="Arial" w:cs="Arial" w:eastAsia="Arial" w:hAnsi="Arial"/>
          <w:sz w:val="18"/>
          <w:szCs w:val="18"/>
          <w:color w:val="auto"/>
        </w:rPr>
        <w:t>We have a proven history of acquiring leasehold positions in the Permian</w:t>
      </w:r>
      <w:r>
        <w:rPr>
          <w:rFonts w:ascii="Arial" w:cs="Arial" w:eastAsia="Arial" w:hAnsi="Arial"/>
          <w:sz w:val="18"/>
          <w:szCs w:val="18"/>
          <w:b w:val="1"/>
          <w:bCs w:val="1"/>
          <w:color w:val="auto"/>
        </w:rPr>
        <w:t xml:space="preserve"> </w:t>
      </w:r>
      <w:r>
        <w:rPr>
          <w:rFonts w:ascii="Arial" w:cs="Arial" w:eastAsia="Arial" w:hAnsi="Arial"/>
          <w:sz w:val="18"/>
          <w:szCs w:val="18"/>
          <w:color w:val="auto"/>
        </w:rPr>
        <w:t>Basin that have substantial oil-weighted resource potential. Our executive team, with its extensive experience in the Permian Basin, has what we believe is a competitive advantage in identifying acquisition targets and a proven ability to evaluate resource potential. During 2021, we completed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the QEP Merger, which increased our net acreage in the Midland Basin by approximately 49,000 net acres. Also during 2021, we completed the Guidon Acquisition which included approximately 32,500 net acres in the Northern Midland Basin. These acquisitions, combined with our developmental activities, contributed to an increase in our total proved reserves of approximately 36% in 2021. We regularly review acquisition opportunities and intend to pursue acquisitions that meet our strategic and financial targets.</w:t>
      </w:r>
    </w:p>
    <w:p>
      <w:pPr>
        <w:spacing w:after="0" w:line="194" w:lineRule="exact"/>
        <w:rPr>
          <w:sz w:val="20"/>
          <w:szCs w:val="20"/>
          <w:color w:val="auto"/>
        </w:rPr>
      </w:pPr>
    </w:p>
    <w:p>
      <w:pPr>
        <w:jc w:val="both"/>
        <w:ind w:left="980" w:hanging="324"/>
        <w:spacing w:after="0" w:line="256" w:lineRule="auto"/>
        <w:tabs>
          <w:tab w:leader="none" w:pos="97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Maintain financial flexibility. </w:t>
      </w:r>
      <w:r>
        <w:rPr>
          <w:rFonts w:ascii="Arial" w:cs="Arial" w:eastAsia="Arial" w:hAnsi="Arial"/>
          <w:sz w:val="18"/>
          <w:szCs w:val="18"/>
          <w:color w:val="auto"/>
        </w:rPr>
        <w:t>We seek to maintain a conservative financial position. As of December 31, 2021, Diamondback had $595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of standalone cash and cash equivalents and our borrowing base was set at $1.6 billion which was fully available for future borrowings. As of December 31, 2021, Viper LLC had $39 million of cash and cash equivalents, $304 million in outstanding borrowings and $196 million available for future borrowings under its operating company’s revolving credit facility. As of December 31, 2021, Rattler LLC had $20 million of cash and cash equivalents, $195 million in outstanding borrowings and $405 million available for future borrowings under its operating company’s revolving credit facility.</w:t>
      </w:r>
    </w:p>
    <w:p>
      <w:pPr>
        <w:spacing w:after="0" w:line="214" w:lineRule="exact"/>
        <w:rPr>
          <w:rFonts w:ascii="Arial" w:cs="Arial" w:eastAsia="Arial" w:hAnsi="Arial"/>
          <w:sz w:val="18"/>
          <w:szCs w:val="18"/>
          <w:b w:val="1"/>
          <w:bCs w:val="1"/>
          <w:color w:val="auto"/>
        </w:rPr>
      </w:pPr>
    </w:p>
    <w:p>
      <w:pPr>
        <w:jc w:val="both"/>
        <w:ind w:left="980" w:hanging="324"/>
        <w:spacing w:after="0" w:line="273"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Deliver on our commitment to ESG performance</w:t>
      </w:r>
      <w:r>
        <w:rPr>
          <w:rFonts w:ascii="Arial" w:cs="Arial" w:eastAsia="Arial" w:hAnsi="Arial"/>
          <w:sz w:val="17"/>
          <w:szCs w:val="17"/>
          <w:color w:val="auto"/>
        </w:rPr>
        <w:t>. We are committed to the safe and responsible development of our resources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Permian Basin. Our approach to environmental, social and governance (“ESG”) matters is evidenced through our commitment to people, environmental responsibility, community and sound governance practices. Specifically, in February 2021, we announced significant enhancements to our ESG performance and disclosure, including Scope 1 and methane emission intensity reduction targets, as well as the implementation of our “Net Zero Now” initiative under which, effective January 1, 2021, we strive to produce every hydrocarbon with zero Scope 1 emissions. In September 2021, we announced our long-term goal to end routine flaring by 2025 and a long-term target to source over 65% of our water used for drilling and completion operations from recycled sources by 2025.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strengths will help us achieve our business goals:</w:t>
      </w:r>
    </w:p>
    <w:p>
      <w:pPr>
        <w:spacing w:after="0" w:line="248" w:lineRule="exact"/>
        <w:rPr>
          <w:sz w:val="20"/>
          <w:szCs w:val="20"/>
          <w:color w:val="auto"/>
        </w:rPr>
      </w:pPr>
    </w:p>
    <w:p>
      <w:pPr>
        <w:jc w:val="both"/>
        <w:ind w:left="980" w:hanging="324"/>
        <w:spacing w:after="0" w:line="258" w:lineRule="auto"/>
        <w:tabs>
          <w:tab w:leader="none" w:pos="97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Oil rich resource base in one of North America’s leading resource plays. </w:t>
      </w:r>
      <w:r>
        <w:rPr>
          <w:rFonts w:ascii="Arial" w:cs="Arial" w:eastAsia="Arial" w:hAnsi="Arial"/>
          <w:sz w:val="18"/>
          <w:szCs w:val="18"/>
          <w:color w:val="auto"/>
        </w:rPr>
        <w:t>Substantially all of our leasehold acreage is located in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prolific oil plays in North America, the Permian Basin in West Texas. The majority of our current properties are well positioned in the core of the Permian Basin. Our production for the year ended December 31, 2021 was approximately 60% oil, 20% natural gas liquids and 20% natural gas. As of December 31, 2021, our estimated net proved reserves were comprised of approximately 52% oil, 24% natural gas liquids and 24% natural gas.</w:t>
      </w:r>
    </w:p>
    <w:p>
      <w:pPr>
        <w:spacing w:after="0" w:line="210" w:lineRule="exact"/>
        <w:rPr>
          <w:rFonts w:ascii="Arial" w:cs="Arial" w:eastAsia="Arial" w:hAnsi="Arial"/>
          <w:sz w:val="18"/>
          <w:szCs w:val="18"/>
          <w:b w:val="1"/>
          <w:bCs w:val="1"/>
          <w:color w:val="auto"/>
        </w:rPr>
      </w:pPr>
    </w:p>
    <w:p>
      <w:pPr>
        <w:jc w:val="both"/>
        <w:ind w:left="980" w:hanging="324"/>
        <w:spacing w:after="0" w:line="289" w:lineRule="auto"/>
        <w:tabs>
          <w:tab w:leader="none" w:pos="97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Multi-year drilling inventory in one of North America’s leading oil resource plays. </w:t>
      </w:r>
      <w:r>
        <w:rPr>
          <w:rFonts w:ascii="Arial" w:cs="Arial" w:eastAsia="Arial" w:hAnsi="Arial"/>
          <w:sz w:val="16"/>
          <w:szCs w:val="16"/>
          <w:color w:val="auto"/>
        </w:rPr>
        <w:t>We have identified a multi-year inventory of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drilling locations for our oil-weighted reserves that we believe provides attractive growth and return opportunities. At an assumed economic price of approximately $50.00 per Bbl WTI, we currently have approximately 9,314 gross (6,311 net) identified potential horizontal drilling locations on our acreage, based on our evaluation of applicable geologic and engineering data. These gross identified economic potential horizontal locations have an average lateral length of approximately 8,646 feet, with the actual length depending on lease geometry and other considerations. These locations exist across most of our acreage blocks and in multiple horizons. The ultimate inter-well spacing at these locations may vary due to different factors, which would result in a higher or lower location count. In addition, we have approximately 4,980 square miles of proprietary 3-D seismic data covering our acreage. This data facilitates the evaluation of our existing drilling inventory and provides insight into future development activity, including additional horizontal drilling opportunities and strategic leasehold acquisitions.</w:t>
      </w:r>
    </w:p>
    <w:p>
      <w:pPr>
        <w:spacing w:after="0" w:line="193" w:lineRule="exact"/>
        <w:rPr>
          <w:rFonts w:ascii="Arial" w:cs="Arial" w:eastAsia="Arial" w:hAnsi="Arial"/>
          <w:sz w:val="16"/>
          <w:szCs w:val="16"/>
          <w:color w:val="auto"/>
        </w:rPr>
      </w:pPr>
    </w:p>
    <w:p>
      <w:pPr>
        <w:jc w:val="both"/>
        <w:ind w:left="980" w:hanging="324"/>
        <w:spacing w:after="0" w:line="261"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Experienced, incentivized and proven management team. </w:t>
      </w:r>
      <w:r>
        <w:rPr>
          <w:rFonts w:ascii="Arial" w:cs="Arial" w:eastAsia="Arial" w:hAnsi="Arial"/>
          <w:sz w:val="18"/>
          <w:szCs w:val="18"/>
          <w:color w:val="auto"/>
        </w:rPr>
        <w:t>Our executive team has a proven track record of executing on multi-rig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drilling programs and extensive experience in the Permian Basin. In addition, our executive team has significant experience with both drilling and completing horizontal wells in addition to horizontal well reservoir and geologic expertise, which is of strategic importance as we expand our horizontal drilling activity.</w:t>
      </w:r>
    </w:p>
    <w:p>
      <w:pPr>
        <w:spacing w:after="0" w:line="206" w:lineRule="exact"/>
        <w:rPr>
          <w:rFonts w:ascii="Arial" w:cs="Arial" w:eastAsia="Arial" w:hAnsi="Arial"/>
          <w:sz w:val="18"/>
          <w:szCs w:val="18"/>
          <w:color w:val="auto"/>
        </w:rPr>
      </w:pPr>
    </w:p>
    <w:p>
      <w:pPr>
        <w:jc w:val="both"/>
        <w:ind w:left="980" w:hanging="324"/>
        <w:spacing w:after="0" w:line="261" w:lineRule="auto"/>
        <w:tabs>
          <w:tab w:leader="none" w:pos="97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Favorable operating environment. </w:t>
      </w:r>
      <w:r>
        <w:rPr>
          <w:rFonts w:ascii="Arial" w:cs="Arial" w:eastAsia="Arial" w:hAnsi="Arial"/>
          <w:sz w:val="18"/>
          <w:szCs w:val="18"/>
          <w:color w:val="auto"/>
        </w:rPr>
        <w:t>We have focused our drilling and development operations in the Permian Basin, one of the longest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hydrocarbon basins in the United States, with a long and well-established production history and developed infrastructure. We believe that the geological and regulatory environment of the Permian Basin is more stable and predictable, and that we are faced with less operational risks in the Permian Basin, as compared to emerging hydrocarbon basins.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left="980" w:hanging="324"/>
        <w:spacing w:after="0" w:line="277"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High degree of operational control. </w:t>
      </w:r>
      <w:r>
        <w:rPr>
          <w:rFonts w:ascii="Arial" w:cs="Arial" w:eastAsia="Arial" w:hAnsi="Arial"/>
          <w:sz w:val="17"/>
          <w:szCs w:val="17"/>
          <w:color w:val="auto"/>
        </w:rPr>
        <w:t>We are the operator of approximately 99% of our Permian Basin acreage. This operating control allows</w:t>
      </w:r>
      <w:r>
        <w:rPr>
          <w:rFonts w:ascii="Arial" w:cs="Arial" w:eastAsia="Arial" w:hAnsi="Arial"/>
          <w:sz w:val="17"/>
          <w:szCs w:val="17"/>
          <w:b w:val="1"/>
          <w:bCs w:val="1"/>
          <w:color w:val="auto"/>
        </w:rPr>
        <w:t xml:space="preserve"> </w:t>
      </w:r>
      <w:r>
        <w:rPr>
          <w:rFonts w:ascii="Arial" w:cs="Arial" w:eastAsia="Arial" w:hAnsi="Arial"/>
          <w:sz w:val="17"/>
          <w:szCs w:val="17"/>
          <w:color w:val="auto"/>
        </w:rPr>
        <w:t>us to better execute on our strategies of enhancing returns through operational and cost efficiencies and increasing ultimate hydrocarbon recovery by seeking to continually improve our drilling techniques, completion methodologies and reservoir evaluation processes. We retain the ability to increase or decrease our capital expenditure program based on commodity price outlooks. This operating control also enables us to obtain data needed for efficient exploration of horizontal prospects.</w:t>
      </w:r>
    </w:p>
    <w:p>
      <w:pPr>
        <w:spacing w:after="0" w:line="194" w:lineRule="exact"/>
        <w:rPr>
          <w:rFonts w:ascii="Arial" w:cs="Arial" w:eastAsia="Arial" w:hAnsi="Arial"/>
          <w:sz w:val="17"/>
          <w:szCs w:val="17"/>
          <w:color w:val="auto"/>
        </w:rPr>
      </w:pPr>
    </w:p>
    <w:p>
      <w:pPr>
        <w:jc w:val="both"/>
        <w:ind w:left="980" w:hanging="324"/>
        <w:spacing w:after="0" w:line="256"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Access to midstream infrastructure and gathering and transportation pipelines</w:t>
      </w:r>
      <w:r>
        <w:rPr>
          <w:rFonts w:ascii="Arial" w:cs="Arial" w:eastAsia="Arial" w:hAnsi="Arial"/>
          <w:sz w:val="18"/>
          <w:szCs w:val="18"/>
          <w:color w:val="auto"/>
        </w:rPr>
        <w:t>. Through our publicly traded subsidiary Rattler and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ventures in which it owns an interest, we have secured access to midstream infrastructure and crude oil and NGL gathering and transportation pipelines tailored to our expected levels of production in order to allow us the operational flexibility to execute on our business plan. Rattler is the primary provider of crude oil gathering and transportation and water sourcing and distribution service to us, with an acreage dedication that spans a total of approximately 450,000 gross acres across all of Rattler’s service lines and over the core of the Midland and Delaware Basins.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and Land</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Permian Basin area covers a significant portion of western Texas and eastern New Mexico and is considered one of the major producing basins in the United States. As of December 31, 2021, our total acreage position in the Permian Basin was approximately 524,700 gross (445,848 net) acres, which consisted primarily of approximately 292,903 gross (265,562 net) acres in the Midland Basin and approximately 189,357 gross (148,588 net) acres in the Delaware Basin. In addition, our publicly traded subsidiary Viper owns mineral interests underlying approximately 930,871 gross acres and 27,027 net royalty acres in the Permian Basin and Eagle Ford Shale. Approximately 54% of these net royalty acres are operated by us.</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been developing multiple pay intervals in the Permian Basin through horizontal drilling and believe that there are opportunities to target additional intervals throughout the stratigraphic column. We believe our significant experience drilling, completing and operating horizontal wells will allow us to efficiently develop our remaining inventory and ultimately target other horizons that have limited development to date. The following table presents horizontal producing wells in which we have a working interest as of December 31, 2021: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60" w:type="dxa"/>
            <w:vAlign w:val="bottom"/>
            <w:gridSpan w:val="2"/>
          </w:tcPr>
          <w:p>
            <w:pPr>
              <w:ind w:left="4040"/>
              <w:spacing w:after="0"/>
              <w:rPr>
                <w:sz w:val="20"/>
                <w:szCs w:val="20"/>
                <w:color w:val="auto"/>
              </w:rPr>
            </w:pPr>
            <w:r>
              <w:rPr>
                <w:rFonts w:ascii="Arial" w:cs="Arial" w:eastAsia="Arial" w:hAnsi="Arial"/>
                <w:sz w:val="16"/>
                <w:szCs w:val="16"/>
                <w:b w:val="1"/>
                <w:bCs w:val="1"/>
                <w:color w:val="auto"/>
              </w:rPr>
              <w:t>Basin</w:t>
            </w:r>
          </w:p>
        </w:tc>
        <w:tc>
          <w:tcPr>
            <w:tcW w:w="2680" w:type="dxa"/>
            <w:vAlign w:val="bottom"/>
          </w:tcPr>
          <w:p>
            <w:pPr>
              <w:jc w:val="right"/>
              <w:ind w:right="272"/>
              <w:spacing w:after="0"/>
              <w:rPr>
                <w:sz w:val="20"/>
                <w:szCs w:val="20"/>
                <w:color w:val="auto"/>
              </w:rPr>
            </w:pPr>
            <w:r>
              <w:rPr>
                <w:rFonts w:ascii="Arial" w:cs="Arial" w:eastAsia="Arial" w:hAnsi="Arial"/>
                <w:sz w:val="16"/>
                <w:szCs w:val="16"/>
                <w:b w:val="1"/>
                <w:bCs w:val="1"/>
                <w:color w:val="auto"/>
              </w:rPr>
              <w:t>Number of Horizontal Wells</w:t>
            </w:r>
          </w:p>
        </w:tc>
      </w:tr>
      <w:tr>
        <w:trPr>
          <w:trHeight w:val="226"/>
        </w:trPr>
        <w:tc>
          <w:tcPr>
            <w:tcW w:w="8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Midland</w:t>
            </w:r>
          </w:p>
        </w:tc>
        <w:tc>
          <w:tcPr>
            <w:tcW w:w="8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r>
      <w:tr>
        <w:trPr>
          <w:trHeight w:val="229"/>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268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8560" w:type="dxa"/>
            <w:vAlign w:val="bottom"/>
            <w:gridSpan w:val="2"/>
          </w:tcPr>
          <w:p>
            <w:pPr>
              <w:ind w:left="2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(1)</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w:t>
            </w: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Of these 2,842 total horizontal producing wells, we are the operator of 2,378 wells and have a non-operated working interest in 464 additional wells.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average number of days in which we were able to drill our horizontal wells to total depth specified below during the year ended December 31,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Average Days to Total Depth</w:t>
            </w:r>
          </w:p>
        </w:tc>
      </w:tr>
      <w:tr>
        <w:trPr>
          <w:trHeight w:val="19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Midland Basin</w:t>
            </w:r>
          </w:p>
        </w:tc>
        <w:tc>
          <w:tcPr>
            <w:tcW w:w="2640" w:type="dxa"/>
            <w:vAlign w:val="bottom"/>
            <w:shd w:val="clear" w:color="auto" w:fill="CCEEFF"/>
          </w:tcPr>
          <w:p>
            <w:pPr>
              <w:spacing w:after="0"/>
              <w:rPr>
                <w:sz w:val="17"/>
                <w:szCs w:val="17"/>
                <w:color w:val="auto"/>
              </w:rPr>
            </w:pP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7,500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10,000 foot lateral</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13,000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Delaware Basin</w:t>
            </w:r>
          </w:p>
        </w:tc>
        <w:tc>
          <w:tcPr>
            <w:tcW w:w="2640" w:type="dxa"/>
            <w:vAlign w:val="bottom"/>
            <w:shd w:val="clear" w:color="auto" w:fill="CCEEFF"/>
          </w:tcPr>
          <w:p>
            <w:pPr>
              <w:spacing w:after="0"/>
              <w:rPr>
                <w:sz w:val="18"/>
                <w:szCs w:val="18"/>
                <w:color w:val="auto"/>
              </w:rPr>
            </w:pPr>
          </w:p>
        </w:tc>
      </w:tr>
      <w:tr>
        <w:trPr>
          <w:trHeight w:val="229"/>
        </w:trPr>
        <w:tc>
          <w:tcPr>
            <w:tcW w:w="8600" w:type="dxa"/>
            <w:vAlign w:val="bottom"/>
          </w:tcPr>
          <w:p>
            <w:pPr>
              <w:ind w:left="220"/>
              <w:spacing w:after="0"/>
              <w:rPr>
                <w:sz w:val="20"/>
                <w:szCs w:val="20"/>
                <w:color w:val="auto"/>
              </w:rPr>
            </w:pPr>
            <w:r>
              <w:rPr>
                <w:rFonts w:ascii="Arial" w:cs="Arial" w:eastAsia="Arial" w:hAnsi="Arial"/>
                <w:sz w:val="18"/>
                <w:szCs w:val="18"/>
                <w:color w:val="auto"/>
              </w:rPr>
              <w:t>7,500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10,000 foot lateral</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600" w:type="dxa"/>
            <w:vAlign w:val="bottom"/>
          </w:tcPr>
          <w:p>
            <w:pPr>
              <w:ind w:left="220"/>
              <w:spacing w:after="0"/>
              <w:rPr>
                <w:sz w:val="20"/>
                <w:szCs w:val="20"/>
                <w:color w:val="auto"/>
              </w:rPr>
            </w:pPr>
            <w:r>
              <w:rPr>
                <w:rFonts w:ascii="Arial" w:cs="Arial" w:eastAsia="Arial" w:hAnsi="Arial"/>
                <w:sz w:val="18"/>
                <w:szCs w:val="18"/>
                <w:color w:val="auto"/>
              </w:rPr>
              <w:t>13,000 foot lateral</w:t>
            </w:r>
          </w:p>
        </w:tc>
        <w:tc>
          <w:tcPr>
            <w:tcW w:w="26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advances in drilling and completion technology may result in economic development of zones that are not currently viable.</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subsidiary, Rattler, is focused on ownership, operation, development and acquisition of the midstream infrastructure assets in the Midland and Delaware Basins of the Permian Basin. Rattler’s crude oil infrastructure assets consist of gathering pipelines and metering facilities, which collectively gather crude oil for its customers. Rattler’s facilities gather crude oil from horizontal and vertical wells in our ReWard, Spanish Trail, Pecos and Fivestones areas within the Permian Basin. Rattler’s water sourcing and distribution assets consists of water wells, frac pits, pipelines and water treatment and recycling facilities, which collectively gather and distribute water from Permian Basin aquifers to the drilling and completion sites through buried pipelines and temporary surface pipelines. Additionally, Rattler previously owned natural gas gathering assets, substantially all of which were divested in the fourth quarter of 2021. Subsequent to the divestiture of these assets, we utilize third party services and joint ventures in which Rattler owns equity interests discussed below for gathering and transportation of our natural gas production.</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2021, Rattler owned and operated 866 miles of crude oil gathering pipelines and a fully integrated water system on acreage that overlays our nine core Midland and Delaware Basin development areas. To facilitate the transportation of water and crude oil volumes away from the producing wellhead to ensure the efficient operations of a crude oil well, Rattler’s midstream infrastructure includes a network of gathering pipelines that collect and transport crude oil and produced water from our operations in the Midland and Delaware Basins. 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Rattler also owned interests in the following investments:</w:t>
      </w:r>
    </w:p>
    <w:p>
      <w:pPr>
        <w:spacing w:after="0" w:line="252" w:lineRule="exact"/>
        <w:rPr>
          <w:sz w:val="20"/>
          <w:szCs w:val="20"/>
          <w:color w:val="auto"/>
        </w:rPr>
      </w:pPr>
    </w:p>
    <w:p>
      <w:pPr>
        <w:jc w:val="both"/>
        <w:ind w:left="980" w:hanging="324"/>
        <w:spacing w:after="0" w:line="255"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10% equity interest in EPIC Crude Holdings LP, which owns and operates a long-haul crude oil pipeline from the Permian Basin and the Eagle Ford Shale to Corpus Christi, Texas that is capable of transporting approximately 600,000 Bbl/d, which began full operations in April 2020 and is referred to as the EPIC pipeline;</w:t>
      </w:r>
    </w:p>
    <w:p>
      <w:pPr>
        <w:spacing w:after="0" w:line="2" w:lineRule="exact"/>
        <w:rPr>
          <w:rFonts w:ascii="Arial" w:cs="Arial" w:eastAsia="Arial" w:hAnsi="Arial"/>
          <w:sz w:val="18"/>
          <w:szCs w:val="18"/>
          <w:color w:val="auto"/>
        </w:rPr>
      </w:pPr>
    </w:p>
    <w:p>
      <w:pPr>
        <w:jc w:val="both"/>
        <w:ind w:left="980" w:hanging="324"/>
        <w:spacing w:after="0" w:line="265"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10% equity interest in Gray Oak Pipeline, LLC, which owns and operates a long-haul crude oil pipeline that is capable of transporting 900,000 Bbl/d from the Permian Basin and the Eagle Ford Shale to points along the Texas Gulf Coast, including a marine terminal connection in Corpus Christi, Texas, which began full operations in April 2020 and is referred to as the Gray Oak pipeline;</w:t>
      </w:r>
    </w:p>
    <w:p>
      <w:pPr>
        <w:jc w:val="both"/>
        <w:ind w:left="980" w:hanging="324"/>
        <w:spacing w:after="0" w:line="250"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 equity interest in Wink to Webster Pipeline LLC, which is developing a crude oil pipeline that upon full commercial operations expected in the first quarter of 2022 will be capable of transporting approximately 1,500,000 Bbl/d from origin points at Wink and Midland in the Permian Basin for delivery to multiple Houston area locations;</w:t>
      </w:r>
    </w:p>
    <w:p>
      <w:pPr>
        <w:spacing w:after="0" w:line="1" w:lineRule="exact"/>
        <w:rPr>
          <w:rFonts w:ascii="Arial" w:cs="Arial" w:eastAsia="Arial" w:hAnsi="Arial"/>
          <w:sz w:val="18"/>
          <w:szCs w:val="18"/>
          <w:color w:val="auto"/>
        </w:rPr>
      </w:pPr>
    </w:p>
    <w:p>
      <w:pPr>
        <w:ind w:left="980" w:hanging="324"/>
        <w:spacing w:after="0" w:line="265"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60% equity interest in OMOG JV LLC, which operates approximately 245 miles of crude oil gathering and regional transportation pipelines and approximately 200,000 barrels of crude oil storage in Midland, Martin, Andrews and Ector Counties, Texas; and</w:t>
      </w:r>
    </w:p>
    <w:p>
      <w:pPr>
        <w:jc w:val="both"/>
        <w:ind w:left="980" w:hanging="324"/>
        <w:spacing w:after="0" w:line="255"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25% equity interest in Remuda Midstream Holdings LLC, a joint venture that owns a majority interest in WTG Midstream LLC, which owns and operates an interconnected gas gathering system and six major gas processing plants servicing the Midland Basin with 925 MMcf/d of total processing capacity with additional gas gathering and processing expansions planned.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regarding our equity method investments as of December 31, 2021, see Note 10—</w:t>
      </w:r>
      <w:hyperlink w:anchor="page107">
        <w:r>
          <w:rPr>
            <w:rFonts w:ascii="Arial" w:cs="Arial" w:eastAsia="Arial" w:hAnsi="Arial"/>
            <w:sz w:val="18"/>
            <w:szCs w:val="18"/>
            <w:u w:val="single" w:color="auto"/>
            <w:color w:val="0000FF"/>
          </w:rPr>
          <w:t>Equity Method Investments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included elsewhere in this Annual Report.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Rattler also owns and operates certain real estate assets in Midland, Texas including the Fasken Center which has over 421,000 net rentable square feet within its two office towers.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Area History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proved reserves are located in the Permian Basin of West Texas, in particular in the Clearfork, Spraberry, Bone Spring, Wolfcamp, Strawn, Atoka and Barnett/Meramec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mid-2010, approximately half of the rigs active in the Permian Basin were drilling wells in the Permian Spraberry, Dean and Wolfcamp formations, which we collectively refer to as the Wolfberry play. Since then we and most other operators are almost exclusively drilling horizontal wells in the development of unconventional reservoirs in the Permian Basin. As of December 31, 2021, we held working interests in 5,289 gross (4,430 net) producing wells and only royalty interests in 6,455 additional wells.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Geology</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Greater Permian Basin formed as an area of rapid Pennsylvanian-Permian subsidence in response to dynamic structural influence of the Marathon Uplift and Ancestral Rockies. It is one of the most productive sedimentary basins in the U.S., with established oil and natural gas production from several stacked reservoirs of varying age ranges, most notably Permian aged sediments. In particular, the Permian aged Wolfcamp, Spraberry and Bone Spring Formations have been heavily targeted for several decades. First, through vertical comingling of these zones and, more recently, through horizontal exploitation of each individual horizon. Prior to deposition of the Wolfcamp, Spraberry and Bone Spring Formations, the area of the present-day Permian Basin was a continuous sedimentary feature called the Tabosa Basin. During this time, Ordovician, Silurian, Devonian and Mississippian sediments were laid down in a primarily open marine, shelf setting. However, some time frames saw more restrictive settings that were conducive to the deposition of organically rich mudstone such as the Devonian Woodford and Mississippian Barnett/Meramec. These formations are important sources and, more recently, reservoirs within the present-day Greater Permian Basin.</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Spraberry and Bone Spring Formations were deposited as siliciclastic and carbonate turbidites and debris flows along with pelagic mudstones in a deep-water, basinal environment, while the Wolfcamp reservoirs consist of debris-flow, grain-flow and fine-grained pelagic sediments, which were also deposited in a basinal setting. The best carbonate reservoirs within the Wolfcamp, Spraberry and Bone Spring are generally found in close proximity to the Central Basin Platform, while mudstone reservoirs thicken basin-ward, away from the Central Basin Platform. The mudstone within these reservoirs is organically rich, which when buried to sufficient depth for thermal maturation, became the source of the hydrocarbons found both within the mudstones themselves and in the interbedded conventional clastic and carbonate reservoirs. Due to this complexity, the Wolfcamp, Spraberry and Bone Spring intervals are a hybrid reservoir system that contains characteristics of both unconventional and conventional reservoirs.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successfully developed several hybrid reservoir intervals within the Clearfork, Spraberry/Bone Spring, Wolfcamp and Barnett/Meramec formations since we began horizontal drilling in 2012. The mudstones and some clastics exhibit low permeabilities which necessitate the need for hydraulic fracture stimulation to unlock the vast storage of hydrocarbons in these targets.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possess, or are in the process of acquiring, 3-D seismic data over substantially all of our major asset areas. Our extensive geophysical database currently includes approximately 4,980 square miles of 3-D data. This data will continue to be utilized in the development of our horizontal drilling program and identification of additional resources to be exploited.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Status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2021, net production from our acreage was 137,002 MBOE, or an average of 375,348 BOE/d, of which approximately 60% was oil, 20% was natural gas liquids and 20% was natural gas.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Future Activity</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2022, we expect to drill an estimated 270 to 290 gross (248 to 267 net) operated horizontal wells and complete an estimated 260 to 280 gross (240 to 258 net) operated horizontal wells on our acreage. We currently estimate that our capital expenditures in 2022 will be between $1.75 billion and $1.90 billion, consisting of $1.56 billion to $1.67 billion for horizontal drilling and completions including non-operated activity and capital workovers, $110 million to $130 million for infrastructure and environmental and $80 million to $100 million for midstream investments, excluding joint venture investments and the cost of any leasehold and mineral interest acquisitions. During the year ended December 31, 2021, we drilled 216 gross (203 net) and completed 275 gross (258 net) operated horizontal wells. During the year ended December 31, 2021, our capital expenditures for drilling, completing and equipping wells and infrastructure additions to oil and natural gas properties were $1.5 billion. In addition, we spent $30 million for oil and natural gas midstream assets.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operating 10 drilling rigs and four completion crews at December 31, 2021 and currently intend to operate between 10 and 12 rigs and three and four completion crews on average in 2022. We will continue monitoring the ongoing commodity price environment and expect to retain the financial flexibility to adjust our drilling and completion plans in response to market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Proved Reserves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Evaluation and Review of Reserves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historical reserve estimates as of December 31, 2021, 2020 and 2019 were prepared by Ryder Scott with respect to our assets and those of Viper. Ryder Scott is an independent petroleum engineering firm. The technical persons responsible for preparing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w:t>
      </w:r>
    </w:p>
    <w:p>
      <w:pPr>
        <w:spacing w:after="0" w:line="2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2021 were estimated using a deterministic method.</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(1) performance-based methods,</w:t>
      </w:r>
    </w:p>
    <w:p>
      <w:pPr>
        <w:spacing w:after="0" w:line="1" w:lineRule="exact"/>
        <w:rPr>
          <w:sz w:val="20"/>
          <w:szCs w:val="20"/>
          <w:color w:val="auto"/>
        </w:rPr>
      </w:pPr>
    </w:p>
    <w:p>
      <w:pPr>
        <w:jc w:val="both"/>
        <w:ind w:firstLine="8"/>
        <w:spacing w:after="0" w:line="252" w:lineRule="auto"/>
        <w:tabs>
          <w:tab w:leader="none" w:pos="2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volumetric-based methods and (3) analogy. These methods may be used singularly or in combination by the reserve evaluator in the process of estimating the quantities of reserves. Approximately 95% of the proved producing reserves attributable to producing wells were estimated by performance methods. These performance methods include, but may not be limited to, decline curve analysis, which utilized extrapolations of available historical production and pressure data. The remaining 5%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estimate economically recoverable proved reserves and related future net cash flows, Ryder Scott considered many factors and assumptions, including the use of reservoir parameters derived from geological, geophysical and engineering data which cannot be measured directly, economic criteria based on current costs and the SEC pricing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176" w:lineRule="exact"/>
        <w:rPr>
          <w:sz w:val="20"/>
          <w:szCs w:val="20"/>
          <w:color w:val="auto"/>
        </w:rPr>
      </w:pPr>
    </w:p>
    <w:p>
      <w:pPr>
        <w:jc w:val="both"/>
        <w:ind w:firstLine="648"/>
        <w:spacing w:after="0" w:line="254" w:lineRule="auto"/>
        <w:rPr>
          <w:rFonts w:ascii="Arial" w:cs="Arial" w:eastAsia="Arial" w:hAnsi="Arial"/>
          <w:sz w:val="18"/>
          <w:szCs w:val="18"/>
          <w:color w:val="0000FF"/>
        </w:rPr>
      </w:pPr>
      <w:hyperlink w:anchor="page33">
        <w:r>
          <w:rPr>
            <w:rFonts w:ascii="Arial" w:cs="Arial" w:eastAsia="Arial" w:hAnsi="Arial"/>
            <w:sz w:val="18"/>
            <w:szCs w:val="18"/>
            <w:color w:val="auto"/>
          </w:rPr>
          <w:t>The process of estimating oil, natural gas and natural gas liquids reserves is complex and requires significant judgment, as discussed in “</w:t>
        </w:r>
        <w:r>
          <w:rPr>
            <w:rFonts w:ascii="Arial" w:cs="Arial" w:eastAsia="Arial" w:hAnsi="Arial"/>
            <w:sz w:val="18"/>
            <w:szCs w:val="18"/>
            <w:u w:val="single" w:color="auto"/>
            <w:color w:val="0000FF"/>
          </w:rPr>
          <w:t>Item 1A.</w:t>
        </w:r>
      </w:hyperlink>
      <w:r>
        <w:rPr>
          <w:rFonts w:ascii="Arial" w:cs="Arial" w:eastAsia="Arial" w:hAnsi="Arial"/>
          <w:sz w:val="18"/>
          <w:szCs w:val="18"/>
          <w:color w:val="auto"/>
        </w:rPr>
        <w:t xml:space="preserve"> </w:t>
      </w:r>
      <w:hyperlink w:anchor="page33">
        <w:r>
          <w:rPr>
            <w:rFonts w:ascii="Arial" w:cs="Arial" w:eastAsia="Arial" w:hAnsi="Arial"/>
            <w:sz w:val="18"/>
            <w:szCs w:val="18"/>
            <w:u w:val="single" w:color="auto"/>
            <w:color w:val="0000FF"/>
          </w:rPr>
          <w:t>Risk Factors</w:t>
        </w:r>
        <w:r>
          <w:rPr>
            <w:rFonts w:ascii="Arial" w:cs="Arial" w:eastAsia="Arial" w:hAnsi="Arial"/>
            <w:sz w:val="18"/>
            <w:szCs w:val="18"/>
            <w:color w:val="000000"/>
          </w:rPr>
          <w:t>” of this report. As a result, we maintain an internal staff of petroleum engineers and geoscience professionals who worked closely with our</w:t>
        </w:r>
      </w:hyperlink>
      <w:r>
        <w:rPr>
          <w:rFonts w:ascii="Arial" w:cs="Arial" w:eastAsia="Arial" w:hAnsi="Arial"/>
          <w:sz w:val="18"/>
          <w:szCs w:val="18"/>
          <w:color w:val="0000FF"/>
        </w:rPr>
        <w:t xml:space="preserve"> </w:t>
      </w:r>
      <w:r>
        <w:rPr>
          <w:rFonts w:ascii="Arial" w:cs="Arial" w:eastAsia="Arial" w:hAnsi="Arial"/>
          <w:sz w:val="18"/>
          <w:szCs w:val="18"/>
          <w:color w:val="000000"/>
        </w:rPr>
        <w:t>independent reserve engineers to ensure the integrity, accuracy and timeliness of the data used to calculate our proved reserves relating to our assets in the Permian Basin. Our internal technical team members met with our independent reserve engineers periodically during the period covered by the reserve reports to discuss the assumptions and methods used in the proved reserve estimation process. We provide historical information to the independent reserve engineers for our properties such as ownership interest, oil and natural gas production, well test data, commodity prices and operating and development costs.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his retirement effective December 31, 2021, our Executive Vice President and Chief Engineer was primarily responsible for overseeing the preparation of all our reserve estimates. Effective January 1, 2022, our Senior Vice President of Reservoir Engineering has assumed these responsibilities. We collectively refer to these individuals as the primary reserve engineers. The primary reserve engineers are petroleum engineers with over 30 and 18 years of reservoir and operations experience, respectively, and our geoscience staff has an average of approximately 15 years of industry experience per person. Our technical staff uses historical information for our properties such as ownership interest, oil and natural gas production, well test data, commodity prices and operating and development costs.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preparation of our proved reserve estimates is completed in accordance with our internal control procedures. These procedures, which are intended to ensure reliability of reserve estimations, include the following:</w:t>
      </w:r>
    </w:p>
    <w:p>
      <w:pPr>
        <w:spacing w:after="0" w:line="18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is based on actual production as reported by us;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preparation of reserve estimates by the primary reserve engineers or under their direct supervision;</w:t>
      </w:r>
    </w:p>
    <w:p>
      <w:pPr>
        <w:spacing w:after="0" w:line="23" w:lineRule="exact"/>
        <w:rPr>
          <w:rFonts w:ascii="Arial" w:cs="Arial" w:eastAsia="Arial" w:hAnsi="Arial"/>
          <w:sz w:val="18"/>
          <w:szCs w:val="18"/>
          <w:color w:val="auto"/>
        </w:rPr>
      </w:pPr>
    </w:p>
    <w:p>
      <w:pPr>
        <w:ind w:left="980" w:hanging="324"/>
        <w:spacing w:after="0" w:line="234"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by the primary reserve engineers of all of our reported proved reserves at the close of each quarter, including the review of all significant reserve changes and all new proved undeveloped reserves additions;</w:t>
      </w:r>
    </w:p>
    <w:p>
      <w:pPr>
        <w:spacing w:after="0" w:line="1" w:lineRule="exact"/>
        <w:rPr>
          <w:rFonts w:ascii="Arial" w:cs="Arial" w:eastAsia="Arial" w:hAnsi="Arial"/>
          <w:sz w:val="18"/>
          <w:szCs w:val="18"/>
          <w:color w:val="auto"/>
        </w:rPr>
      </w:pPr>
    </w:p>
    <w:p>
      <w:pPr>
        <w:ind w:left="980" w:right="20" w:hanging="324"/>
        <w:spacing w:after="0" w:line="234"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reporting responsibilities by our Executive Vice President and Chief Engineer, prior to his retirement, to our Chief Executive Officer and by the current primary reserve engineer to our Executive Vice President—Operations;</w:t>
      </w:r>
    </w:p>
    <w:p>
      <w:pPr>
        <w:spacing w:after="0" w:line="14"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employee’s compensation is tied to the amount of reserves booked.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our estimated net proved oil and natural gas reserves as of December 31, 2021, 2020 and 2019 (including those attributable to Viper), based on the reserve reports prepared by Ryder Scott in accordance with the rules and regulations of the SEC. All of our proved reserves included in the reserve reports are located in the continental United States. As of December 31, 2021, none of our total proved reserves were classified as proved developed non-producing.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As of December 31,</w:t>
            </w:r>
          </w:p>
        </w:tc>
        <w:tc>
          <w:tcPr>
            <w:tcW w:w="1460" w:type="dxa"/>
            <w:vAlign w:val="bottom"/>
            <w:tcBorders>
              <w:bottom w:val="single" w:sz="8" w:color="auto"/>
            </w:tcBorders>
          </w:tcPr>
          <w:p>
            <w:pPr>
              <w:spacing w:after="0"/>
              <w:rPr>
                <w:sz w:val="18"/>
                <w:szCs w:val="18"/>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19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Estimated Proved Developed Reserves:</w:t>
            </w: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620,474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443,464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457,083</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1,770,688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1,085,035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824,760</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285,513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192,495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165,173</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1,201,102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816,798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759,716</w:t>
            </w:r>
          </w:p>
        </w:tc>
      </w:tr>
      <w:tr>
        <w:trPr>
          <w:trHeight w:val="213"/>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Estimated Proved Undeveloped Reserves: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307,815</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315,937</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253,820</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tcPr>
          <w:p>
            <w:pPr>
              <w:jc w:val="right"/>
              <w:spacing w:after="0"/>
              <w:rPr>
                <w:sz w:val="20"/>
                <w:szCs w:val="20"/>
                <w:color w:val="auto"/>
              </w:rPr>
            </w:pPr>
            <w:r>
              <w:rPr>
                <w:rFonts w:ascii="Arial" w:cs="Arial" w:eastAsia="Arial" w:hAnsi="Arial"/>
                <w:sz w:val="18"/>
                <w:szCs w:val="18"/>
                <w:color w:val="auto"/>
              </w:rPr>
              <w:t>815,119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522,029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294,051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144,221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65,030</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540" w:type="dxa"/>
            <w:vAlign w:val="bottom"/>
          </w:tcPr>
          <w:p>
            <w:pPr>
              <w:jc w:val="right"/>
              <w:spacing w:after="0"/>
              <w:rPr>
                <w:sz w:val="20"/>
                <w:szCs w:val="20"/>
                <w:color w:val="auto"/>
              </w:rPr>
            </w:pPr>
            <w:r>
              <w:rPr>
                <w:rFonts w:ascii="Arial" w:cs="Arial" w:eastAsia="Arial" w:hAnsi="Arial"/>
                <w:sz w:val="18"/>
                <w:szCs w:val="18"/>
                <w:color w:val="auto"/>
              </w:rPr>
              <w:t>587,889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499,643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367,859</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Estimated Net Proved Reserves: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928,289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759,401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710,903</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2,585,807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1,607,064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1,118,811</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540" w:type="dxa"/>
            <w:vAlign w:val="bottom"/>
          </w:tcPr>
          <w:p>
            <w:pPr>
              <w:jc w:val="right"/>
              <w:spacing w:after="0"/>
              <w:rPr>
                <w:sz w:val="20"/>
                <w:szCs w:val="20"/>
                <w:color w:val="auto"/>
              </w:rPr>
            </w:pPr>
            <w:r>
              <w:rPr>
                <w:rFonts w:ascii="Arial" w:cs="Arial" w:eastAsia="Arial" w:hAnsi="Arial"/>
                <w:sz w:val="18"/>
                <w:szCs w:val="18"/>
                <w:color w:val="auto"/>
              </w:rPr>
              <w:t>429,734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289,196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230,203</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Total (MBOE)</w:t>
            </w:r>
            <w:r>
              <w:rPr>
                <w:rFonts w:ascii="Arial" w:cs="Arial" w:eastAsia="Arial" w:hAnsi="Arial"/>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1,788,991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1,316,441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1,127,575</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Percent proved developed</w:t>
            </w:r>
          </w:p>
        </w:tc>
        <w:tc>
          <w:tcPr>
            <w:tcW w:w="1540" w:type="dxa"/>
            <w:vAlign w:val="bottom"/>
          </w:tcPr>
          <w:p>
            <w:pPr>
              <w:jc w:val="right"/>
              <w:ind w:right="5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460" w:type="dxa"/>
            <w:vAlign w:val="bottom"/>
          </w:tcPr>
          <w:p>
            <w:pPr>
              <w:jc w:val="right"/>
              <w:ind w:right="49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60" w:type="dxa"/>
            <w:vAlign w:val="bottom"/>
          </w:tcPr>
          <w:p>
            <w:pPr>
              <w:jc w:val="right"/>
              <w:ind w:right="471"/>
              <w:spacing w:after="0"/>
              <w:rPr>
                <w:sz w:val="20"/>
                <w:szCs w:val="20"/>
                <w:color w:val="auto"/>
              </w:rPr>
            </w:pPr>
            <w:r>
              <w:rPr>
                <w:rFonts w:ascii="Arial" w:cs="Arial" w:eastAsia="Arial" w:hAnsi="Arial"/>
                <w:sz w:val="18"/>
                <w:szCs w:val="18"/>
                <w:color w:val="auto"/>
              </w:rPr>
              <w:t>67%</w:t>
            </w:r>
          </w:p>
        </w:tc>
      </w:tr>
    </w:tbl>
    <w:p>
      <w:pPr>
        <w:spacing w:after="0" w:line="66" w:lineRule="exact"/>
        <w:rPr>
          <w:sz w:val="20"/>
          <w:szCs w:val="20"/>
          <w:color w:val="auto"/>
        </w:rPr>
      </w:pPr>
    </w:p>
    <w:p>
      <w:pPr>
        <w:jc w:val="both"/>
        <w:ind w:left="340" w:hanging="332"/>
        <w:spacing w:after="0" w:line="290" w:lineRule="auto"/>
        <w:tabs>
          <w:tab w:leader="none" w:pos="334" w:val="left"/>
        </w:tabs>
        <w:numPr>
          <w:ilvl w:val="0"/>
          <w:numId w:val="13"/>
        </w:numPr>
        <w:rPr>
          <w:rFonts w:ascii="Arial" w:cs="Arial" w:eastAsia="Arial" w:hAnsi="Arial"/>
          <w:sz w:val="16"/>
          <w:szCs w:val="16"/>
          <w:color w:val="0000FF"/>
        </w:rPr>
      </w:pPr>
      <w:r>
        <w:rPr>
          <w:rFonts w:ascii="Arial" w:cs="Arial" w:eastAsia="Arial" w:hAnsi="Arial"/>
          <w:sz w:val="16"/>
          <w:szCs w:val="16"/>
          <w:color w:val="auto"/>
        </w:rPr>
        <w:t xml:space="preserve">Estimates of reserves as of December 31, 2021, 2020 and 2019 were prepared using an average price equal to the unweighted arithmetic average of hydrocarbon prices received on a field-by-field basis on the first day of each month within the 12-month periods ended December 31, 2021, 2020 and 2019, respectively, in accordance with SEC guidelines. Reserve estimates do not include any value for probable or possible reserves that may exist, nor do they include any value for undeveloped acreage. The reserve estimates represent our net revenue interest in our properties, all of which are located within the continental United States. Although we believe these estimates are reasonable, actual future production, cash flows, taxes, development </w:t>
      </w:r>
      <w:hyperlink w:anchor="page33">
        <w:r>
          <w:rPr>
            <w:rFonts w:ascii="Arial" w:cs="Arial" w:eastAsia="Arial" w:hAnsi="Arial"/>
            <w:sz w:val="16"/>
            <w:szCs w:val="16"/>
            <w:color w:val="auto"/>
          </w:rPr>
          <w:t>expenditures, operating expenses and quantities of recoverable oil and natural gas reserves may vary substantially from these estimates. See “</w:t>
        </w:r>
        <w:r>
          <w:rPr>
            <w:rFonts w:ascii="Arial" w:cs="Arial" w:eastAsia="Arial" w:hAnsi="Arial"/>
            <w:sz w:val="16"/>
            <w:szCs w:val="16"/>
            <w:u w:val="single" w:color="auto"/>
            <w:color w:val="0000FF"/>
          </w:rPr>
          <w:t>Item 1A.</w:t>
        </w:r>
      </w:hyperlink>
      <w:r>
        <w:rPr>
          <w:rFonts w:ascii="Arial" w:cs="Arial" w:eastAsia="Arial" w:hAnsi="Arial"/>
          <w:sz w:val="16"/>
          <w:szCs w:val="16"/>
          <w:color w:val="auto"/>
        </w:rPr>
        <w:t xml:space="preserve"> </w:t>
      </w:r>
      <w:hyperlink w:anchor="page33">
        <w:r>
          <w:rPr>
            <w:rFonts w:ascii="Arial" w:cs="Arial" w:eastAsia="Arial" w:hAnsi="Arial"/>
            <w:sz w:val="16"/>
            <w:szCs w:val="16"/>
            <w:u w:val="single" w:color="auto"/>
            <w:color w:val="0000FF"/>
          </w:rPr>
          <w:t>Risk Factors</w:t>
        </w:r>
        <w:r>
          <w:rPr>
            <w:rFonts w:ascii="Arial" w:cs="Arial" w:eastAsia="Arial" w:hAnsi="Arial"/>
            <w:sz w:val="16"/>
            <w:szCs w:val="16"/>
            <w:color w:val="000000"/>
          </w:rPr>
          <w:t>” for a discussion of risks and uncertainties associated with our estimates of proved reserves and related factors, and see Note 21—</w:t>
        </w:r>
      </w:hyperlink>
      <w:r>
        <w:rPr>
          <w:rFonts w:ascii="Arial" w:cs="Arial" w:eastAsia="Arial" w:hAnsi="Arial"/>
          <w:sz w:val="16"/>
          <w:szCs w:val="16"/>
          <w:color w:val="0000FF"/>
        </w:rPr>
        <w:t xml:space="preserve"> </w:t>
      </w:r>
      <w:hyperlink w:anchor="page132">
        <w:r>
          <w:rPr>
            <w:rFonts w:ascii="Arial" w:cs="Arial" w:eastAsia="Arial" w:hAnsi="Arial"/>
            <w:sz w:val="16"/>
            <w:szCs w:val="16"/>
            <w:u w:val="single" w:color="auto"/>
            <w:color w:val="0000FF"/>
          </w:rPr>
          <w:t>Supplemental Information on Oil and Natural Gas Operations</w:t>
        </w:r>
        <w:r>
          <w:rPr>
            <w:rFonts w:ascii="Arial" w:cs="Arial" w:eastAsia="Arial" w:hAnsi="Arial"/>
            <w:sz w:val="16"/>
            <w:szCs w:val="16"/>
            <w:color w:val="0000FF"/>
          </w:rPr>
          <w:t xml:space="preserve"> </w:t>
        </w:r>
      </w:hyperlink>
      <w:r>
        <w:rPr>
          <w:rFonts w:ascii="Arial" w:cs="Arial" w:eastAsia="Arial" w:hAnsi="Arial"/>
          <w:sz w:val="16"/>
          <w:szCs w:val="16"/>
          <w:color w:val="000000"/>
        </w:rPr>
        <w:t>for</w:t>
      </w:r>
      <w:r>
        <w:rPr>
          <w:rFonts w:ascii="Arial" w:cs="Arial" w:eastAsia="Arial" w:hAnsi="Arial"/>
          <w:sz w:val="16"/>
          <w:szCs w:val="16"/>
          <w:color w:val="0000FF"/>
        </w:rPr>
        <w:t xml:space="preserve"> </w:t>
      </w:r>
      <w:r>
        <w:rPr>
          <w:rFonts w:ascii="Arial" w:cs="Arial" w:eastAsia="Arial" w:hAnsi="Arial"/>
          <w:sz w:val="16"/>
          <w:szCs w:val="16"/>
          <w:color w:val="000000"/>
        </w:rPr>
        <w:t>further discussion of our reserve estimates and pricing.</w:t>
      </w:r>
    </w:p>
    <w:p>
      <w:pPr>
        <w:spacing w:after="0" w:line="19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 (PUDs)</w:t>
      </w:r>
    </w:p>
    <w:p>
      <w:pPr>
        <w:spacing w:after="0" w:line="252" w:lineRule="exact"/>
        <w:rPr>
          <w:rFonts w:ascii="Arial" w:cs="Arial" w:eastAsia="Arial" w:hAnsi="Arial"/>
          <w:sz w:val="16"/>
          <w:szCs w:val="16"/>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2021, our proved undeveloped reserves totaled 307,815 MBbls of oil, 815,119 MMcf of natural gas and 144,221 MBbls of natural gas liquids, for a total of 587,889 MBOE. PUDs will be converted from undeveloped to developed as the applicable wells begin production.</w:t>
      </w:r>
    </w:p>
    <w:p>
      <w:pPr>
        <w:spacing w:after="0" w:line="173"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660"/>
              <w:spacing w:after="0"/>
              <w:rPr>
                <w:sz w:val="20"/>
                <w:szCs w:val="20"/>
                <w:color w:val="auto"/>
              </w:rPr>
            </w:pPr>
            <w:r>
              <w:rPr>
                <w:rFonts w:ascii="Arial" w:cs="Arial" w:eastAsia="Arial" w:hAnsi="Arial"/>
                <w:sz w:val="18"/>
                <w:szCs w:val="18"/>
                <w:color w:val="auto"/>
              </w:rPr>
              <w:t>The following table includes the changes in PUD reserves for 2021 (MBOE):</w:t>
            </w:r>
          </w:p>
        </w:tc>
        <w:tc>
          <w:tcPr>
            <w:tcW w:w="1680" w:type="dxa"/>
            <w:vAlign w:val="bottom"/>
          </w:tcPr>
          <w:p>
            <w:pPr>
              <w:spacing w:after="0"/>
              <w:rPr>
                <w:sz w:val="20"/>
                <w:szCs w:val="20"/>
                <w:color w:val="auto"/>
              </w:rPr>
            </w:pPr>
          </w:p>
        </w:tc>
      </w:tr>
      <w:tr>
        <w:trPr>
          <w:trHeight w:val="121"/>
        </w:trPr>
        <w:tc>
          <w:tcPr>
            <w:tcW w:w="95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proved undeveloped reserves at December 31, 2020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499,643</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Undeveloped reserves transferred to developed</w:t>
            </w:r>
          </w:p>
        </w:tc>
        <w:tc>
          <w:tcPr>
            <w:tcW w:w="1680" w:type="dxa"/>
            <w:vAlign w:val="bottom"/>
          </w:tcPr>
          <w:p>
            <w:pPr>
              <w:jc w:val="right"/>
              <w:spacing w:after="0"/>
              <w:rPr>
                <w:sz w:val="20"/>
                <w:szCs w:val="20"/>
                <w:color w:val="auto"/>
              </w:rPr>
            </w:pPr>
            <w:r>
              <w:rPr>
                <w:rFonts w:ascii="Arial" w:cs="Arial" w:eastAsia="Arial" w:hAnsi="Arial"/>
                <w:sz w:val="18"/>
                <w:szCs w:val="18"/>
                <w:color w:val="auto"/>
              </w:rPr>
              <w:t>(172,526)</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(243,268)</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680" w:type="dxa"/>
            <w:vAlign w:val="bottom"/>
          </w:tcPr>
          <w:p>
            <w:pPr>
              <w:jc w:val="right"/>
              <w:spacing w:after="0"/>
              <w:rPr>
                <w:sz w:val="20"/>
                <w:szCs w:val="20"/>
                <w:color w:val="auto"/>
              </w:rPr>
            </w:pPr>
            <w:r>
              <w:rPr>
                <w:rFonts w:ascii="Arial" w:cs="Arial" w:eastAsia="Arial" w:hAnsi="Arial"/>
                <w:sz w:val="18"/>
                <w:szCs w:val="18"/>
                <w:color w:val="auto"/>
              </w:rPr>
              <w:t>63,013</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Extensions and discoveries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441,027</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Ending proved undeveloped reserves at December 31, 2021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587,889</w:t>
            </w:r>
          </w:p>
        </w:tc>
      </w:tr>
      <w:tr>
        <w:trPr>
          <w:trHeight w:val="20"/>
        </w:trPr>
        <w:tc>
          <w:tcPr>
            <w:tcW w:w="9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23" w:lineRule="exact"/>
        <w:rPr>
          <w:rFonts w:ascii="Arial" w:cs="Arial" w:eastAsia="Arial" w:hAnsi="Arial"/>
          <w:sz w:val="16"/>
          <w:szCs w:val="16"/>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increase in proved undeveloped reserves was primarily attributable to extensions of 416,327 MBOE from 439 gross (383 net) wells in which we have a working interest and 24,700 MBOE from 336 gross wells in which Viper owns royalty interests. Of the 439 gross working interest wells, 409 were in the Midland Basin and 30 were in the Delaware Basin. Transfers of 172,526 MBOE from undeveloped to developed reserves were the result of drilling or participating in 154 gross (142 net) horizontal wells in which we have a working interest and 127 gross wells in which we have a royalty interest or mineral interest through Viper. We own a working interest in 106 of the 127 gross Viper wells. Downward revisions of 243,268 MBOE were the result of negative revisions of 260,494 MBOE due to downgrades related to changes in the corporate development plan following the QEP Merger and the Guidon Acquisition. These negative revisions were partially</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offset with positive revisions of 17,226 MBOE primarily attributable to higher commodity prices and improved well performance. Purchases of 63,013 MBOE were the result of 59,023 MBOE primarily from QEP and Guidon, and 3,990 MBOE of Viper’s royalty interest purchases.</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Costs incurred relating to the development of PUDs were approximately $516 million during 2021. Estimated future development costs relating to the development of PUDs are projected to be approximately $844 million in 2022, $1,053 million in 2023, $983 million in 2024 and $381 million in 2025. Since our formation in 2011, our average drilling costs and drilling times have been reduced, and we believe we will continue to realize cost savings and experience lower relative drilling and completion costs as we convert PUDs into proved developed reserves in upcoming years.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identified a multi-year inventory of potential drilling locations for our oil-weighted reserves that we believe provides attractive growth and return opportunities. At an assumed price of approximately $50.00 per Bbl WTI, we currently have approximately 9,314 gross (6,311 net) identified economic potential horizontal drilling locations on our acreage based on our evaluation of applicable geologic and engineering data. With our current development plan, we expect to continue our strong PUD conversion ratio in 2022 by converting an estimated 25% of our PUDs to a proved developed category and developing approximately 86% of the consolidated 2021 year-end PUD reserves by the end of 2024. As of December 31, 2021, all of our proved undeveloped reserves are scheduled to be developed within five years from the date they were initially recorded.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number of identified economic potential horizontal drilling locations by basin: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3060" w:type="dxa"/>
            <w:vAlign w:val="bottom"/>
          </w:tcPr>
          <w:p>
            <w:pPr>
              <w:jc w:val="right"/>
              <w:ind w:right="11"/>
              <w:spacing w:after="0"/>
              <w:rPr>
                <w:sz w:val="20"/>
                <w:szCs w:val="20"/>
                <w:color w:val="auto"/>
              </w:rPr>
            </w:pPr>
            <w:r>
              <w:rPr>
                <w:rFonts w:ascii="Arial" w:cs="Arial" w:eastAsia="Arial" w:hAnsi="Arial"/>
                <w:sz w:val="16"/>
                <w:szCs w:val="16"/>
                <w:b w:val="1"/>
                <w:bCs w:val="1"/>
                <w:color w:val="auto"/>
                <w:w w:val="95"/>
              </w:rPr>
              <w:t>Number of Identified Economic Potential</w:t>
            </w:r>
          </w:p>
        </w:tc>
      </w:tr>
      <w:tr>
        <w:trPr>
          <w:trHeight w:val="213"/>
        </w:trPr>
        <w:tc>
          <w:tcPr>
            <w:tcW w:w="8180" w:type="dxa"/>
            <w:vAlign w:val="bottom"/>
            <w:tcBorders>
              <w:bottom w:val="single" w:sz="8" w:color="CCEEFF"/>
            </w:tcBorders>
          </w:tcPr>
          <w:p>
            <w:pPr>
              <w:spacing w:after="0"/>
              <w:rPr>
                <w:sz w:val="18"/>
                <w:szCs w:val="18"/>
                <w:color w:val="auto"/>
              </w:rPr>
            </w:pPr>
          </w:p>
        </w:tc>
        <w:tc>
          <w:tcPr>
            <w:tcW w:w="3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Horizontal Drilling Locations</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Midland Basin</w:t>
            </w:r>
          </w:p>
        </w:tc>
        <w:tc>
          <w:tcPr>
            <w:tcW w:w="3060" w:type="dxa"/>
            <w:vAlign w:val="bottom"/>
            <w:shd w:val="clear" w:color="auto" w:fill="CCEEFF"/>
          </w:tcPr>
          <w:p>
            <w:pPr>
              <w:spacing w:after="0"/>
              <w:rPr>
                <w:sz w:val="17"/>
                <w:szCs w:val="17"/>
                <w:color w:val="auto"/>
              </w:rPr>
            </w:pPr>
          </w:p>
        </w:tc>
      </w:tr>
      <w:tr>
        <w:trPr>
          <w:trHeight w:val="229"/>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Lower Spraberry</w:t>
            </w:r>
            <w:r>
              <w:rPr>
                <w:rFonts w:ascii="Arial" w:cs="Arial" w:eastAsia="Arial" w:hAnsi="Arial"/>
                <w:sz w:val="23"/>
                <w:szCs w:val="23"/>
                <w:color w:val="auto"/>
                <w:vertAlign w:val="superscript"/>
              </w:rPr>
              <w:t>(1)</w:t>
            </w:r>
          </w:p>
        </w:tc>
        <w:tc>
          <w:tcPr>
            <w:tcW w:w="306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229"/>
        </w:trPr>
        <w:tc>
          <w:tcPr>
            <w:tcW w:w="81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Middle Spraberry</w:t>
            </w:r>
            <w:r>
              <w:rPr>
                <w:rFonts w:ascii="Arial" w:cs="Arial" w:eastAsia="Arial" w:hAnsi="Arial"/>
                <w:sz w:val="23"/>
                <w:szCs w:val="23"/>
                <w:color w:val="auto"/>
                <w:vertAlign w:val="superscript"/>
              </w:rPr>
              <w:t>(1)</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30"/>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Wolfcamp A</w:t>
            </w:r>
            <w:r>
              <w:rPr>
                <w:rFonts w:ascii="Arial" w:cs="Arial" w:eastAsia="Arial" w:hAnsi="Arial"/>
                <w:sz w:val="23"/>
                <w:szCs w:val="23"/>
                <w:color w:val="auto"/>
                <w:vertAlign w:val="superscript"/>
              </w:rPr>
              <w:t>(2)</w:t>
            </w:r>
          </w:p>
        </w:tc>
        <w:tc>
          <w:tcPr>
            <w:tcW w:w="306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81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Wolfcamp B</w:t>
            </w:r>
            <w:r>
              <w:rPr>
                <w:rFonts w:ascii="Arial" w:cs="Arial" w:eastAsia="Arial" w:hAnsi="Arial"/>
                <w:sz w:val="23"/>
                <w:szCs w:val="23"/>
                <w:color w:val="auto"/>
                <w:vertAlign w:val="superscript"/>
              </w:rPr>
              <w:t>(2)</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30"/>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Midland Basin</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Delaware Basin</w:t>
            </w:r>
          </w:p>
        </w:tc>
        <w:tc>
          <w:tcPr>
            <w:tcW w:w="3060" w:type="dxa"/>
            <w:vAlign w:val="bottom"/>
          </w:tcPr>
          <w:p>
            <w:pPr>
              <w:spacing w:after="0"/>
              <w:rPr>
                <w:sz w:val="18"/>
                <w:szCs w:val="18"/>
                <w:color w:val="auto"/>
              </w:rPr>
            </w:pPr>
          </w:p>
        </w:tc>
      </w:tr>
      <w:tr>
        <w:trPr>
          <w:trHeight w:val="232"/>
        </w:trPr>
        <w:tc>
          <w:tcPr>
            <w:tcW w:w="8180" w:type="dxa"/>
            <w:vAlign w:val="bottom"/>
            <w:shd w:val="clear" w:color="auto" w:fill="CCEEFF"/>
          </w:tcPr>
          <w:p>
            <w:pPr>
              <w:ind w:left="220"/>
              <w:spacing w:after="0" w:line="232" w:lineRule="exact"/>
              <w:rPr>
                <w:sz w:val="20"/>
                <w:szCs w:val="20"/>
                <w:color w:val="auto"/>
              </w:rPr>
            </w:pPr>
            <w:r>
              <w:rPr>
                <w:rFonts w:ascii="Arial" w:cs="Arial" w:eastAsia="Arial" w:hAnsi="Arial"/>
                <w:sz w:val="18"/>
                <w:szCs w:val="18"/>
                <w:color w:val="auto"/>
              </w:rPr>
              <w:t>2nd Bone Springs</w:t>
            </w:r>
            <w:r>
              <w:rPr>
                <w:rFonts w:ascii="Arial" w:cs="Arial" w:eastAsia="Arial" w:hAnsi="Arial"/>
                <w:sz w:val="23"/>
                <w:szCs w:val="23"/>
                <w:color w:val="auto"/>
                <w:vertAlign w:val="superscript"/>
              </w:rPr>
              <w:t>(3)</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30"/>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3rd Bone Springs</w:t>
            </w:r>
            <w:r>
              <w:rPr>
                <w:rFonts w:ascii="Arial" w:cs="Arial" w:eastAsia="Arial" w:hAnsi="Arial"/>
                <w:sz w:val="23"/>
                <w:szCs w:val="23"/>
                <w:color w:val="auto"/>
                <w:vertAlign w:val="superscript"/>
              </w:rPr>
              <w:t>(3)</w:t>
            </w:r>
          </w:p>
        </w:tc>
        <w:tc>
          <w:tcPr>
            <w:tcW w:w="306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30"/>
        </w:trPr>
        <w:tc>
          <w:tcPr>
            <w:tcW w:w="81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Wolfcamp A</w:t>
            </w:r>
            <w:r>
              <w:rPr>
                <w:rFonts w:ascii="Arial" w:cs="Arial" w:eastAsia="Arial" w:hAnsi="Arial"/>
                <w:sz w:val="23"/>
                <w:szCs w:val="23"/>
                <w:color w:val="auto"/>
                <w:vertAlign w:val="superscript"/>
              </w:rPr>
              <w:t>(4)</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8180" w:type="dxa"/>
            <w:vAlign w:val="bottom"/>
          </w:tcPr>
          <w:p>
            <w:pPr>
              <w:ind w:left="220"/>
              <w:spacing w:after="0" w:line="230" w:lineRule="exact"/>
              <w:rPr>
                <w:sz w:val="20"/>
                <w:szCs w:val="20"/>
                <w:color w:val="auto"/>
              </w:rPr>
            </w:pPr>
            <w:r>
              <w:rPr>
                <w:rFonts w:ascii="Arial" w:cs="Arial" w:eastAsia="Arial" w:hAnsi="Arial"/>
                <w:sz w:val="18"/>
                <w:szCs w:val="18"/>
                <w:color w:val="auto"/>
              </w:rPr>
              <w:t>Wolfcamp B</w:t>
            </w:r>
            <w:r>
              <w:rPr>
                <w:rFonts w:ascii="Arial" w:cs="Arial" w:eastAsia="Arial" w:hAnsi="Arial"/>
                <w:sz w:val="23"/>
                <w:szCs w:val="23"/>
                <w:color w:val="auto"/>
                <w:vertAlign w:val="superscript"/>
              </w:rPr>
              <w:t>(4)</w:t>
            </w:r>
          </w:p>
        </w:tc>
        <w:tc>
          <w:tcPr>
            <w:tcW w:w="306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Delaware Basin</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r>
      <w:tr>
        <w:trPr>
          <w:trHeight w:val="248"/>
        </w:trPr>
        <w:tc>
          <w:tcPr>
            <w:tcW w:w="81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20" w:hanging="332"/>
        <w:spacing w:after="0" w:line="258"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location count is based on 660 foot to 880 foot spacing in Midland, Martin and northeast Andrews counties, depending on the prospect area and 880 foot spacing in all other counties.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location count is based on 660 foot to 880 foot spacing in Midland and Howard counties, depending on the prospect area and 880 foot spacing in all other counties.</w:t>
      </w: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location count is based on 880 foot to 1,320 foot spacing.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location count is based on 880 foot to 1,056 foot spacing.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Production Prices and Production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252"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The following tables set forth information regarding our net production of oil, natural gas and natural gas liquids by basin for each of the periods indicated:</w:t>
      </w:r>
    </w:p>
    <w:tbl>
      <w:tblPr>
        <w:tblLayout w:type="fixed"/>
        <w:tblInd w:w="0" w:type="dxa"/>
        <w:tblCellMar>
          <w:top w:w="0" w:type="dxa"/>
          <w:left w:w="0" w:type="dxa"/>
          <w:bottom w:w="0" w:type="dxa"/>
          <w:right w:w="0" w:type="dxa"/>
        </w:tblCellMar>
      </w:tblPr>
      <w:tr>
        <w:trPr>
          <w:trHeight w:val="244"/>
        </w:trPr>
        <w:tc>
          <w:tcPr>
            <w:tcW w:w="4740" w:type="dxa"/>
            <w:vAlign w:val="bottom"/>
          </w:tcPr>
          <w:p>
            <w:pPr>
              <w:spacing w:after="0"/>
              <w:rPr>
                <w:sz w:val="21"/>
                <w:szCs w:val="21"/>
                <w:color w:val="auto"/>
              </w:rPr>
            </w:pPr>
          </w:p>
        </w:tc>
        <w:tc>
          <w:tcPr>
            <w:tcW w:w="16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Midland Basin</w:t>
            </w:r>
          </w:p>
        </w:tc>
        <w:tc>
          <w:tcPr>
            <w:tcW w:w="17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Delaware Basin</w:t>
            </w:r>
          </w:p>
        </w:tc>
        <w:tc>
          <w:tcPr>
            <w:tcW w:w="1740" w:type="dxa"/>
            <w:vAlign w:val="bottom"/>
            <w:tcBorders>
              <w:bottom w:val="single" w:sz="8" w:color="auto"/>
            </w:tcBorders>
          </w:tcPr>
          <w:p>
            <w:pPr>
              <w:jc w:val="right"/>
              <w:ind w:right="673"/>
              <w:spacing w:after="0" w:line="245" w:lineRule="exact"/>
              <w:rPr>
                <w:sz w:val="20"/>
                <w:szCs w:val="20"/>
                <w:color w:val="auto"/>
              </w:rPr>
            </w:pPr>
            <w:r>
              <w:rPr>
                <w:rFonts w:ascii="Arial" w:cs="Arial" w:eastAsia="Arial" w:hAnsi="Arial"/>
                <w:sz w:val="28"/>
                <w:szCs w:val="28"/>
                <w:b w:val="1"/>
                <w:bCs w:val="1"/>
                <w:color w:val="auto"/>
                <w:vertAlign w:val="subscript"/>
              </w:rPr>
              <w:t>Other</w:t>
            </w:r>
            <w:r>
              <w:rPr>
                <w:rFonts w:ascii="Arial" w:cs="Arial" w:eastAsia="Arial" w:hAnsi="Arial"/>
                <w:sz w:val="10"/>
                <w:szCs w:val="10"/>
                <w:b w:val="1"/>
                <w:bCs w:val="1"/>
                <w:color w:val="auto"/>
              </w:rPr>
              <w:t>(1)(2)</w:t>
            </w: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209"/>
        </w:trPr>
        <w:tc>
          <w:tcPr>
            <w:tcW w:w="4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52,112</w:t>
            </w:r>
          </w:p>
        </w:tc>
        <w:tc>
          <w:tcPr>
            <w:tcW w:w="17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25,672</w:t>
            </w:r>
          </w:p>
        </w:tc>
        <w:tc>
          <w:tcPr>
            <w:tcW w:w="17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3,738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81,522</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680" w:type="dxa"/>
            <w:vAlign w:val="bottom"/>
          </w:tcPr>
          <w:p>
            <w:pPr>
              <w:jc w:val="right"/>
              <w:ind w:right="111"/>
              <w:spacing w:after="0"/>
              <w:rPr>
                <w:sz w:val="20"/>
                <w:szCs w:val="20"/>
                <w:color w:val="auto"/>
              </w:rPr>
            </w:pPr>
            <w:r>
              <w:rPr>
                <w:rFonts w:ascii="Arial" w:cs="Arial" w:eastAsia="Arial" w:hAnsi="Arial"/>
                <w:sz w:val="18"/>
                <w:szCs w:val="18"/>
                <w:color w:val="auto"/>
              </w:rPr>
              <w:t>96,083</w:t>
            </w: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66,034</w:t>
            </w: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7,289</w:t>
            </w:r>
          </w:p>
        </w:tc>
        <w:tc>
          <w:tcPr>
            <w:tcW w:w="1340" w:type="dxa"/>
            <w:vAlign w:val="bottom"/>
          </w:tcPr>
          <w:p>
            <w:pPr>
              <w:jc w:val="right"/>
              <w:spacing w:after="0"/>
              <w:rPr>
                <w:sz w:val="20"/>
                <w:szCs w:val="20"/>
                <w:color w:val="auto"/>
              </w:rPr>
            </w:pPr>
            <w:r>
              <w:rPr>
                <w:rFonts w:ascii="Arial" w:cs="Arial" w:eastAsia="Arial" w:hAnsi="Arial"/>
                <w:sz w:val="18"/>
                <w:szCs w:val="18"/>
                <w:color w:val="auto"/>
              </w:rPr>
              <w:t>169,406</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17,010</w:t>
            </w:r>
          </w:p>
        </w:tc>
        <w:tc>
          <w:tcPr>
            <w:tcW w:w="17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8,749</w:t>
            </w:r>
          </w:p>
        </w:tc>
        <w:tc>
          <w:tcPr>
            <w:tcW w:w="17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1,487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27,246</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680" w:type="dxa"/>
            <w:vAlign w:val="bottom"/>
          </w:tcPr>
          <w:p>
            <w:pPr>
              <w:jc w:val="right"/>
              <w:ind w:right="111"/>
              <w:spacing w:after="0"/>
              <w:rPr>
                <w:sz w:val="20"/>
                <w:szCs w:val="20"/>
                <w:color w:val="auto"/>
              </w:rPr>
            </w:pPr>
            <w:r>
              <w:rPr>
                <w:rFonts w:ascii="Arial" w:cs="Arial" w:eastAsia="Arial" w:hAnsi="Arial"/>
                <w:sz w:val="18"/>
                <w:szCs w:val="18"/>
                <w:color w:val="auto"/>
              </w:rPr>
              <w:t>85,136</w:t>
            </w: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45,427</w:t>
            </w: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6,440</w:t>
            </w:r>
          </w:p>
        </w:tc>
        <w:tc>
          <w:tcPr>
            <w:tcW w:w="1340" w:type="dxa"/>
            <w:vAlign w:val="bottom"/>
          </w:tcPr>
          <w:p>
            <w:pPr>
              <w:jc w:val="right"/>
              <w:spacing w:after="0"/>
              <w:rPr>
                <w:sz w:val="20"/>
                <w:szCs w:val="20"/>
                <w:color w:val="auto"/>
              </w:rPr>
            </w:pPr>
            <w:r>
              <w:rPr>
                <w:rFonts w:ascii="Arial" w:cs="Arial" w:eastAsia="Arial" w:hAnsi="Arial"/>
                <w:sz w:val="18"/>
                <w:szCs w:val="18"/>
                <w:color w:val="auto"/>
              </w:rPr>
              <w:t>137,002</w:t>
            </w:r>
          </w:p>
        </w:tc>
      </w:tr>
      <w:tr>
        <w:trPr>
          <w:trHeight w:val="216"/>
        </w:trPr>
        <w:tc>
          <w:tcPr>
            <w:tcW w:w="47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38,313</w:t>
            </w:r>
          </w:p>
        </w:tc>
        <w:tc>
          <w:tcPr>
            <w:tcW w:w="17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27,703</w:t>
            </w:r>
          </w:p>
        </w:tc>
        <w:tc>
          <w:tcPr>
            <w:tcW w:w="17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166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66,182</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680" w:type="dxa"/>
            <w:vAlign w:val="bottom"/>
          </w:tcPr>
          <w:p>
            <w:pPr>
              <w:jc w:val="right"/>
              <w:ind w:right="111"/>
              <w:spacing w:after="0"/>
              <w:rPr>
                <w:sz w:val="20"/>
                <w:szCs w:val="20"/>
                <w:color w:val="auto"/>
              </w:rPr>
            </w:pPr>
            <w:r>
              <w:rPr>
                <w:rFonts w:ascii="Arial" w:cs="Arial" w:eastAsia="Arial" w:hAnsi="Arial"/>
                <w:sz w:val="18"/>
                <w:szCs w:val="18"/>
                <w:color w:val="auto"/>
              </w:rPr>
              <w:t>68,529</w:t>
            </w: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61,606</w:t>
            </w: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414</w:t>
            </w:r>
          </w:p>
        </w:tc>
        <w:tc>
          <w:tcPr>
            <w:tcW w:w="1340" w:type="dxa"/>
            <w:vAlign w:val="bottom"/>
          </w:tcPr>
          <w:p>
            <w:pPr>
              <w:jc w:val="right"/>
              <w:spacing w:after="0"/>
              <w:rPr>
                <w:sz w:val="20"/>
                <w:szCs w:val="20"/>
                <w:color w:val="auto"/>
              </w:rPr>
            </w:pPr>
            <w:r>
              <w:rPr>
                <w:rFonts w:ascii="Arial" w:cs="Arial" w:eastAsia="Arial" w:hAnsi="Arial"/>
                <w:sz w:val="18"/>
                <w:szCs w:val="18"/>
                <w:color w:val="auto"/>
              </w:rPr>
              <w:t>130,549</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12,597</w:t>
            </w:r>
          </w:p>
        </w:tc>
        <w:tc>
          <w:tcPr>
            <w:tcW w:w="17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9,295</w:t>
            </w:r>
          </w:p>
        </w:tc>
        <w:tc>
          <w:tcPr>
            <w:tcW w:w="17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89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21,981</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680" w:type="dxa"/>
            <w:vAlign w:val="bottom"/>
          </w:tcPr>
          <w:p>
            <w:pPr>
              <w:jc w:val="right"/>
              <w:ind w:right="111"/>
              <w:spacing w:after="0"/>
              <w:rPr>
                <w:sz w:val="20"/>
                <w:szCs w:val="20"/>
                <w:color w:val="auto"/>
              </w:rPr>
            </w:pPr>
            <w:r>
              <w:rPr>
                <w:rFonts w:ascii="Arial" w:cs="Arial" w:eastAsia="Arial" w:hAnsi="Arial"/>
                <w:sz w:val="18"/>
                <w:szCs w:val="18"/>
                <w:color w:val="auto"/>
              </w:rPr>
              <w:t>62,332</w:t>
            </w: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47,266</w:t>
            </w: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324</w:t>
            </w:r>
          </w:p>
        </w:tc>
        <w:tc>
          <w:tcPr>
            <w:tcW w:w="1340" w:type="dxa"/>
            <w:vAlign w:val="bottom"/>
          </w:tcPr>
          <w:p>
            <w:pPr>
              <w:jc w:val="right"/>
              <w:spacing w:after="0"/>
              <w:rPr>
                <w:sz w:val="20"/>
                <w:szCs w:val="20"/>
                <w:color w:val="auto"/>
              </w:rPr>
            </w:pPr>
            <w:r>
              <w:rPr>
                <w:rFonts w:ascii="Arial" w:cs="Arial" w:eastAsia="Arial" w:hAnsi="Arial"/>
                <w:sz w:val="18"/>
                <w:szCs w:val="18"/>
                <w:color w:val="auto"/>
              </w:rPr>
              <w:t>109,921</w:t>
            </w:r>
          </w:p>
        </w:tc>
      </w:tr>
      <w:tr>
        <w:trPr>
          <w:trHeight w:val="216"/>
        </w:trPr>
        <w:tc>
          <w:tcPr>
            <w:tcW w:w="47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2019</w:t>
            </w:r>
          </w:p>
        </w:tc>
        <w:tc>
          <w:tcPr>
            <w:tcW w:w="16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41,156</w:t>
            </w:r>
          </w:p>
        </w:tc>
        <w:tc>
          <w:tcPr>
            <w:tcW w:w="17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25,951</w:t>
            </w:r>
          </w:p>
        </w:tc>
        <w:tc>
          <w:tcPr>
            <w:tcW w:w="17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1,411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68,518</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680" w:type="dxa"/>
            <w:vAlign w:val="bottom"/>
          </w:tcPr>
          <w:p>
            <w:pPr>
              <w:jc w:val="right"/>
              <w:ind w:right="111"/>
              <w:spacing w:after="0"/>
              <w:rPr>
                <w:sz w:val="20"/>
                <w:szCs w:val="20"/>
                <w:color w:val="auto"/>
              </w:rPr>
            </w:pPr>
            <w:r>
              <w:rPr>
                <w:rFonts w:ascii="Arial" w:cs="Arial" w:eastAsia="Arial" w:hAnsi="Arial"/>
                <w:sz w:val="18"/>
                <w:szCs w:val="18"/>
                <w:color w:val="auto"/>
              </w:rPr>
              <w:t>48,109</w:t>
            </w: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48,447</w:t>
            </w: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1,057</w:t>
            </w:r>
          </w:p>
        </w:tc>
        <w:tc>
          <w:tcPr>
            <w:tcW w:w="1340" w:type="dxa"/>
            <w:vAlign w:val="bottom"/>
          </w:tcPr>
          <w:p>
            <w:pPr>
              <w:jc w:val="right"/>
              <w:spacing w:after="0"/>
              <w:rPr>
                <w:sz w:val="20"/>
                <w:szCs w:val="20"/>
                <w:color w:val="auto"/>
              </w:rPr>
            </w:pPr>
            <w:r>
              <w:rPr>
                <w:rFonts w:ascii="Arial" w:cs="Arial" w:eastAsia="Arial" w:hAnsi="Arial"/>
                <w:sz w:val="18"/>
                <w:szCs w:val="18"/>
                <w:color w:val="auto"/>
              </w:rPr>
              <w:t>97,613</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10,485</w:t>
            </w:r>
          </w:p>
        </w:tc>
        <w:tc>
          <w:tcPr>
            <w:tcW w:w="17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7,826</w:t>
            </w:r>
          </w:p>
        </w:tc>
        <w:tc>
          <w:tcPr>
            <w:tcW w:w="17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187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18,498</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Total (MBoe)</w:t>
            </w:r>
          </w:p>
        </w:tc>
        <w:tc>
          <w:tcPr>
            <w:tcW w:w="1680" w:type="dxa"/>
            <w:vAlign w:val="bottom"/>
          </w:tcPr>
          <w:p>
            <w:pPr>
              <w:jc w:val="right"/>
              <w:ind w:right="111"/>
              <w:spacing w:after="0"/>
              <w:rPr>
                <w:sz w:val="20"/>
                <w:szCs w:val="20"/>
                <w:color w:val="auto"/>
              </w:rPr>
            </w:pPr>
            <w:r>
              <w:rPr>
                <w:rFonts w:ascii="Arial" w:cs="Arial" w:eastAsia="Arial" w:hAnsi="Arial"/>
                <w:sz w:val="18"/>
                <w:szCs w:val="18"/>
                <w:color w:val="auto"/>
              </w:rPr>
              <w:t>59,659</w:t>
            </w:r>
          </w:p>
        </w:tc>
        <w:tc>
          <w:tcPr>
            <w:tcW w:w="1740" w:type="dxa"/>
            <w:vAlign w:val="bottom"/>
          </w:tcPr>
          <w:p>
            <w:pPr>
              <w:jc w:val="right"/>
              <w:ind w:right="211"/>
              <w:spacing w:after="0"/>
              <w:rPr>
                <w:sz w:val="20"/>
                <w:szCs w:val="20"/>
                <w:color w:val="auto"/>
              </w:rPr>
            </w:pPr>
            <w:r>
              <w:rPr>
                <w:rFonts w:ascii="Arial" w:cs="Arial" w:eastAsia="Arial" w:hAnsi="Arial"/>
                <w:sz w:val="18"/>
                <w:szCs w:val="18"/>
                <w:color w:val="auto"/>
              </w:rPr>
              <w:t>41,852</w:t>
            </w: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1,774</w:t>
            </w:r>
          </w:p>
        </w:tc>
        <w:tc>
          <w:tcPr>
            <w:tcW w:w="1340" w:type="dxa"/>
            <w:vAlign w:val="bottom"/>
          </w:tcPr>
          <w:p>
            <w:pPr>
              <w:jc w:val="right"/>
              <w:spacing w:after="0"/>
              <w:rPr>
                <w:sz w:val="20"/>
                <w:szCs w:val="20"/>
                <w:color w:val="auto"/>
              </w:rPr>
            </w:pPr>
            <w:r>
              <w:rPr>
                <w:rFonts w:ascii="Arial" w:cs="Arial" w:eastAsia="Arial" w:hAnsi="Arial"/>
                <w:sz w:val="18"/>
                <w:szCs w:val="18"/>
                <w:color w:val="auto"/>
              </w:rPr>
              <w:t>103,285</w:t>
            </w:r>
          </w:p>
        </w:tc>
      </w:tr>
    </w:tbl>
    <w:p>
      <w:pPr>
        <w:spacing w:after="0" w:line="7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Production data for the year ended December 31, 2021 includes the Eagle Ford Shale, Rockies and High Plains.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Production data for the years ended December 31, 2020 and 2019 includes the Central Basin Platform, the Eagle Ford Shale and the Rockies.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price and cost information for each of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2019</w:t>
            </w:r>
          </w:p>
        </w:tc>
      </w:tr>
      <w:tr>
        <w:trPr>
          <w:trHeight w:val="19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Prices:</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Oil ($ per Bbl)</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66.19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51.87</w:t>
            </w: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Natural gas ($ per Mcf)</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Natural gas liquids ($ per Bbl)</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28.70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Combined ($ per BOE)</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r>
      <w:tr>
        <w:trPr>
          <w:trHeight w:val="216"/>
        </w:trPr>
        <w:tc>
          <w:tcPr>
            <w:tcW w:w="6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6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r>
      <w:tr>
        <w:trPr>
          <w:trHeight w:val="229"/>
        </w:trPr>
        <w:tc>
          <w:tcPr>
            <w:tcW w:w="6860" w:type="dxa"/>
            <w:vAlign w:val="bottom"/>
          </w:tcPr>
          <w:p>
            <w:pPr>
              <w:ind w:left="220"/>
              <w:spacing w:after="0" w:line="230" w:lineRule="exact"/>
              <w:rPr>
                <w:sz w:val="20"/>
                <w:szCs w:val="20"/>
                <w:color w:val="auto"/>
              </w:rPr>
            </w:pPr>
            <w:r>
              <w:rPr>
                <w:rFonts w:ascii="Arial" w:cs="Arial" w:eastAsia="Arial" w:hAnsi="Arial"/>
                <w:sz w:val="18"/>
                <w:szCs w:val="18"/>
                <w:color w:val="auto"/>
              </w:rPr>
              <w:t>Natural gas, hedged ($ per Mcf)</w:t>
            </w:r>
            <w:r>
              <w:rPr>
                <w:rFonts w:ascii="Arial" w:cs="Arial" w:eastAsia="Arial" w:hAnsi="Arial"/>
                <w:sz w:val="23"/>
                <w:szCs w:val="23"/>
                <w:color w:val="auto"/>
                <w:vertAlign w:val="superscript"/>
              </w:rPr>
              <w:t>(1)</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30"/>
        </w:trPr>
        <w:tc>
          <w:tcPr>
            <w:tcW w:w="68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29"/>
        </w:trPr>
        <w:tc>
          <w:tcPr>
            <w:tcW w:w="6860" w:type="dxa"/>
            <w:vAlign w:val="bottom"/>
          </w:tcPr>
          <w:p>
            <w:pPr>
              <w:ind w:left="22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(1)</w:t>
            </w:r>
          </w:p>
        </w:tc>
        <w:tc>
          <w:tcPr>
            <w:tcW w:w="880" w:type="dxa"/>
            <w:vAlign w:val="bottom"/>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39.87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38.00</w:t>
            </w:r>
          </w:p>
        </w:tc>
      </w:tr>
      <w:tr>
        <w:trPr>
          <w:trHeight w:val="216"/>
        </w:trPr>
        <w:tc>
          <w:tcPr>
            <w:tcW w:w="6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Average Costs per BOE:</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operating expenses</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Production and ad valorem taxes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Gathering and transportation expense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29"/>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 - cash component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 - cash</w:t>
            </w:r>
          </w:p>
        </w:tc>
        <w:tc>
          <w:tcPr>
            <w:tcW w:w="88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 non-cash component</w:t>
            </w:r>
          </w:p>
        </w:tc>
        <w:tc>
          <w:tcPr>
            <w:tcW w:w="880" w:type="dxa"/>
            <w:vAlign w:val="bottom"/>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Depletion</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Merger and integration expense</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880" w:type="dxa"/>
            <w:vAlign w:val="bottom"/>
            <w:tcBorders>
              <w:top w:val="single" w:sz="8" w:color="auto"/>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63"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Wells Drilled and Completed in 2021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total number of operated horizontal wells drilled and completed during the year ended December 31,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6"/>
                <w:szCs w:val="16"/>
                <w:b w:val="1"/>
                <w:bCs w:val="1"/>
                <w:color w:val="auto"/>
                <w:w w:val="92"/>
              </w:rPr>
              <w:t>Year Ended December 31, 2021</w:t>
            </w:r>
          </w:p>
        </w:tc>
        <w:tc>
          <w:tcPr>
            <w:tcW w:w="680" w:type="dxa"/>
            <w:vAlign w:val="bottom"/>
            <w:tcBorders>
              <w:bottom w:val="single" w:sz="8" w:color="auto"/>
            </w:tcBorders>
          </w:tcPr>
          <w:p>
            <w:pPr>
              <w:spacing w:after="0"/>
              <w:rPr>
                <w:sz w:val="18"/>
                <w:szCs w:val="18"/>
                <w:color w:val="auto"/>
              </w:rPr>
            </w:pPr>
          </w:p>
        </w:tc>
      </w:tr>
      <w:tr>
        <w:trPr>
          <w:trHeight w:val="207"/>
        </w:trPr>
        <w:tc>
          <w:tcPr>
            <w:tcW w:w="6820" w:type="dxa"/>
            <w:vAlign w:val="bottom"/>
          </w:tcPr>
          <w:p>
            <w:pPr>
              <w:spacing w:after="0"/>
              <w:rPr>
                <w:sz w:val="17"/>
                <w:szCs w:val="17"/>
                <w:color w:val="auto"/>
              </w:rPr>
            </w:pPr>
          </w:p>
        </w:tc>
        <w:tc>
          <w:tcPr>
            <w:tcW w:w="2260" w:type="dxa"/>
            <w:vAlign w:val="bottom"/>
            <w:gridSpan w:val="3"/>
          </w:tcPr>
          <w:p>
            <w:pPr>
              <w:ind w:left="820"/>
              <w:spacing w:after="0"/>
              <w:rPr>
                <w:sz w:val="20"/>
                <w:szCs w:val="20"/>
                <w:color w:val="auto"/>
              </w:rPr>
            </w:pPr>
            <w:r>
              <w:rPr>
                <w:rFonts w:ascii="Arial" w:cs="Arial" w:eastAsia="Arial" w:hAnsi="Arial"/>
                <w:sz w:val="16"/>
                <w:szCs w:val="16"/>
                <w:b w:val="1"/>
                <w:bCs w:val="1"/>
                <w:color w:val="auto"/>
              </w:rPr>
              <w:t>Drilled</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Completed</w:t>
            </w:r>
          </w:p>
        </w:tc>
        <w:tc>
          <w:tcPr>
            <w:tcW w:w="680" w:type="dxa"/>
            <w:vAlign w:val="bottom"/>
          </w:tcPr>
          <w:p>
            <w:pPr>
              <w:spacing w:after="0"/>
              <w:rPr>
                <w:sz w:val="17"/>
                <w:szCs w:val="17"/>
                <w:color w:val="auto"/>
              </w:rPr>
            </w:pPr>
          </w:p>
        </w:tc>
      </w:tr>
      <w:tr>
        <w:trPr>
          <w:trHeight w:val="212"/>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Area</w:t>
            </w:r>
          </w:p>
        </w:tc>
        <w:tc>
          <w:tcPr>
            <w:tcW w:w="10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Gross</w:t>
            </w:r>
          </w:p>
        </w:tc>
        <w:tc>
          <w:tcPr>
            <w:tcW w:w="11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Net</w:t>
            </w:r>
          </w:p>
        </w:tc>
        <w:tc>
          <w:tcPr>
            <w:tcW w:w="1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Gross</w:t>
            </w:r>
          </w:p>
        </w:tc>
        <w:tc>
          <w:tcPr>
            <w:tcW w:w="6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92"/>
              </w:rPr>
              <w:t>Net</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207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80" w:type="dxa"/>
            <w:vAlign w:val="bottom"/>
          </w:tcPr>
          <w:p>
            <w:pPr>
              <w:jc w:val="right"/>
              <w:ind w:right="393"/>
              <w:spacing w:after="0"/>
              <w:rPr>
                <w:sz w:val="20"/>
                <w:szCs w:val="20"/>
                <w:color w:val="auto"/>
              </w:rPr>
            </w:pPr>
            <w:r>
              <w:rPr>
                <w:rFonts w:ascii="Arial" w:cs="Arial" w:eastAsia="Arial" w:hAnsi="Arial"/>
                <w:sz w:val="18"/>
                <w:szCs w:val="18"/>
                <w:color w:val="auto"/>
              </w:rPr>
              <w:t>64</w:t>
            </w: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820" w:type="dxa"/>
            <w:vAlign w:val="bottom"/>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8"/>
                <w:szCs w:val="18"/>
                <w:color w:val="auto"/>
              </w:rPr>
              <w:t>275</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6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we operated the following wells: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2400" w:type="dxa"/>
            <w:vAlign w:val="bottom"/>
            <w:gridSpan w:val="3"/>
          </w:tcPr>
          <w:p>
            <w:pPr>
              <w:ind w:left="660"/>
              <w:spacing w:after="0"/>
              <w:rPr>
                <w:sz w:val="20"/>
                <w:szCs w:val="20"/>
                <w:color w:val="auto"/>
              </w:rPr>
            </w:pPr>
            <w:r>
              <w:rPr>
                <w:rFonts w:ascii="Arial" w:cs="Arial" w:eastAsia="Arial" w:hAnsi="Arial"/>
                <w:sz w:val="16"/>
                <w:szCs w:val="16"/>
                <w:b w:val="1"/>
                <w:bCs w:val="1"/>
                <w:color w:val="auto"/>
              </w:rPr>
              <w:t>Vertical Wells</w:t>
            </w:r>
          </w:p>
        </w:tc>
        <w:tc>
          <w:tcPr>
            <w:tcW w:w="2420" w:type="dxa"/>
            <w:vAlign w:val="bottom"/>
            <w:gridSpan w:val="3"/>
          </w:tcPr>
          <w:p>
            <w:pPr>
              <w:ind w:left="580"/>
              <w:spacing w:after="0"/>
              <w:rPr>
                <w:sz w:val="20"/>
                <w:szCs w:val="20"/>
                <w:color w:val="auto"/>
              </w:rPr>
            </w:pPr>
            <w:r>
              <w:rPr>
                <w:rFonts w:ascii="Arial" w:cs="Arial" w:eastAsia="Arial" w:hAnsi="Arial"/>
                <w:sz w:val="16"/>
                <w:szCs w:val="16"/>
                <w:b w:val="1"/>
                <w:bCs w:val="1"/>
                <w:color w:val="auto"/>
              </w:rPr>
              <w:t>Horizontal Wells</w:t>
            </w:r>
          </w:p>
        </w:tc>
        <w:tc>
          <w:tcPr>
            <w:tcW w:w="1480" w:type="dxa"/>
            <w:vAlign w:val="bottom"/>
          </w:tcPr>
          <w:p>
            <w:pPr>
              <w:jc w:val="right"/>
              <w:ind w:right="54"/>
              <w:spacing w:after="0"/>
              <w:rPr>
                <w:sz w:val="20"/>
                <w:szCs w:val="20"/>
                <w:color w:val="auto"/>
              </w:rPr>
            </w:pPr>
            <w:r>
              <w:rPr>
                <w:rFonts w:ascii="Arial" w:cs="Arial" w:eastAsia="Arial" w:hAnsi="Arial"/>
                <w:sz w:val="16"/>
                <w:szCs w:val="16"/>
                <w:b w:val="1"/>
                <w:bCs w:val="1"/>
                <w:color w:val="auto"/>
              </w:rPr>
              <w:t>Total</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Area</w:t>
            </w:r>
          </w:p>
        </w:tc>
        <w:tc>
          <w:tcPr>
            <w:tcW w:w="12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Gross</w:t>
            </w: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Gross</w:t>
            </w: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Net</w:t>
            </w:r>
          </w:p>
        </w:tc>
        <w:tc>
          <w:tcPr>
            <w:tcW w:w="10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Gross</w:t>
            </w:r>
          </w:p>
        </w:tc>
        <w:tc>
          <w:tcPr>
            <w:tcW w:w="8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Net</w:t>
            </w:r>
          </w:p>
        </w:tc>
        <w:tc>
          <w:tcPr>
            <w:tcW w:w="60" w:type="dxa"/>
            <w:vAlign w:val="bottom"/>
          </w:tcPr>
          <w:p>
            <w:pPr>
              <w:spacing w:after="0"/>
              <w:rPr>
                <w:sz w:val="18"/>
                <w:szCs w:val="18"/>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1,731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3,946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60" w:type="dxa"/>
            <w:vAlign w:val="bottom"/>
          </w:tcPr>
          <w:p>
            <w:pPr>
              <w:spacing w:after="0"/>
              <w:rPr>
                <w:sz w:val="19"/>
                <w:szCs w:val="19"/>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647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676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9"/>
                <w:szCs w:val="19"/>
                <w:color w:val="auto"/>
              </w:rPr>
            </w:pPr>
          </w:p>
        </w:tc>
      </w:tr>
      <w:tr>
        <w:trPr>
          <w:trHeight w:val="248"/>
        </w:trPr>
        <w:tc>
          <w:tcPr>
            <w:tcW w:w="4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2,244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2,378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4,622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60" w:type="dxa"/>
            <w:vAlign w:val="bottom"/>
          </w:tcPr>
          <w:p>
            <w:pPr>
              <w:spacing w:after="0"/>
              <w:rPr>
                <w:sz w:val="21"/>
                <w:szCs w:val="2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9"/>
        </w:trPr>
        <w:tc>
          <w:tcPr>
            <w:tcW w:w="4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December 31, 2021, we owned an interest in a total of 11,744 gross productive wells with an average unweighted 84% working interest in 5,289 gross (4,430 net) wells and an average 1.7% royalty interest in 6,455 additional wells. Through our subsidiary Viper, we own an average 3.3% net revenue interest in 9,095 of the total 11,744 gross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productive wells by basin as of December 31,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Gross Wells</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Net Wells</w:t>
            </w:r>
          </w:p>
        </w:tc>
        <w:tc>
          <w:tcPr>
            <w:tcW w:w="1320" w:type="dxa"/>
            <w:vAlign w:val="bottom"/>
            <w:tcBorders>
              <w:bottom w:val="single" w:sz="8" w:color="auto"/>
            </w:tcBorders>
          </w:tcPr>
          <w:p>
            <w:pPr>
              <w:spacing w:after="0"/>
              <w:rPr>
                <w:sz w:val="18"/>
                <w:szCs w:val="18"/>
                <w:color w:val="auto"/>
              </w:rPr>
            </w:pPr>
          </w:p>
        </w:tc>
      </w:tr>
      <w:tr>
        <w:trPr>
          <w:trHeight w:val="210"/>
        </w:trPr>
        <w:tc>
          <w:tcPr>
            <w:tcW w:w="270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6"/>
                <w:szCs w:val="16"/>
                <w:b w:val="1"/>
                <w:bCs w:val="1"/>
                <w:color w:val="auto"/>
              </w:rPr>
              <w:t>Oil</w:t>
            </w: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Natural Gas</w:t>
            </w:r>
          </w:p>
        </w:tc>
        <w:tc>
          <w:tcPr>
            <w:tcW w:w="132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440" w:type="dxa"/>
            <w:vAlign w:val="bottom"/>
            <w:gridSpan w:val="2"/>
          </w:tcPr>
          <w:p>
            <w:pPr>
              <w:ind w:left="560"/>
              <w:spacing w:after="0"/>
              <w:rPr>
                <w:sz w:val="20"/>
                <w:szCs w:val="20"/>
                <w:color w:val="auto"/>
              </w:rPr>
            </w:pPr>
            <w:r>
              <w:rPr>
                <w:rFonts w:ascii="Arial" w:cs="Arial" w:eastAsia="Arial" w:hAnsi="Arial"/>
                <w:sz w:val="16"/>
                <w:szCs w:val="16"/>
                <w:b w:val="1"/>
                <w:bCs w:val="1"/>
                <w:color w:val="auto"/>
              </w:rPr>
              <w:t>Oil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Natural Gas</w:t>
            </w:r>
          </w:p>
        </w:tc>
        <w:tc>
          <w:tcPr>
            <w:tcW w:w="132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226"/>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132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700" w:type="dxa"/>
            <w:vAlign w:val="bottom"/>
          </w:tcPr>
          <w:p>
            <w:pPr>
              <w:ind w:left="220"/>
              <w:spacing w:after="0"/>
              <w:rPr>
                <w:sz w:val="20"/>
                <w:szCs w:val="20"/>
                <w:color w:val="auto"/>
              </w:rPr>
            </w:pPr>
            <w:r>
              <w:rPr>
                <w:rFonts w:ascii="Arial" w:cs="Arial" w:eastAsia="Arial" w:hAnsi="Arial"/>
                <w:sz w:val="18"/>
                <w:szCs w:val="18"/>
                <w:color w:val="auto"/>
              </w:rPr>
              <w:t>Total productive wells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11,744</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w:t>
            </w:r>
          </w:p>
        </w:tc>
      </w:tr>
      <w:tr>
        <w:trPr>
          <w:trHeight w:val="20"/>
        </w:trPr>
        <w:tc>
          <w:tcPr>
            <w:tcW w:w="2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Results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tables set forth information with respect to the number of wells drilled during the periods indicated by basin.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center"/>
              <w:ind w:left="552"/>
              <w:spacing w:after="0"/>
              <w:rPr>
                <w:sz w:val="20"/>
                <w:szCs w:val="20"/>
                <w:color w:val="auto"/>
              </w:rPr>
            </w:pPr>
            <w:r>
              <w:rPr>
                <w:rFonts w:ascii="Arial" w:cs="Arial" w:eastAsia="Arial" w:hAnsi="Arial"/>
                <w:sz w:val="16"/>
                <w:szCs w:val="16"/>
                <w:b w:val="1"/>
                <w:bCs w:val="1"/>
                <w:color w:val="auto"/>
                <w:w w:val="91"/>
              </w:rPr>
              <w:t>Year Ended December 31, 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0"/>
        </w:trPr>
        <w:tc>
          <w:tcPr>
            <w:tcW w:w="592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6"/>
                <w:szCs w:val="16"/>
                <w:b w:val="1"/>
                <w:bCs w:val="1"/>
                <w:color w:val="auto"/>
              </w:rPr>
              <w:t>Midland Basin</w:t>
            </w:r>
          </w:p>
        </w:tc>
        <w:tc>
          <w:tcPr>
            <w:tcW w:w="100" w:type="dxa"/>
            <w:vAlign w:val="bottom"/>
          </w:tcPr>
          <w:p>
            <w:pPr>
              <w:spacing w:after="0"/>
              <w:rPr>
                <w:sz w:val="18"/>
                <w:szCs w:val="18"/>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Delaware Basin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spacing w:after="0"/>
              <w:rPr>
                <w:sz w:val="18"/>
                <w:szCs w:val="18"/>
                <w:color w:val="auto"/>
              </w:rPr>
            </w:pPr>
          </w:p>
        </w:tc>
      </w:tr>
      <w:tr>
        <w:trPr>
          <w:trHeight w:val="209"/>
        </w:trPr>
        <w:tc>
          <w:tcPr>
            <w:tcW w:w="59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900" w:type="dxa"/>
            <w:vAlign w:val="bottom"/>
            <w:gridSpan w:val="2"/>
          </w:tcPr>
          <w:p>
            <w:pPr>
              <w:ind w:left="280"/>
              <w:spacing w:after="0"/>
              <w:rPr>
                <w:sz w:val="20"/>
                <w:szCs w:val="20"/>
                <w:color w:val="auto"/>
              </w:rPr>
            </w:pPr>
            <w:r>
              <w:rPr>
                <w:rFonts w:ascii="Arial" w:cs="Arial" w:eastAsia="Arial" w:hAnsi="Arial"/>
                <w:sz w:val="16"/>
                <w:szCs w:val="16"/>
                <w:color w:val="auto"/>
              </w:rPr>
              <w:t>Net</w:t>
            </w:r>
          </w:p>
        </w:tc>
        <w:tc>
          <w:tcPr>
            <w:tcW w:w="92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1060" w:type="dxa"/>
            <w:vAlign w:val="bottom"/>
            <w:gridSpan w:val="3"/>
          </w:tcPr>
          <w:p>
            <w:pPr>
              <w:ind w:left="280"/>
              <w:spacing w:after="0"/>
              <w:rPr>
                <w:sz w:val="20"/>
                <w:szCs w:val="20"/>
                <w:color w:val="auto"/>
              </w:rPr>
            </w:pPr>
            <w:r>
              <w:rPr>
                <w:rFonts w:ascii="Arial" w:cs="Arial" w:eastAsia="Arial" w:hAnsi="Arial"/>
                <w:sz w:val="16"/>
                <w:szCs w:val="16"/>
                <w:color w:val="auto"/>
              </w:rPr>
              <w:t>Net</w:t>
            </w:r>
          </w:p>
        </w:tc>
        <w:tc>
          <w:tcPr>
            <w:tcW w:w="940" w:type="dxa"/>
            <w:vAlign w:val="bottom"/>
            <w:gridSpan w:val="3"/>
          </w:tcPr>
          <w:p>
            <w:pPr>
              <w:ind w:left="40"/>
              <w:spacing w:after="0"/>
              <w:rPr>
                <w:sz w:val="20"/>
                <w:szCs w:val="20"/>
                <w:color w:val="auto"/>
              </w:rPr>
            </w:pPr>
            <w:r>
              <w:rPr>
                <w:rFonts w:ascii="Arial" w:cs="Arial" w:eastAsia="Arial" w:hAnsi="Arial"/>
                <w:sz w:val="16"/>
                <w:szCs w:val="16"/>
                <w:color w:val="auto"/>
              </w:rPr>
              <w:t>Gross</w:t>
            </w:r>
          </w:p>
        </w:tc>
        <w:tc>
          <w:tcPr>
            <w:tcW w:w="600" w:type="dxa"/>
            <w:vAlign w:val="bottom"/>
          </w:tcPr>
          <w:p>
            <w:pPr>
              <w:jc w:val="right"/>
              <w:ind w:right="191"/>
              <w:spacing w:after="0"/>
              <w:rPr>
                <w:sz w:val="20"/>
                <w:szCs w:val="20"/>
                <w:color w:val="auto"/>
              </w:rPr>
            </w:pPr>
            <w:r>
              <w:rPr>
                <w:rFonts w:ascii="Arial" w:cs="Arial" w:eastAsia="Arial" w:hAnsi="Arial"/>
                <w:sz w:val="16"/>
                <w:szCs w:val="16"/>
                <w:color w:val="auto"/>
              </w:rPr>
              <w:t>Net</w:t>
            </w:r>
          </w:p>
        </w:tc>
      </w:tr>
      <w:tr>
        <w:trPr>
          <w:trHeight w:val="21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Exploratory: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740"/>
        </w:trPr>
        <w:tc>
          <w:tcPr>
            <w:tcW w:w="59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left="552"/>
              <w:spacing w:after="0"/>
              <w:rPr>
                <w:sz w:val="20"/>
                <w:szCs w:val="20"/>
                <w:color w:val="auto"/>
              </w:rPr>
            </w:pPr>
            <w:r>
              <w:rPr>
                <w:rFonts w:ascii="Arial" w:cs="Arial" w:eastAsia="Arial" w:hAnsi="Arial"/>
                <w:sz w:val="16"/>
                <w:szCs w:val="16"/>
                <w:b w:val="1"/>
                <w:bCs w:val="1"/>
                <w:color w:val="auto"/>
                <w:w w:val="91"/>
              </w:rPr>
              <w:t>Year Ended December 31, 2020</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210"/>
        </w:trPr>
        <w:tc>
          <w:tcPr>
            <w:tcW w:w="592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6"/>
                <w:szCs w:val="16"/>
                <w:b w:val="1"/>
                <w:bCs w:val="1"/>
                <w:color w:val="auto"/>
              </w:rPr>
              <w:t>Midland Basin</w:t>
            </w:r>
          </w:p>
        </w:tc>
        <w:tc>
          <w:tcPr>
            <w:tcW w:w="100" w:type="dxa"/>
            <w:vAlign w:val="bottom"/>
          </w:tcPr>
          <w:p>
            <w:pPr>
              <w:spacing w:after="0"/>
              <w:rPr>
                <w:sz w:val="18"/>
                <w:szCs w:val="18"/>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Delaware Basin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spacing w:after="0"/>
              <w:rPr>
                <w:sz w:val="18"/>
                <w:szCs w:val="18"/>
                <w:color w:val="auto"/>
              </w:rPr>
            </w:pPr>
          </w:p>
        </w:tc>
      </w:tr>
      <w:tr>
        <w:trPr>
          <w:trHeight w:val="209"/>
        </w:trPr>
        <w:tc>
          <w:tcPr>
            <w:tcW w:w="59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900" w:type="dxa"/>
            <w:vAlign w:val="bottom"/>
            <w:gridSpan w:val="2"/>
          </w:tcPr>
          <w:p>
            <w:pPr>
              <w:ind w:left="280"/>
              <w:spacing w:after="0"/>
              <w:rPr>
                <w:sz w:val="20"/>
                <w:szCs w:val="20"/>
                <w:color w:val="auto"/>
              </w:rPr>
            </w:pPr>
            <w:r>
              <w:rPr>
                <w:rFonts w:ascii="Arial" w:cs="Arial" w:eastAsia="Arial" w:hAnsi="Arial"/>
                <w:sz w:val="16"/>
                <w:szCs w:val="16"/>
                <w:color w:val="auto"/>
              </w:rPr>
              <w:t>Net</w:t>
            </w:r>
          </w:p>
        </w:tc>
        <w:tc>
          <w:tcPr>
            <w:tcW w:w="92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1060" w:type="dxa"/>
            <w:vAlign w:val="bottom"/>
            <w:gridSpan w:val="3"/>
          </w:tcPr>
          <w:p>
            <w:pPr>
              <w:ind w:left="280"/>
              <w:spacing w:after="0"/>
              <w:rPr>
                <w:sz w:val="20"/>
                <w:szCs w:val="20"/>
                <w:color w:val="auto"/>
              </w:rPr>
            </w:pPr>
            <w:r>
              <w:rPr>
                <w:rFonts w:ascii="Arial" w:cs="Arial" w:eastAsia="Arial" w:hAnsi="Arial"/>
                <w:sz w:val="16"/>
                <w:szCs w:val="16"/>
                <w:color w:val="auto"/>
              </w:rPr>
              <w:t>Net</w:t>
            </w:r>
          </w:p>
        </w:tc>
        <w:tc>
          <w:tcPr>
            <w:tcW w:w="940" w:type="dxa"/>
            <w:vAlign w:val="bottom"/>
            <w:gridSpan w:val="3"/>
          </w:tcPr>
          <w:p>
            <w:pPr>
              <w:ind w:left="40"/>
              <w:spacing w:after="0"/>
              <w:rPr>
                <w:sz w:val="20"/>
                <w:szCs w:val="20"/>
                <w:color w:val="auto"/>
              </w:rPr>
            </w:pPr>
            <w:r>
              <w:rPr>
                <w:rFonts w:ascii="Arial" w:cs="Arial" w:eastAsia="Arial" w:hAnsi="Arial"/>
                <w:sz w:val="16"/>
                <w:szCs w:val="16"/>
                <w:color w:val="auto"/>
              </w:rPr>
              <w:t>Gross</w:t>
            </w:r>
          </w:p>
        </w:tc>
        <w:tc>
          <w:tcPr>
            <w:tcW w:w="600" w:type="dxa"/>
            <w:vAlign w:val="bottom"/>
          </w:tcPr>
          <w:p>
            <w:pPr>
              <w:jc w:val="right"/>
              <w:ind w:right="191"/>
              <w:spacing w:after="0"/>
              <w:rPr>
                <w:sz w:val="20"/>
                <w:szCs w:val="20"/>
                <w:color w:val="auto"/>
              </w:rPr>
            </w:pPr>
            <w:r>
              <w:rPr>
                <w:rFonts w:ascii="Arial" w:cs="Arial" w:eastAsia="Arial" w:hAnsi="Arial"/>
                <w:sz w:val="16"/>
                <w:szCs w:val="16"/>
                <w:color w:val="auto"/>
              </w:rPr>
              <w:t>Net</w:t>
            </w:r>
          </w:p>
        </w:tc>
      </w:tr>
      <w:tr>
        <w:trPr>
          <w:trHeight w:val="21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Exploratory: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ind w:left="680"/>
              <w:spacing w:after="0"/>
              <w:rPr>
                <w:sz w:val="20"/>
                <w:szCs w:val="20"/>
                <w:color w:val="auto"/>
              </w:rPr>
            </w:pPr>
            <w:r>
              <w:rPr>
                <w:rFonts w:ascii="Arial" w:cs="Arial" w:eastAsia="Arial" w:hAnsi="Arial"/>
                <w:sz w:val="16"/>
                <w:szCs w:val="16"/>
                <w:b w:val="1"/>
                <w:bCs w:val="1"/>
                <w:color w:val="auto"/>
                <w:w w:val="92"/>
              </w:rPr>
              <w:t>Year Ended December 31, 2019</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0"/>
        </w:trPr>
        <w:tc>
          <w:tcPr>
            <w:tcW w:w="592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6"/>
                <w:szCs w:val="16"/>
                <w:b w:val="1"/>
                <w:bCs w:val="1"/>
                <w:color w:val="auto"/>
              </w:rPr>
              <w:t>Midland Basin</w:t>
            </w:r>
          </w:p>
        </w:tc>
        <w:tc>
          <w:tcPr>
            <w:tcW w:w="100" w:type="dxa"/>
            <w:vAlign w:val="bottom"/>
          </w:tcPr>
          <w:p>
            <w:pPr>
              <w:spacing w:after="0"/>
              <w:rPr>
                <w:sz w:val="18"/>
                <w:szCs w:val="18"/>
                <w:color w:val="auto"/>
              </w:rPr>
            </w:pPr>
          </w:p>
        </w:tc>
        <w:tc>
          <w:tcPr>
            <w:tcW w:w="172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6"/>
                <w:szCs w:val="16"/>
                <w:b w:val="1"/>
                <w:bCs w:val="1"/>
                <w:color w:val="auto"/>
              </w:rPr>
              <w:t>Delaware Basin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Total</w:t>
            </w:r>
          </w:p>
        </w:tc>
        <w:tc>
          <w:tcPr>
            <w:tcW w:w="600" w:type="dxa"/>
            <w:vAlign w:val="bottom"/>
            <w:tcBorders>
              <w:bottom w:val="single" w:sz="8" w:color="auto"/>
            </w:tcBorders>
          </w:tcPr>
          <w:p>
            <w:pPr>
              <w:spacing w:after="0"/>
              <w:rPr>
                <w:sz w:val="18"/>
                <w:szCs w:val="18"/>
                <w:color w:val="auto"/>
              </w:rPr>
            </w:pPr>
          </w:p>
        </w:tc>
      </w:tr>
      <w:tr>
        <w:trPr>
          <w:trHeight w:val="209"/>
        </w:trPr>
        <w:tc>
          <w:tcPr>
            <w:tcW w:w="592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900" w:type="dxa"/>
            <w:vAlign w:val="bottom"/>
            <w:gridSpan w:val="2"/>
          </w:tcPr>
          <w:p>
            <w:pPr>
              <w:ind w:left="280"/>
              <w:spacing w:after="0"/>
              <w:rPr>
                <w:sz w:val="20"/>
                <w:szCs w:val="20"/>
                <w:color w:val="auto"/>
              </w:rPr>
            </w:pPr>
            <w:r>
              <w:rPr>
                <w:rFonts w:ascii="Arial" w:cs="Arial" w:eastAsia="Arial" w:hAnsi="Arial"/>
                <w:sz w:val="16"/>
                <w:szCs w:val="16"/>
                <w:color w:val="auto"/>
              </w:rPr>
              <w:t>Net</w:t>
            </w:r>
          </w:p>
        </w:tc>
        <w:tc>
          <w:tcPr>
            <w:tcW w:w="920" w:type="dxa"/>
            <w:vAlign w:val="bottom"/>
            <w:gridSpan w:val="2"/>
          </w:tcPr>
          <w:p>
            <w:pPr>
              <w:ind w:left="220"/>
              <w:spacing w:after="0"/>
              <w:rPr>
                <w:sz w:val="20"/>
                <w:szCs w:val="20"/>
                <w:color w:val="auto"/>
              </w:rPr>
            </w:pPr>
            <w:r>
              <w:rPr>
                <w:rFonts w:ascii="Arial" w:cs="Arial" w:eastAsia="Arial" w:hAnsi="Arial"/>
                <w:sz w:val="16"/>
                <w:szCs w:val="16"/>
                <w:color w:val="auto"/>
              </w:rPr>
              <w:t>Gross</w:t>
            </w:r>
          </w:p>
        </w:tc>
        <w:tc>
          <w:tcPr>
            <w:tcW w:w="1060" w:type="dxa"/>
            <w:vAlign w:val="bottom"/>
            <w:gridSpan w:val="3"/>
          </w:tcPr>
          <w:p>
            <w:pPr>
              <w:ind w:left="280"/>
              <w:spacing w:after="0"/>
              <w:rPr>
                <w:sz w:val="20"/>
                <w:szCs w:val="20"/>
                <w:color w:val="auto"/>
              </w:rPr>
            </w:pPr>
            <w:r>
              <w:rPr>
                <w:rFonts w:ascii="Arial" w:cs="Arial" w:eastAsia="Arial" w:hAnsi="Arial"/>
                <w:sz w:val="16"/>
                <w:szCs w:val="16"/>
                <w:color w:val="auto"/>
              </w:rPr>
              <w:t>Net</w:t>
            </w:r>
          </w:p>
        </w:tc>
        <w:tc>
          <w:tcPr>
            <w:tcW w:w="940" w:type="dxa"/>
            <w:vAlign w:val="bottom"/>
            <w:gridSpan w:val="3"/>
          </w:tcPr>
          <w:p>
            <w:pPr>
              <w:ind w:left="40"/>
              <w:spacing w:after="0"/>
              <w:rPr>
                <w:sz w:val="20"/>
                <w:szCs w:val="20"/>
                <w:color w:val="auto"/>
              </w:rPr>
            </w:pPr>
            <w:r>
              <w:rPr>
                <w:rFonts w:ascii="Arial" w:cs="Arial" w:eastAsia="Arial" w:hAnsi="Arial"/>
                <w:sz w:val="16"/>
                <w:szCs w:val="16"/>
                <w:color w:val="auto"/>
              </w:rPr>
              <w:t>Gross</w:t>
            </w:r>
          </w:p>
        </w:tc>
        <w:tc>
          <w:tcPr>
            <w:tcW w:w="600" w:type="dxa"/>
            <w:vAlign w:val="bottom"/>
          </w:tcPr>
          <w:p>
            <w:pPr>
              <w:jc w:val="right"/>
              <w:ind w:right="191"/>
              <w:spacing w:after="0"/>
              <w:rPr>
                <w:sz w:val="20"/>
                <w:szCs w:val="20"/>
                <w:color w:val="auto"/>
              </w:rPr>
            </w:pPr>
            <w:r>
              <w:rPr>
                <w:rFonts w:ascii="Arial" w:cs="Arial" w:eastAsia="Arial" w:hAnsi="Arial"/>
                <w:sz w:val="16"/>
                <w:szCs w:val="16"/>
                <w:color w:val="auto"/>
              </w:rPr>
              <w:t>Net</w:t>
            </w:r>
          </w:p>
        </w:tc>
      </w:tr>
      <w:tr>
        <w:trPr>
          <w:trHeight w:val="212"/>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Exploratory: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Productive</w:t>
            </w: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Dry</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we had 24 gross (23 net) operated wells in the process of drilling and 129 gross (118 net) in the process of completion or waiting on completion.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Acreage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as of December 31, 2021 relating to our leasehold acreage: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1"/>
                <w:szCs w:val="21"/>
                <w:color w:val="auto"/>
              </w:rPr>
            </w:pPr>
          </w:p>
        </w:tc>
        <w:tc>
          <w:tcPr>
            <w:tcW w:w="24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Developed Acreage</w:t>
            </w:r>
            <w:r>
              <w:rPr>
                <w:rFonts w:ascii="Arial" w:cs="Arial" w:eastAsia="Arial" w:hAnsi="Arial"/>
                <w:sz w:val="21"/>
                <w:szCs w:val="21"/>
                <w:b w:val="1"/>
                <w:bCs w:val="1"/>
                <w:color w:val="auto"/>
                <w:vertAlign w:val="superscript"/>
              </w:rPr>
              <w:t>(1)</w:t>
            </w:r>
          </w:p>
        </w:tc>
        <w:tc>
          <w:tcPr>
            <w:tcW w:w="2500" w:type="dxa"/>
            <w:vAlign w:val="bottom"/>
            <w:gridSpan w:val="4"/>
          </w:tcPr>
          <w:p>
            <w:pPr>
              <w:ind w:left="440"/>
              <w:spacing w:after="0"/>
              <w:rPr>
                <w:sz w:val="20"/>
                <w:szCs w:val="20"/>
                <w:color w:val="auto"/>
              </w:rPr>
            </w:pPr>
            <w:r>
              <w:rPr>
                <w:rFonts w:ascii="Arial" w:cs="Arial" w:eastAsia="Arial" w:hAnsi="Arial"/>
                <w:sz w:val="16"/>
                <w:szCs w:val="16"/>
                <w:b w:val="1"/>
                <w:bCs w:val="1"/>
                <w:color w:val="auto"/>
              </w:rPr>
              <w:t>Undeveloped Acreage</w:t>
            </w:r>
          </w:p>
        </w:tc>
        <w:tc>
          <w:tcPr>
            <w:tcW w:w="2380" w:type="dxa"/>
            <w:vAlign w:val="bottom"/>
            <w:gridSpan w:val="3"/>
          </w:tcPr>
          <w:p>
            <w:pPr>
              <w:jc w:val="right"/>
              <w:ind w:right="551"/>
              <w:spacing w:after="0"/>
              <w:rPr>
                <w:sz w:val="20"/>
                <w:szCs w:val="20"/>
                <w:color w:val="auto"/>
              </w:rPr>
            </w:pPr>
            <w:r>
              <w:rPr>
                <w:rFonts w:ascii="Arial" w:cs="Arial" w:eastAsia="Arial" w:hAnsi="Arial"/>
                <w:sz w:val="16"/>
                <w:szCs w:val="16"/>
                <w:b w:val="1"/>
                <w:bCs w:val="1"/>
                <w:color w:val="auto"/>
              </w:rPr>
              <w:t>Total Acreage</w:t>
            </w:r>
            <w:r>
              <w:rPr>
                <w:rFonts w:ascii="Arial" w:cs="Arial" w:eastAsia="Arial" w:hAnsi="Arial"/>
                <w:sz w:val="21"/>
                <w:szCs w:val="21"/>
                <w:b w:val="1"/>
                <w:bCs w:val="1"/>
                <w:color w:val="auto"/>
                <w:vertAlign w:val="superscript"/>
              </w:rPr>
              <w:t>(2)</w:t>
            </w:r>
          </w:p>
        </w:tc>
      </w:tr>
      <w:tr>
        <w:trPr>
          <w:trHeight w:val="207"/>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Basin</w:t>
            </w:r>
          </w:p>
        </w:tc>
        <w:tc>
          <w:tcPr>
            <w:tcW w:w="1220" w:type="dxa"/>
            <w:vAlign w:val="bottom"/>
            <w:tcBorders>
              <w:top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Gross</w:t>
            </w:r>
          </w:p>
        </w:tc>
        <w:tc>
          <w:tcPr>
            <w:tcW w:w="1100" w:type="dxa"/>
            <w:vAlign w:val="bottom"/>
            <w:tcBorders>
              <w:top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c>
          <w:tcPr>
            <w:tcW w:w="1240" w:type="dxa"/>
            <w:vAlign w:val="bottom"/>
            <w:tcBorders>
              <w:top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Gross</w:t>
            </w:r>
          </w:p>
        </w:tc>
        <w:tc>
          <w:tcPr>
            <w:tcW w:w="1160" w:type="dxa"/>
            <w:vAlign w:val="bottom"/>
            <w:tcBorders>
              <w:top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c>
          <w:tcPr>
            <w:tcW w:w="1240" w:type="dxa"/>
            <w:vAlign w:val="bottom"/>
            <w:tcBorders>
              <w:top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Gross</w:t>
            </w:r>
          </w:p>
        </w:tc>
        <w:tc>
          <w:tcPr>
            <w:tcW w:w="1140" w:type="dxa"/>
            <w:vAlign w:val="bottom"/>
            <w:tcBorders>
              <w:top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Net</w:t>
            </w:r>
          </w:p>
        </w:tc>
      </w:tr>
      <w:tr>
        <w:trPr>
          <w:trHeight w:val="226"/>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184,700</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157,931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108,203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107,631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292,903</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265,562</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Delaware</w:t>
            </w:r>
          </w:p>
        </w:tc>
        <w:tc>
          <w:tcPr>
            <w:tcW w:w="1100" w:type="dxa"/>
            <w:vAlign w:val="bottom"/>
          </w:tcPr>
          <w:p>
            <w:pPr>
              <w:jc w:val="right"/>
              <w:spacing w:after="0"/>
              <w:rPr>
                <w:sz w:val="20"/>
                <w:szCs w:val="20"/>
                <w:color w:val="auto"/>
              </w:rPr>
            </w:pPr>
            <w:r>
              <w:rPr>
                <w:rFonts w:ascii="Arial" w:cs="Arial" w:eastAsia="Arial" w:hAnsi="Arial"/>
                <w:sz w:val="18"/>
                <w:szCs w:val="18"/>
                <w:color w:val="auto"/>
              </w:rPr>
              <w:t>97,000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71,418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92,357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77,169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189,357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148,587</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28,889</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Conventional Permian</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285,387</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231,697</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239,313</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214,151</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524,700</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445,848</w:t>
            </w:r>
          </w:p>
        </w:tc>
      </w:tr>
      <w:tr>
        <w:trPr>
          <w:trHeight w:val="20"/>
        </w:trPr>
        <w:tc>
          <w:tcPr>
            <w:tcW w:w="3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55"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include undrilled acreage held by production under the terms of the lease. Large portions of the acreage that are considered developed under SEC guidelines are developed with vertical wells or horizontal wells that are in a single horizon. We believe much of this acreage has significant remaining development potential in one or more intervals with horizontal wells.</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include Viper’s mineral interests but does include leasehold acres that we own underlying our mineral interests.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Undeveloped Acreage Expirations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the following gross and net undeveloped acres are set to expire over the next 5 years based on their contractual lease maturities unless (i) production is established within the spacing units covering the acreage or (ii) the lease is renewed or extended under continuous drilling provisions prior to the contractual expiration dates.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Acres Expiring</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0"/>
        </w:trPr>
        <w:tc>
          <w:tcPr>
            <w:tcW w:w="1220" w:type="dxa"/>
            <w:vAlign w:val="bottom"/>
          </w:tcPr>
          <w:p>
            <w:pPr>
              <w:spacing w:after="0"/>
              <w:rPr>
                <w:sz w:val="18"/>
                <w:szCs w:val="18"/>
                <w:color w:val="auto"/>
              </w:rPr>
            </w:pPr>
          </w:p>
        </w:tc>
        <w:tc>
          <w:tcPr>
            <w:tcW w:w="1620" w:type="dxa"/>
            <w:vAlign w:val="bottom"/>
            <w:tcBorders>
              <w:bottom w:val="single" w:sz="8" w:color="auto"/>
            </w:tcBorders>
            <w:gridSpan w:val="3"/>
          </w:tcPr>
          <w:p>
            <w:pPr>
              <w:ind w:left="880"/>
              <w:spacing w:after="0"/>
              <w:rPr>
                <w:sz w:val="20"/>
                <w:szCs w:val="20"/>
                <w:color w:val="auto"/>
              </w:rPr>
            </w:pPr>
            <w:r>
              <w:rPr>
                <w:rFonts w:ascii="Arial" w:cs="Arial" w:eastAsia="Arial" w:hAnsi="Arial"/>
                <w:sz w:val="16"/>
                <w:szCs w:val="16"/>
                <w:b w:val="1"/>
                <w:bCs w:val="1"/>
                <w:color w:val="auto"/>
              </w:rPr>
              <w:t>Delaware</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Midland</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w w:val="96"/>
              </w:rPr>
              <w:t>Exploratory</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Total</w:t>
            </w:r>
          </w:p>
        </w:tc>
        <w:tc>
          <w:tcPr>
            <w:tcW w:w="880" w:type="dxa"/>
            <w:vAlign w:val="bottom"/>
            <w:tcBorders>
              <w:bottom w:val="single" w:sz="8" w:color="auto"/>
            </w:tcBorders>
          </w:tcPr>
          <w:p>
            <w:pPr>
              <w:spacing w:after="0"/>
              <w:rPr>
                <w:sz w:val="18"/>
                <w:szCs w:val="18"/>
                <w:color w:val="auto"/>
              </w:rPr>
            </w:pPr>
          </w:p>
        </w:tc>
      </w:tr>
      <w:tr>
        <w:trPr>
          <w:trHeight w:val="210"/>
        </w:trPr>
        <w:tc>
          <w:tcPr>
            <w:tcW w:w="1220" w:type="dxa"/>
            <w:vAlign w:val="bottom"/>
          </w:tcPr>
          <w:p>
            <w:pPr>
              <w:spacing w:after="0"/>
              <w:rPr>
                <w:sz w:val="18"/>
                <w:szCs w:val="18"/>
                <w:color w:val="auto"/>
              </w:rPr>
            </w:pPr>
          </w:p>
        </w:tc>
        <w:tc>
          <w:tcPr>
            <w:tcW w:w="1620" w:type="dxa"/>
            <w:vAlign w:val="bottom"/>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780" w:type="dxa"/>
            <w:vAlign w:val="bottom"/>
          </w:tcPr>
          <w:p>
            <w:pPr>
              <w:jc w:val="right"/>
              <w:ind w:right="351"/>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8"/>
                <w:szCs w:val="18"/>
                <w:color w:val="auto"/>
              </w:rPr>
            </w:pPr>
          </w:p>
        </w:tc>
        <w:tc>
          <w:tcPr>
            <w:tcW w:w="1600" w:type="dxa"/>
            <w:vAlign w:val="bottom"/>
            <w:gridSpan w:val="3"/>
          </w:tcPr>
          <w:p>
            <w:pPr>
              <w:ind w:left="360"/>
              <w:spacing w:after="0"/>
              <w:rPr>
                <w:sz w:val="20"/>
                <w:szCs w:val="20"/>
                <w:color w:val="auto"/>
              </w:rPr>
            </w:pPr>
            <w:r>
              <w:rPr>
                <w:rFonts w:ascii="Arial" w:cs="Arial" w:eastAsia="Arial" w:hAnsi="Arial"/>
                <w:sz w:val="16"/>
                <w:szCs w:val="16"/>
                <w:b w:val="1"/>
                <w:bCs w:val="1"/>
                <w:color w:val="auto"/>
              </w:rPr>
              <w:t>Gross</w:t>
            </w:r>
          </w:p>
        </w:tc>
        <w:tc>
          <w:tcPr>
            <w:tcW w:w="800" w:type="dxa"/>
            <w:vAlign w:val="bottom"/>
          </w:tcPr>
          <w:p>
            <w:pPr>
              <w:jc w:val="right"/>
              <w:ind w:right="37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680" w:type="dxa"/>
            <w:vAlign w:val="bottom"/>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760" w:type="dxa"/>
            <w:vAlign w:val="bottom"/>
          </w:tcPr>
          <w:p>
            <w:pPr>
              <w:jc w:val="right"/>
              <w:ind w:right="37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560" w:type="dxa"/>
            <w:vAlign w:val="bottom"/>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880" w:type="dxa"/>
            <w:vAlign w:val="bottom"/>
          </w:tcPr>
          <w:p>
            <w:pPr>
              <w:jc w:val="right"/>
              <w:ind w:right="371"/>
              <w:spacing w:after="0"/>
              <w:rPr>
                <w:sz w:val="20"/>
                <w:szCs w:val="20"/>
                <w:color w:val="auto"/>
              </w:rPr>
            </w:pPr>
            <w:r>
              <w:rPr>
                <w:rFonts w:ascii="Arial" w:cs="Arial" w:eastAsia="Arial" w:hAnsi="Arial"/>
                <w:sz w:val="16"/>
                <w:szCs w:val="16"/>
                <w:b w:val="1"/>
                <w:bCs w:val="1"/>
                <w:color w:val="auto"/>
              </w:rPr>
              <w:t>Net</w:t>
            </w:r>
          </w:p>
        </w:tc>
      </w:tr>
      <w:tr>
        <w:trPr>
          <w:trHeight w:val="226"/>
        </w:trPr>
        <w:tc>
          <w:tcPr>
            <w:tcW w:w="1220" w:type="dxa"/>
            <w:vAlign w:val="bottom"/>
            <w:tcBorders>
              <w:top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89"/>
              </w:rPr>
              <w:t>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41,855</w:t>
            </w:r>
          </w:p>
        </w:tc>
      </w:tr>
      <w:tr>
        <w:trPr>
          <w:trHeight w:val="230"/>
        </w:trPr>
        <w:tc>
          <w:tcPr>
            <w:tcW w:w="1220" w:type="dxa"/>
            <w:vAlign w:val="bottom"/>
          </w:tcPr>
          <w:p>
            <w:pPr>
              <w:jc w:val="right"/>
              <w:ind w:right="750"/>
              <w:spacing w:after="0"/>
              <w:rPr>
                <w:sz w:val="20"/>
                <w:szCs w:val="20"/>
                <w:color w:val="auto"/>
              </w:rPr>
            </w:pPr>
            <w:r>
              <w:rPr>
                <w:rFonts w:ascii="Arial" w:cs="Arial" w:eastAsia="Arial" w:hAnsi="Arial"/>
                <w:sz w:val="18"/>
                <w:szCs w:val="18"/>
                <w:color w:val="auto"/>
                <w:w w:val="89"/>
              </w:rPr>
              <w:t>2023</w:t>
            </w:r>
          </w:p>
        </w:tc>
        <w:tc>
          <w:tcPr>
            <w:tcW w:w="1160" w:type="dxa"/>
            <w:vAlign w:val="bottom"/>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19"/>
                <w:szCs w:val="19"/>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9,471</w:t>
            </w:r>
          </w:p>
        </w:tc>
      </w:tr>
      <w:tr>
        <w:trPr>
          <w:trHeight w:val="229"/>
        </w:trPr>
        <w:tc>
          <w:tcPr>
            <w:tcW w:w="12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89"/>
              </w:rPr>
              <w:t>2024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30"/>
        </w:trPr>
        <w:tc>
          <w:tcPr>
            <w:tcW w:w="1220" w:type="dxa"/>
            <w:vAlign w:val="bottom"/>
          </w:tcPr>
          <w:p>
            <w:pPr>
              <w:jc w:val="right"/>
              <w:ind w:right="750"/>
              <w:spacing w:after="0"/>
              <w:rPr>
                <w:sz w:val="20"/>
                <w:szCs w:val="20"/>
                <w:color w:val="auto"/>
              </w:rPr>
            </w:pPr>
            <w:r>
              <w:rPr>
                <w:rFonts w:ascii="Arial" w:cs="Arial" w:eastAsia="Arial" w:hAnsi="Arial"/>
                <w:sz w:val="18"/>
                <w:szCs w:val="18"/>
                <w:color w:val="auto"/>
                <w:w w:val="89"/>
              </w:rPr>
              <w:t>2025</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12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89"/>
              </w:rPr>
              <w:t>2026</w:t>
            </w: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21,887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28,390</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20,179</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17,251</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100,836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53,005</w:t>
            </w:r>
          </w:p>
        </w:tc>
      </w:tr>
      <w:tr>
        <w:trPr>
          <w:trHeight w:val="20"/>
        </w:trPr>
        <w:tc>
          <w:tcPr>
            <w:tcW w:w="1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drilling of an oil or natural gas well, it is the normal practice in our industry for the person or company acting as the operator of the well to obtain a preliminary title review to ensure there are no obvious defects in title to the well. To the extent title opinions or other investigations reflect title defects on those properties, we are typically responsible for curing any title defects at our expense. We generally will not commence drilling operations on a property until we have cured any material title defects on such property. We have obtained title opinions on substantially all of our producing properties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believe that we have satisfactory title to our producing properties in accordance with standards generally accepted in the oil and natural gas industry. Prior to completing an acquisition of producing oil and natural gas leases, we perform title reviews on the most significant leases and, depending on the materiality of properties, we may obtain a title opinion, an updated title review,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Customers</w:t>
      </w:r>
    </w:p>
    <w:p>
      <w:pPr>
        <w:spacing w:after="0" w:line="252" w:lineRule="exact"/>
        <w:rPr>
          <w:sz w:val="20"/>
          <w:szCs w:val="20"/>
          <w:color w:val="auto"/>
        </w:rPr>
      </w:pPr>
    </w:p>
    <w:p>
      <w:pPr>
        <w:jc w:val="both"/>
        <w:ind w:firstLine="648"/>
        <w:spacing w:after="0" w:line="254" w:lineRule="auto"/>
        <w:rPr>
          <w:rFonts w:ascii="Arial" w:cs="Arial" w:eastAsia="Arial" w:hAnsi="Arial"/>
          <w:sz w:val="18"/>
          <w:szCs w:val="18"/>
          <w:color w:val="auto"/>
        </w:rPr>
      </w:pPr>
      <w:r>
        <w:rPr>
          <w:rFonts w:ascii="Arial" w:cs="Arial" w:eastAsia="Arial" w:hAnsi="Arial"/>
          <w:sz w:val="18"/>
          <w:szCs w:val="18"/>
          <w:color w:val="auto"/>
        </w:rPr>
        <w:t>We typically sell production to a relatively small number of customers, as is customary in the exploration, development and production business. For the year ended December 31, 2021, three purchasers each accounted for more than 10% of our revenue. For the year ended December 31, 2020, four purchasers each accounted for more than 10% of our revenue. For the year ended December 31, 2019, three purchasers each accounted for more than 10% of our revenue. We do not require collateral and do not believe the loss of any single purchaser would materially impact our operating results, as crude oil and natural gas are fungible products with well-established markets and numerous purchasers. For additional information regarding our customer concentrations, see Note 3—</w:t>
      </w:r>
      <w:hyperlink w:anchor="page97">
        <w:r>
          <w:rPr>
            <w:rFonts w:ascii="Arial" w:cs="Arial" w:eastAsia="Arial" w:hAnsi="Arial"/>
            <w:sz w:val="18"/>
            <w:szCs w:val="18"/>
            <w:u w:val="single" w:color="auto"/>
            <w:color w:val="0000FF"/>
          </w:rPr>
          <w:t>Revenue from Contracts with Customers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notes to the consolidated financial statements included elsewhere in this Annual Report.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52" w:lineRule="exact"/>
        <w:rPr>
          <w:sz w:val="20"/>
          <w:szCs w:val="20"/>
          <w:color w:val="auto"/>
        </w:rPr>
      </w:pPr>
    </w:p>
    <w:p>
      <w:pPr>
        <w:jc w:val="both"/>
        <w:ind w:firstLine="648"/>
        <w:spacing w:after="0" w:line="275" w:lineRule="auto"/>
        <w:rPr>
          <w:rFonts w:ascii="Arial" w:cs="Arial" w:eastAsia="Arial" w:hAnsi="Arial"/>
          <w:sz w:val="17"/>
          <w:szCs w:val="17"/>
          <w:color w:val="0000FF"/>
        </w:rPr>
      </w:pPr>
      <w:r>
        <w:rPr>
          <w:rFonts w:ascii="Arial" w:cs="Arial" w:eastAsia="Arial" w:hAnsi="Arial"/>
          <w:sz w:val="17"/>
          <w:szCs w:val="17"/>
          <w:color w:val="auto"/>
        </w:rPr>
        <w:t xml:space="preserve">Certain of our firm sales agreements for oil include delivery commitments that specify the delivery of a fixed and determinable quantity. We believe our current production and reserves are sufficient to fulfill these delivery commitments and we expect such reserves will continue to be the primary means of fulfilling our future commitments. However, these contracts provide the options of delivering third-party volumes or paying a monetary shortfall </w:t>
      </w:r>
      <w:hyperlink w:anchor="page129">
        <w:r>
          <w:rPr>
            <w:rFonts w:ascii="Arial" w:cs="Arial" w:eastAsia="Arial" w:hAnsi="Arial"/>
            <w:sz w:val="17"/>
            <w:szCs w:val="17"/>
            <w:color w:val="auto"/>
          </w:rPr>
          <w:t>penalty if production is inadequate to satisfy our commitment. For additional information regarding commitments, see Note 18—</w:t>
        </w:r>
        <w:r>
          <w:rPr>
            <w:rFonts w:ascii="Arial" w:cs="Arial" w:eastAsia="Arial" w:hAnsi="Arial"/>
            <w:sz w:val="17"/>
            <w:szCs w:val="17"/>
            <w:u w:val="single" w:color="auto"/>
            <w:color w:val="0000FF"/>
          </w:rPr>
          <w:t>Commitments and</w:t>
        </w:r>
      </w:hyperlink>
      <w:r>
        <w:rPr>
          <w:rFonts w:ascii="Arial" w:cs="Arial" w:eastAsia="Arial" w:hAnsi="Arial"/>
          <w:sz w:val="17"/>
          <w:szCs w:val="17"/>
          <w:color w:val="auto"/>
        </w:rPr>
        <w:t xml:space="preserve"> </w:t>
      </w:r>
      <w:hyperlink w:anchor="page129">
        <w:r>
          <w:rPr>
            <w:rFonts w:ascii="Arial" w:cs="Arial" w:eastAsia="Arial" w:hAnsi="Arial"/>
            <w:sz w:val="17"/>
            <w:szCs w:val="17"/>
            <w:u w:val="single" w:color="auto"/>
            <w:color w:val="0000FF"/>
          </w:rPr>
          <w:t>Contingencies</w:t>
        </w:r>
        <w:r>
          <w:rPr>
            <w:rFonts w:ascii="Arial" w:cs="Arial" w:eastAsia="Arial" w:hAnsi="Arial"/>
            <w:sz w:val="17"/>
            <w:szCs w:val="17"/>
            <w:color w:val="0000FF"/>
          </w:rPr>
          <w:t xml:space="preserve"> </w:t>
        </w:r>
        <w:r>
          <w:rPr>
            <w:rFonts w:ascii="Arial" w:cs="Arial" w:eastAsia="Arial" w:hAnsi="Arial"/>
            <w:sz w:val="17"/>
            <w:szCs w:val="17"/>
            <w:color w:val="000000"/>
          </w:rPr>
          <w:t>included in notes to the consolidated financial statements included elsewhere in this Annual Report.</w:t>
        </w:r>
      </w:hyperlink>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oil and natural gas industry is intensely competitive, and in our upstream segment,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Further, oil and natural gas compete with other forms of energy available to customers, primarily based on price. These alternate forms of energy include electricity, coal and fuel oils.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our midstream operations segment, as Rattler seeks to expand its crude oil and water-related midstream services, it faces a high level of competition, including major integrated crude oil and natural gas companies, interstate and intrastate pipelines and companies that gather, compress, treat, process, transport, store or market oil and natural gas. As Rattler seeks to expand to provide its midstream services to third party producers, it similarly faces a high level of competition. Competition is often the greatest in geographic areas experiencing robust drilling by producers and during periods of high commodity prices for crude oil, natural gas or natural gas liquids. Within the acreage dedicated by us to Rattler, Rattler does not compete with other midstream companies to provide us with midstream services as a result of our relationship and long-term dedications to Rattler’s midstream assets. However, we may continue to use third party service providers for certain midstream services within such dedicated acreage until the expiration or termination of certain pre-existing dedications. Additionally, subsequent to the divestiture of substantially all of Rattler’s natural gas gathering assets in the fourth quarter of 2021, third parties and joint ventures in which Rattler owns equity interests discussed above provide all of our natural gas gathering and transportation services.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w:t>
      </w:r>
    </w:p>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initial development of our fields we evaluate all gathering and delivery infrastructure in the areas of our production. Currently, a majority of our production in the Midland and Delaware Basins are transported to purchasers by pipeline.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the average percentage of produced oil sold by pipeline and the average percentage of produced water connected to produced water disposal wells by pipeline: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w w:val="92"/>
              </w:rPr>
              <w:t>Midland Basin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380"/>
              <w:spacing w:after="0"/>
              <w:rPr>
                <w:sz w:val="20"/>
                <w:szCs w:val="20"/>
                <w:color w:val="auto"/>
              </w:rPr>
            </w:pPr>
            <w:r>
              <w:rPr>
                <w:rFonts w:ascii="Arial" w:cs="Arial" w:eastAsia="Arial" w:hAnsi="Arial"/>
                <w:sz w:val="16"/>
                <w:szCs w:val="16"/>
                <w:b w:val="1"/>
                <w:bCs w:val="1"/>
                <w:color w:val="auto"/>
              </w:rPr>
              <w:t>Delaware Basin</w:t>
            </w:r>
          </w:p>
        </w:tc>
        <w:tc>
          <w:tcPr>
            <w:tcW w:w="1820" w:type="dxa"/>
            <w:vAlign w:val="bottom"/>
          </w:tcPr>
          <w:p>
            <w:pPr>
              <w:jc w:val="right"/>
              <w:ind w:right="653"/>
              <w:spacing w:after="0"/>
              <w:rPr>
                <w:sz w:val="20"/>
                <w:szCs w:val="20"/>
                <w:color w:val="auto"/>
              </w:rPr>
            </w:pPr>
            <w:r>
              <w:rPr>
                <w:rFonts w:ascii="Arial" w:cs="Arial" w:eastAsia="Arial" w:hAnsi="Arial"/>
                <w:sz w:val="16"/>
                <w:szCs w:val="16"/>
                <w:b w:val="1"/>
                <w:bCs w:val="1"/>
                <w:color w:val="auto"/>
              </w:rPr>
              <w:t>Total</w:t>
            </w:r>
          </w:p>
        </w:tc>
      </w:tr>
      <w:tr>
        <w:trPr>
          <w:trHeight w:val="226"/>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of produced oil sold by pipeline</w:t>
            </w:r>
          </w:p>
        </w:tc>
        <w:tc>
          <w:tcPr>
            <w:tcW w:w="14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96 %</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30"/>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 of produced water transported by pipeline</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98 %</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99 %</w:t>
            </w:r>
          </w:p>
        </w:tc>
      </w:tr>
    </w:tbl>
    <w:p>
      <w:pPr>
        <w:spacing w:after="0" w:line="30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an acreage dedication consisting of a total of approximately 450,000 gross acres across all Rattler’s service lines located within the Midland and Delaware Basins.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Leases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15% to 35%, resulting in a net revenue interest to us generally ranging from 65% to 85%.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Generally, demand for oil increases during the summer months and decreases during the winter months while natural gas decreases during the summer months and increases during the winter months. Certain natural gas buyers utilize natural gas storage facilities and purchase some of their anticipated winter requirements during the summer, which can lessen seasonal demand fluctuations. In our exploration and production business, seasonal weather conditions (such as the severe winter storms in the Permian Basin in early 2021),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Oil and natural gas operations such as ours are subject to various types of legislation, regulation and other legal requirements. Legislation and regulation affecting the oil and natural gas industry is under constant review for amendment or expansion. Some of these requirements carry substantial penalties for failure to comply. The regulatory burden on the oil and natural gas industry increases our cost of doing business and, consequently, affects our profitability.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related to our owned or operated facilities. 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operations and financial position, as well as the oil and natural gas industry in general. Our management believes that we are in substantial compliance with applicable environmental laws and regulations and we have not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experienced any material adverse effect from compliance with these environmental requirements. This trend, however, may not continue in the future.</w:t>
      </w:r>
    </w:p>
    <w:p>
      <w:pPr>
        <w:spacing w:after="0" w:line="2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Waste Handling. </w:t>
      </w:r>
      <w:r>
        <w:rPr>
          <w:rFonts w:ascii="Arial" w:cs="Arial" w:eastAsia="Arial" w:hAnsi="Arial"/>
          <w:sz w:val="16"/>
          <w:szCs w:val="16"/>
          <w:color w:val="auto"/>
        </w:rPr>
        <w:t>The Resource Conservation and Recovery Act, or the RCRA, as amended, and comparable state statutes and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are not necessary at this time. Any changes in such laws and regulations could have a material adverse effect on our capital expenditures and operating expenses.</w:t>
      </w:r>
    </w:p>
    <w:p>
      <w:pPr>
        <w:spacing w:after="0" w:line="1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Remediation of Hazardous Substances. </w:t>
      </w:r>
      <w:r>
        <w:rPr>
          <w:rFonts w:ascii="Arial" w:cs="Arial" w:eastAsia="Arial" w:hAnsi="Arial"/>
          <w:sz w:val="17"/>
          <w:szCs w:val="17"/>
          <w:color w:val="auto"/>
        </w:rPr>
        <w:t>The Comprehensive Environmental Response, Compensation and Liability Act, as amended,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Water Discharges. </w:t>
      </w:r>
      <w:r>
        <w:rPr>
          <w:rFonts w:ascii="Arial" w:cs="Arial" w:eastAsia="Arial" w:hAnsi="Arial"/>
          <w:sz w:val="17"/>
          <w:szCs w:val="17"/>
          <w:color w:val="auto"/>
        </w:rPr>
        <w:t>The Federal Water Pollution Control Act of 1972, as amended, also known as the “Clean Water Act,” or the CWA, the Safe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Drinking Water Act, the Oil Pollution Act,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scope of waters regulated under the CWA has fluctuated in recent years. On June 29, 2015, the EPA and the U.S. Army Corps of Engineers, or the Corps, jointly promulgated final rules redefining the scope of waters protected under the CWA. However, on October 22, 2019, the agencies published a final rule to repeal the 2015 rules, and then, on April 21, 2020, the EPA and the Corps published a final rule replacing the 2015 rule, and significantly reducing the waters subject to federal regulation under the CWA. On August 30, 2021, a federal court struck down the replacement rule and, on December 7, 2021, the EPA and the Corps published a proposed rule that would put back into place the pre-2015 definition of “waters of the United States,” updated to reflect Supreme Court decisions, while the agencies continue to consult with stakeholders on future regulatory actions. As a result of such recent developments, substantial uncertainty exists regarding the scope of waters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protected under the CWA. To the extent the rules expand the range of properties subject to the CWA’s jurisdiction, we could face increased costs and delays with respect to obtaining permits for dredge and fill activities in wetland areas.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22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Non-compliance with the CWA or the OPA may result in substantial administrative, civil and criminal penalties, as well as injunctive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in material compliance with the requirements of each of these laws.</w:t>
      </w:r>
    </w:p>
    <w:p>
      <w:pPr>
        <w:spacing w:after="0" w:line="23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Air Emissions. </w:t>
      </w:r>
      <w:r>
        <w:rPr>
          <w:rFonts w:ascii="Arial" w:cs="Arial" w:eastAsia="Arial" w:hAnsi="Arial"/>
          <w:sz w:val="17"/>
          <w:szCs w:val="17"/>
          <w:color w:val="auto"/>
        </w:rPr>
        <w:t>The federal Clean Air Act, or the CAA, as amended, and comparable state laws and regulations, regulate emissions of various 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for air-quality permitting purposes applicable to the oil and natural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In recent years, federal, state and local governments have taken steps to reduce emissions of greenhouse gases. The EPA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finalized a series of greenhouse gas monitoring, reporting and emissions control rules for the oil and natural gas industry, and the U.S. Congress has, from time to time, considered adopting legislation to reduce emissions. Almost one-half of the states have already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spacing w:after="0" w:line="20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Although the United States withdrew from the Paris Agreement effective November 4, 2020, President Biden issued an Executive Order on January 20, 2021 to rejoin the Paris Agreement, which went into effect on February 19, 2021. On April 21, 2021, the United States announced that it was setting an economy-wide target of reducing its greenhouse gas emissions by 50-52 percent below 2005 levels in 2030. In November 2021, in connection with the 26th Conference of the Parties in Glasgow, Scotland, the United States and other world leaders made further commitments to reduce greenhouse gas emissions, including reducing global methane emissions by at least 30% by 2030. Furthermore, many state and local leaders have stated their intent to intensify efforts to support the international climate commitments.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and insurance underwriters to limit coverages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2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Moreover,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such as the severe winter storms in the Permian Basin in February 2021,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1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16, 2012, the EPA published final regulations under the federal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on August 13, 2020, in response to an executive order by former President Trump to review and revise unduly burdensome regulations, the EPA amended the 2012 and 2016 New Source Performance standards to ease regulatory burdens, including rescinding standards applicable to transmission or storage segments and eliminating methane requirements altogether. On June 30, 2021, President Biden signed into law a joint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resolution of the U.S. Congress disapproving the 2020 amendments (with the exception of some technical changes) thereby reinstating the 2012 and 2016 New Source Performance standards. The EPA expects owners and operators of regulated sources to take “immediate steps” to comply with these standards. Additionally, on November 15, 2021, the EPA published a proposed rule that would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These new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We cannot predict the final regulatory requirements or the cost to comply with such requirements with any certainty.</w:t>
      </w:r>
    </w:p>
    <w:p>
      <w:pPr>
        <w:spacing w:after="0" w:line="2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and, in September 2021, the Texas Railroad Commission curtailed the amount of water companies were permitted to inject into some wells near Midland and Odessa in the Permian Basin, and has since indefinitely suspended some permits there and expanded the restrictions to other areas. These restrictions on use of produced water and a moratorium on new produced water disposal wells could result in increased operating costs, requiring us or our service providers to truck produced water, recycle it or pump it through the pipeline network or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 and completion activity in the affected parts of the Permian Basin less economical and adversely impact our business, results of operations and financial condition.</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3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federal Endangered Species Act, or ESA, and analogous state laws restrict activities that may affect listed endangered or threatened species or their habitats. If endangered species are located in areas where we operate, our operations or any work performed related to them could be prohibited or delayed or expensive mitigation may be required. While some of our operations may be located in areas that are designated as habitats for endangered or threatened species, we believe that we are in compliance with the ESA. However, the designation of previously unprotected species, such as dunes sagebrush lizard, in areas where we operate as threatened or endangered could result in the imposition of restrictions on our operations and consequently have a material adverse effect on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w:t>
      </w:r>
    </w:p>
    <w:p>
      <w:pPr>
        <w:spacing w:after="0" w:line="20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Drilling and Production. </w:t>
      </w:r>
      <w:r>
        <w:rPr>
          <w:rFonts w:ascii="Arial" w:cs="Arial" w:eastAsia="Arial" w:hAnsi="Arial"/>
          <w:sz w:val="16"/>
          <w:szCs w:val="16"/>
          <w:color w:val="auto"/>
        </w:rPr>
        <w:t>Our operations are subject to various types of regulation at the federal, state and local level. These types of regulation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requiring permits for the drilling of wells, drilling bonds and reports concerning operations. The state, and some counties and municipalities, in which we operate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Federal, state and local regulations provide detailed requirements for the plugging and abandonment of wells, closure or decommissioning of production facilities and pipelines and for site restoration in areas where we operate. Although the Corps does not require bonds or other financial assurances, some state agencies and municipalities do have such requirements.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Sales. </w:t>
      </w:r>
      <w:r>
        <w:rPr>
          <w:rFonts w:ascii="Arial" w:cs="Arial" w:eastAsia="Arial" w:hAnsi="Arial"/>
          <w:sz w:val="17"/>
          <w:szCs w:val="17"/>
          <w:color w:val="auto"/>
        </w:rPr>
        <w:t>Historically, federal legislation and regulatory controls have affected the price of the natural gas we produce and the manner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we market our production.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Oil Sales and Transportation. </w:t>
      </w:r>
      <w:r>
        <w:rPr>
          <w:rFonts w:ascii="Arial" w:cs="Arial" w:eastAsia="Arial" w:hAnsi="Arial"/>
          <w:sz w:val="16"/>
          <w:szCs w:val="16"/>
          <w:color w:val="auto"/>
        </w:rPr>
        <w:t>Sales of crude oil, condensate and natural gas liquids are not currently regulated and are made at negotiated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Nevertheless, the U.S. Congress could reenact price controls in the future.</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crude oil sales are affected by the availability, terms and cost of transportation. The transportation of oil in common carrier pipelines is also subject to rate regulation. FERC regulates interstate oil pipeline transportation rates under the Interstate Commerce Act, and our subsidiary Rattler LLC has a tariff on file with FERC to perform oil gathering service in interstate commerce.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22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Further, interstate and intrastate common carrier oil pipelines, including our subsidiary Rattler LLC,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Safety and Maintenance Regulation. </w:t>
      </w:r>
      <w:r>
        <w:rPr>
          <w:rFonts w:ascii="Arial" w:cs="Arial" w:eastAsia="Arial" w:hAnsi="Arial"/>
          <w:sz w:val="16"/>
          <w:szCs w:val="16"/>
          <w:color w:val="auto"/>
        </w:rPr>
        <w:t>In our midstream operations, Rattler LLC is subject to regulation by the U.S. Department of Transportation,</w:t>
      </w:r>
    </w:p>
    <w:p>
      <w:pPr>
        <w:spacing w:after="0" w:line="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or DOT, under the Hazardous Liquids Pipeline Safety Act of 1979, or HLPSA, and comparable state statutes with respect to design, installation, testing, construction, operation, replacement and management of pipeline facilities. HLPSA covers petroleum and petroleum products, including natural gas liquids and condensate,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compliance in all material respects with these HLPSA regulations.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Rattler LLC is also subject to the Pipeline Safety Improvement Act of 2002. The Pipeline Safety Improvement Act establishes mandatory inspections for all United States crude oil and natural gas transportation pipelines and some gathering pipelines in high-consequence areas within ten years. DOT, through the Pipeline and Hazardous Materials Safety Administration, or PHMSA, has developed regulations implementing the Pipeline Safety Improvement Act that requires pipeline operators to implement integrity management programs, including more frequent inspections and other safety protections in areas where the consequences of potential pipeline accidents pose the greatest risk to people and their property.</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Pipeline Safety and Job Creation Act, enacted in 2011, and the Protecting our Infrastructure of Pipelines and Enhancing Safety Act of 2016, also known as the PIPES Act, enacted in 2016, amended the HLPSA and increased safety regulation. The Pipeline Safety and Job Creation Act doubles the maximum administrative fines for safety violations from $100,000 to $200,000 for a single violation and from $1.0 million to $2.0 million for a related series of violations (now increased for inflation to $225,134 and $2,251,334, respectively), and provides that these maximum penalty caps do not apply to civil enforcement actions, establishes additional safety requirements for newly constructed pipelines, and requires studies of certain safety issues that could result in the adoption of new regulatory requirements for existing pipelines, including the expansion of integrity management, use of automatic and remote-controlled shut-off valves, leak detection systems, sufficiency of existing regulation of gathering pipelines, use of excess flow valves, verification of maximum allowable operating pressure, incident notification, and other pipeline-safety related requirements. The PIPES Act ensures that the PHMSA completes the Pipeline Safety and Job Creation Act requirements; reforms PHMSA to be a more dynamic, data-driven regulator; and closes gaps in federal standards.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PHMSA has undertaken rulemakings to address many areas of this legislation. For example, on October 1, 2019, PHMSA published final rules to expand its integrity management requirements and impose new pressure testing requirements on regulated pipelines, including certain segments outside High Consequence Areas. The rules, once effective, also extend reporting requirements to certain previously unregulated gathering lines. The safety enhancement requirements and other provisions of the Pipeline Safety and Job Creation Act and the PIPES Act, as well as any implementation of PHMSA rules thereunder and/or related rule making proceedings, could require us to install new or modified safety controls, pursue additional capital projects or conduct maintenance programs on an accelerated basis, any or all of which tasks could result in our incurring increased operating costs that could have a material adverse effect on our results of operations or financial position. In addition, any material penalties or fines issued to us under these or other statutes, rules, regulations or orders could have an adverse impact on our business, financial condition, results of operation and cash flow.</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States are largely preempted by federal law from regulating pipeline safety but may assume responsibility for enforcing intrastate pipeline regulations at least as stringent as the federal standards, and many states have undertaken responsibility to enforce the federal standards. For example, on December 17, 2019, the Texas Railroad Commission adopted rules requiring that operators of gathering lines take 'appropriate' actions to fix safety hazards. We do not anticipate any significant problems in complying with applicable federal and state laws and regulations in Texas. Our gathering pipelines have ongoing inspection and compliance programs designed to keep the facilities in compliance with pipeline safety and pollution control requirements.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we are subject to the requirements of the federal Occupational Safety and Health Act, or OSHA, and comparable state statutes, whose purpose is to protect the health and safety of workers. Moreover,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Rattler LLC and the entities in which it owns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specified 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from these standards. Also, the Department of Homeland Security and other agencies such as the EPA continue to develop regulations concerning the security of industrial facilities, including crude oil and natural gas facilities. We are subject to a number of requirements and must prepare Federal Response Plans to comply. We must also prepare Risk Management Plans under the regulations promulgated by the EPA to implement the requirements under the CAA to prevent the accidental release of extremely hazardous substances. We have an internal program of inspection designed to monitor and enforce compliance with safeguard and security requirements. We believe that we are in compliance in all material respects with all applicable laws and regulations relating to safety and security.</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State Regulation. </w:t>
      </w:r>
      <w:r>
        <w:rPr>
          <w:rFonts w:ascii="Arial" w:cs="Arial" w:eastAsia="Arial" w:hAnsi="Arial"/>
          <w:sz w:val="17"/>
          <w:szCs w:val="17"/>
          <w:color w:val="auto"/>
        </w:rPr>
        <w:t>Texas regulates the drilling for, and the production, gathering and sale of, oil and natural gas, including imposing severance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taxes 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we can drill.</w:t>
      </w:r>
    </w:p>
    <w:p>
      <w:pPr>
        <w:spacing w:after="0" w:line="20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oil and natural gas industry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control of well protection for selected wells, comprehensive general liability, commercial automobile, workers compensation, pollution liability (claims made coverage with a policy retroactive date), excess umbrella liability and other coverage.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is subject to exclusion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effect on our financial position, results of operations and cash flows. See Item 1A. “Risk Factors–Risks Related to the Oil and Natural Gas Industry and Our Business–Operating hazards and uninsured risks may result in substantial losses and could prevent us from realizing profits.”</w:t>
      </w: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we also require our third-party vendors to sign master service agreements in which they agree to indemnify us for property damage and injuries and deaths of the service provider’s employees as well as contractors and subcontractors hired by the service provider.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We have developed a culture grounded upon the solid foundation of our core values—leadership, integrity, excellence, people and teamwork—that are adhered to throughout our company. We set a high bar for all of our employees in terms of how they operate and interact, both within the office and out in the field. We challenge them to identify new ways to foster a better future for themselves and for us. Our board of directors, through its Safety, Sustainability and Corporate Responsibility Committee, which we refer to as the SS&amp;CR Committee, provides an important oversight of our human capital management strategy, including diversity, equity and inclusion. In January 2022, the SS&amp;CR Committee’s charter was amended accordingly to include oversight of management of human capital as part of its ongoing responsibilities. The SS&amp;CR Committee receives regular updates from our executive leadership, senior management and third-party consultants on human capital trends and other key human capital matters impacting our business.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we had approximately 870 full time employees. None of our employees are represented by labor unions or covered by any collective bargaining agreements. We also utilize independent contractors and consultants involved in land, technical, regulatory and other disciplines to assist our full-time employees.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Diversity, Inclusion, Recruiting and Retention</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Equal employment opportunity is one of our core tenets and, as such, our employment decisions are based on merit, qualifications, competencies and contributions. We actively seek to attract and retain an increasingly diverse workforce and continue to cultivate an inclusive and respectful work environment. We deeply value the perspectives and experiences from our diverse personnel and are proud of our team, rich in a range of ethnic, cultural and ideological backgrounds. Nearly a third of our employees are women and over 25% of our employees self-identify as ethnic minorities. We took various actions during 2021 to increase the diversity in our candidate pool, and broaden our outreach, particularly within our college recruiting and internship programs, through various student organizations to support this inclusion effort which will continue in the future. In addition, we have focused on recruiting experienced hires to target and retain top industry talent. We have historically had a low annual voluntary attrition rate, representing approximately 13% in 2021, despite the challenging labor market and increased competition for talent impacted by the COVID-19 pandemic. We believe that our low voluntary attrition rate is in part a result of our corporate culture focused on diversity and inclusion, teamwork and commitment to employee development and career advancement discussed in more detail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Health and Safety</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Protecting employees, the public and the environment is a top priority in our operations and in the way we manage our assets. We are focused on minimizing the risk of workplace incidents and preparing for emergencies as an ingrained element of our corporate responsibility. We also strive to comply with all applicable health, safety and environmental standards, laws and regulations.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We have committed to reduce injuries and fatalities in our business and are focused on safety culture improvements, safety leadership actions and human performance principles. We are requiring our operational employees and independent contractors and their employees to go through SafeLandUSA orientation and training, which program is aligned with the International Association of Oil &amp; Gas Producers Life Saving Rules and also meets the operational safety requirements adopted by the American Petroleum Institute. We also involve employees from all operational levels in our safety program to provide input and suggested improvements to the overall safety program, recommended preventative measures based on reviewing vehicle and personnel incidents, safety and environmental audits at operational locations and audit and oversight of the Diamondback Hazard Communication Program.</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2017 through 2021, we had no employee work-related fatalities. Our employee OSHA recordable cases, comprising work-related injuries and illnesses that require medical treatment beyond first aid, totaled two in 2021, down from three in 2020. Our employee total recordable incident rate (TRIR) in 2021 was 0.25 in 2021 down from 0.42 in 2020 and lost-time incident rate (LTIR) was 0.12 in 2021 down from 0.14 in 2020. We have set a short-term target of maintaining an employee TRIR of 0.5 or less.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and Development</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support employees in pursuing training opportunities to expand their professional skills. Our internal course offerings in 2021 included a wide array of topics in addition to extensive safety and other compliance training sessions. Additionally, our people also undergo training and education each year on regulatory compliance, industry standards and innovative opportunities to effectively manage the challenges of developing our resources. We have also implemented development programs that are designed to build leadership capabilities at all levels.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2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corporate headquarters is located at the Fasken Center in Midland, Texas. We also lease additional office space in Midland, Texas, Oklahoma City, Oklahoma and Denver, Colorado.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Company Reports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those reports are available free of charge on the Investor Relations page of our website at www.diamondbackenergy.com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Please refer to Item 1A “Risk Factors” of this Form 10-K below for additional discussion of the risks summarized in this Risk Factors Summary.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256" w:lineRule="exact"/>
        <w:rPr>
          <w:sz w:val="20"/>
          <w:szCs w:val="20"/>
          <w:color w:val="auto"/>
        </w:rPr>
      </w:pPr>
    </w:p>
    <w:p>
      <w:pPr>
        <w:ind w:left="660" w:hanging="328"/>
        <w:spacing w:after="0" w:line="25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and operations have been and will likely continue to be adversely affected by the ongoing COVID-19 pandemic and volatility in the oil and natural gas markets.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and particularly volatility in prices for oil and natural gas may continue to adversely affect our revenue, cash flows, profitability, growth, production and the present value of our estimated reserves.</w:t>
      </w: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obtain needed capital or financing on satisfactory terms or at all to fund our acquisitions or development activities, which could lead to a loss of properties and a decline in our oil and natural gas reserves and future production.</w:t>
      </w:r>
    </w:p>
    <w:p>
      <w:pPr>
        <w:ind w:left="66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successfully identify, complete and integrate pending and future acquisitions of properties or businesses could reduce our earnings, and title defects in the properties in which we invest may lead to losses.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identified potential drilling locations are susceptible to uncertainties that could materially alter the occurrence or timing of their drilling.</w:t>
      </w:r>
    </w:p>
    <w:p>
      <w:pPr>
        <w:spacing w:after="0" w:line="34" w:lineRule="exact"/>
        <w:rPr>
          <w:rFonts w:ascii="Arial" w:cs="Arial" w:eastAsia="Arial" w:hAnsi="Arial"/>
          <w:sz w:val="17"/>
          <w:szCs w:val="17"/>
          <w:color w:val="auto"/>
        </w:rPr>
      </w:pPr>
    </w:p>
    <w:p>
      <w:pPr>
        <w:ind w:left="660" w:hanging="328"/>
        <w:spacing w:after="0" w:line="265"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hedging activities may limit or prevent our ability to take advantage of increased commodity prices, and despite such hedging activities, we may also be adversely affected by any declines in the price of oil or exposed to other risks, including counterparty credit risk.</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production from our Permian Basin acreage decreases, we may fail to meet our obligations to deliver specified quantities of oil under our oil purchase contract, which may adversely affect our operations.</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one or more of our customers to meet their obligations, or loss of one or more of our significant purchasers, may adversely affect our financial results.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method of accounting for investments in oil and natural gas properties may result in impairment of asset value.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inaccuracies in these reserve estimates or underlying assumptions will materially affect the quantities and present value of our reserves.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vulnerable to risks associated with our primary operations concentrated in a single geographic area.</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transportation or other facilities, certain of which we do not control, or rigs, equipment, raw materials, oil services or personnel are unavailable, our operations could be interrupted and our revenues reduced.</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operations are subject to various governmental laws and regulations which require compliance that can be burdensome and expensive and may impose restrictions on our operations.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Recent and future U.S. tax legislation may adversely affect our business, results of operations, financial condition and cash flow.</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Drilling for and producing oil and natural gas are high-risk activities with many uncertainties that may result in a total loss of investment and adversely affect our business, financial condition or results of operations.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terrorist attack or armed conflict could harm our business and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cyber incident could result in information theft, data corruption, operational disruption and/or financial loss.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252" w:lineRule="exact"/>
        <w:rPr>
          <w:sz w:val="20"/>
          <w:szCs w:val="20"/>
          <w:color w:val="auto"/>
        </w:rPr>
      </w:pPr>
    </w:p>
    <w:p>
      <w:pPr>
        <w:ind w:left="66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substantial level of indebtedness could adversely affect our financial condition and prevent us from fulfilling our obligations under our indebtedness, and we and our subsidiaries may be able to incur substantial additional indebtedness in the future.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reduction in availability under our revolving credit facility and the inability to otherwise obtain financing for our capital programs could require us to curtail our capital expenditures.</w:t>
      </w: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Restrictive covenants in certain of our existing and future debt instruments may limit our ability to respond to changes in market conditions or pursue business opportunities.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depend on our subsidiaries for dividends, distributions and other payments.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experience liquidity concerns, we could face a downgrade in our debt ratings which could restrict our access to, and negatively impact the terms of, current or future financings or trade credit.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Borrowings under our, Viper LLC’s and Rattler LLC’s revolving credit facilities expose us to interest rate risk.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52" w:lineRule="exact"/>
        <w:rPr>
          <w:sz w:val="20"/>
          <w:szCs w:val="20"/>
          <w:color w:val="auto"/>
        </w:rPr>
      </w:pPr>
    </w:p>
    <w:p>
      <w:pPr>
        <w:ind w:left="66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corporate opportunity provisions in our certificate of incorporation could enable affiliates of ours to benefit from corporate opportunities that might otherwise be available to us.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price of our common stock fluctuates significantly, an investment in us could lose value.</w:t>
      </w:r>
    </w:p>
    <w:p>
      <w:pPr>
        <w:spacing w:after="0" w:line="9"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declaration of dividends and any repurchases of our common stock are each within the discretion of our board of directors, and there is no guarantee that we will pay any dividends on or repurchases of our common stock in the future or at levels anticipated by our stockholders.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of control could limit our use of net operating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our operating results do not meet expectations of securities or industry analysts, our stock price could decline.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issue preferred stock whose terms could adversely affect the voting power or value of our common stock.</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in our certificate of incorporation and bylaws and Delaware law make it more difficult to effect a change in control of the company, which could adversely affect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i w:val="1"/>
          <w:iCs w:val="1"/>
          <w:color w:val="auto"/>
        </w:rPr>
        <w:t>The nature of our business activities subjects us to certain hazards and risks. The following is a summary of some of the material risks relating to our business activities. Other risks are described in Item 1. “Business and Properties,” Item 7. “Management’s Discussion and Analysis of Financial Condition and Results of Operations” and Item 7A. “Quantitative and Qualitative Disclosures About Market Risk.” These risks are not the only risks we face. We could also face additional risks and uncertainties not currently known to us or that we currently deem to be immaterial. If any of these risks actually occurs, it could materially harm our business, financial condition or results of operations and the trading price of our shares could decline.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Our business and operations have been and will likely continue to be adversely affected by the ongoing COVID-19 pandemic and volatility in the oil and natural gas markets. In addition, if commodity prices decrease, our production, estimates of proved reserves and liquidity may be adversely affected.</w:t>
      </w:r>
    </w:p>
    <w:p>
      <w:pPr>
        <w:spacing w:after="0" w:line="19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After turning negative in April 2020, NYMEX WTI prices have recovered, closing at $85.43 per Bbl as of January 18, 2022, as demand for oil and natural gas increased and many restrictions on conducting business implemented in response to the COVID-19 pandemic were lifted due to improved treatments and availability of vaccinations in the U.S. and globally. The emergence of the Delta COVID-19 variant in the latter part of 2021 and the subsequent surge of the highly transmissible Omicron variant, however, contributed to economic and pricing volatility as industry and market participants evaluated industry conditions and production outlook. Despite the recent recovery in demand for oil and natural gas and commodity prices, we have kept production on our acreage relatively flat during 2021, using excess cash flow for debt repayment and/or return to our stockholders rather than expanding our drilling program. We intend to continue exercising capital discipline by maintaining our oil production flat in 2022 at the fourth quarter 2021 level. We cannot reasonably predict whether production levels will remain at current levels or the full extent of the events above and any subsequent recovery may have on our industry and our business.</w:t>
      </w:r>
    </w:p>
    <w:p>
      <w:pPr>
        <w:spacing w:after="0" w:line="20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Due to the improvement in commodity pricing environment and industry conditions, we did not record any impairments in 2021. However, if commodity prices fall below current levels, we may be required to record impairments in future periods and such impairments could be material. Further, if commodity prices decrease, our production, proved reserves and cash flows will be adversely impacted. Reductions in our reserves could also negatively impact the borrowing base under our revolving credit facility, which could limit our liquidity and ability to conduct additional exploration and development activities.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ongoing COVID-19 pandemic continues to present operational, health, labor, logistics and other challenges, and it is difficult to assess the ultimate impact of the COVID-19 pandemic on our business, financial condition and cash flows.</w:t>
      </w:r>
    </w:p>
    <w:p>
      <w:pPr>
        <w:spacing w:after="0" w:line="19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There are many variables and uncertainties regarding the COVID-19 pandemic, including the emergence, contagiousness and threat of new and different strains of the virus and their severity; the effectiveness of treatments or vaccines against the virus or its new strains; the extent of travel restrictions, business closures and other measures that are or may be imposed in affected areas or countries by governmental authorities; disruptions in the supply chain; an increasingly competitive labor market due to a sustained labor shortage or increased turnover caused by the COVID-19 pandemic; increased logistics costs; additional costs due to remote working arrangements, adherence to social distancing guidelines and other COVID-19-related challenges. Further, there remain increased risks of cyberattacks on information technology systems used in a remote working environment; increased privacy-related risks due to processing health-related personal information; absence of workforce due to illness; the impact of the pandemic on any of our contractual counterparties; and other factors that are currently unknown or considered immaterial. It is difficult to assess the ultimate impact of the COVID-19 pandemic on our business, financial condition and cash flows.</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i w:val="1"/>
          <w:iCs w:val="1"/>
          <w:color w:val="auto"/>
        </w:rPr>
        <w:t>Market conditions for oil and natural gas, and particularly volatility in prices for oil and natural gas, have in the past adversely affected, and may in the future adversely affect, our revenue, cash flows, profitability, growth, production and the present value of our estimated reserves.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revenues, operating results, profitability, future rate of growth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 the domestic and foreign supply of oil and natural gas; the level of prices and expectations about future prices of oil and natural gas; the level of global oil and natural gas exploration and production; the cost of exploring for, developing, producing and delivering oil and natural gas; the price and quantity of foreign imports; political and economic conditions in oil producing countries, including the Middle East, Africa, South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America and Russia; the potential impact of any Russian-Ukrainian conflict on the global energy markets; the continued threat of terrorism and the impact of military and other action, including U.S. military operations in the Middle East; the ability of members of the OPEC+ to agree to and maintain oil price and production controls; speculative trading in crude oil and natural gas derivative contracts; the level of consumer product demand; extreme weather conditions and other natural disasters; risks associated with operating drilling rigs; technological advances affecting energy consumption; the price and availability of alternative fuels; domestic and foreign governmental regulations and taxes, including the Biden Administration’s energy and environmental policies; global or national health concerns, including the outbreak of pandemic or contagious disease, such as COVID-19 and its variants; the proximity, cost, availability and capacity of oil and natural gas pipelines and other transportation facilities; and overall domestic and global economic conditions. Our results of operations may also be adversely impacted by any future government rule, regulation or order that may impose production limits, as well as pipeline capacity and storage constraints, in the Permian Basin where we operate.</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factors and the volatility of the energy markets make it extremely difficult to predict future oil and natural gas price movements with any certainty. During 2021, NYMEX WTI prices ranged from $47.62 to $84.65 per Bbl and the NYMEX Henry Hub price of natural gas ranged from $2.45 to $6.31 per MMBtu. If the prices of oil and natural gas decline, our operations, financial condition and level of expenditures for the development of our oil and natural gas reserves may be materially and adversely affected.</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significant portion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 significant portion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to maintain the production in paying quantities, and if we are unsuccessful in drilling such wells and maintaining such production, we could lose our rights under such leases. Our future oil and natural gas reserves and production and, therefore, our future cash flow and income are highly dependent on successfully developing our undeveloped leasehold acreage.</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development and exploration operations and our ability to complete acquisitions require substantial capital and we may be unable to obtain needed capital or financing on satisfactory terms or at all, which could lead to a loss of properties and a decline in our oil and natural gas reserves.</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oil and natural gas industry is capital intensive. We make and expect to continue to make substantial capital expenditures in our business and operations for the exploration for and development, production and acquisition of oil and natural gas reserves. In 2021, our total capital expenditures, including expenditures for drilling, completion, infrastructure and additions to midstream assets, were approximately $1.5 billion. Our 2022 capital budget for drilling, completion and infrastructure, including investments in water disposal infrastructure and gathering line projects, is currently estimated to be approximately $1.75 billion to $1.90 billion, representing an increase of 23% from our 2021 capital expenditures. Since completing our initial public offering in October 2012, we have financed capital expenditures primarily with borrowings under our revolving credit facility, cash generated by operations and the net proceeds from public offerings of our common stock and the senior notes.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finance our future capital expenditures with cash flow from operations, while future acquisitions may also be funded from operations as well as proceeds from offerings of our debt and equity securities and borrowings under our revolving credit facility. Our cash flow from operations and access to capital are subject to a number of variables, including our proved reserves; the volume of oil and natural gas we are able to produce from existing wells; the prices at which our oil and natural gas are sold; our ability to acquire, locate and produce economically new reserves; and our ability to borrow under our credit facility.</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cannot assure you that our operations and other capital resources will provide cash in sufficient amounts to maintain planned or future levels of capital expenditures. Further, our actual capital expenditures in 2022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production payment financings, sales of assets, offerings of debt or equity securities or other means. We cannot assure you that we will be able to obtain debt or equity financing on terms favorable to us, or at all.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we are unable to fund our capital requirements or our costs of capital increase, we may be required to curtail our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 revenues and results of operations. In addition, a delay in or the failure to complete proposed or future infrastructure projects could delay or eliminate potential efficiencies and related cost savings.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finding, developing or acquiring additional reserves.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If we are unable to replace our current production, the value of our reserves will decrease, and our business, financial condition and results of operations would be adversely affected. Furthermore, although our revenues may increase if prevailing oil and natural gas prices increase significantly, our finding costs for additional reserves could also increase.</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failure to successfully identify, complete and integrate pending and future acquisitions of properties or businesses could reduce our earnings and slow our growth.</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w:t>
      </w:r>
    </w:p>
    <w:p>
      <w:pPr>
        <w:spacing w:after="0" w:line="2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Competition for acquisitions may increase the cost of, or cause us to refrain from, completing acquisitions. Our ability to complete acquisitions is dependent upon, among other things, our ability to obtain debt and equity financing and, in some cases, regulatory approvals. If these acquisitions include geographic regions in which we do not currently operate, we could be subject to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spacing w:after="0" w:line="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6"/>
          <w:szCs w:val="16"/>
          <w:color w:val="auto"/>
        </w:rPr>
        <w:t>Any of these factors could have a material adverse effect on our financial condition and results of operations. Our financial position and results of operations may also fluctuate significantly from period to period, based on whether or not significant acquisitions are completed in particular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invest.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our practice in acquiring oil and natural gas leases or interests not to incur the expense of retaining lawyers to examine the title to the mineral interest. Rather, we rely upon the judgment of oil and gas lease brokers or landmen who perform the fieldwork in examining records in the appropriate governmental office before attempting to acquire a lease in a specific mineral interest. The existence of a material title deficiency can render a lease worthless and can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drilling of an oil or natural gas well, however,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we will suffer a financial loss.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identified potential drilling locations, which are part of our anticipated future drilling plans, are susceptible to uncertainties that could materially alter the occurrence or timing of their drilling.</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Drilling for oil and natural gas often involves unprofitable efforts, not only from dry wells but also from wells that are productive but do not produce sufficient oil or natural gas to return a profit at then realized prices after deducting drilling, operating and other costs.</w:t>
      </w:r>
    </w:p>
    <w:p>
      <w:pPr>
        <w:spacing w:after="0" w:line="19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As of December 31, 2021, we have approximately 9,314 gross (6,311 net) identified economic potential horizontal drilling locations in multiple horizons on our acreage at an assumed price of approximately $50.00 per Bbl WTI. As of December 31, 2021, only 602 of our gross identified economic potential horizontal drilling locations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unusual or unexpected geological formations, title problems, facility or equipment malfunctions, unexpected operational events, inclement weather, environmental and other regulatory requirements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In addition, as of December 31, 2021, we have identified approximately 2,531 horizontal drilling locations in intervals in which we have drilled very few or no wells, which are necessarily more speculative and based on results from other operators whose acreage may not be consistent with ours. We cannot predict in advance of drilling and testing whether any particular drilling location will yield oil or natural gas in sufficient quantities to recover drilling or completion costs or to be economically viable.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our drilling success rate may decline and materially harm our business. Through December 31, 2021, we are the operator of, have participated in, or have acquired working interest in a total of 2,842 horizontal producing wells completed on our acreage. We cannot assure you that the analogies we draw from available data from these or other wells,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acreage must be drilled before lease expiration, generally within three to five years, in order to hold the acreage by production. In a highly competitive market for acreage, failure to drill sufficient wells to hold acreage may result in a substantial lease renewal cost or, if renewal is not feasible, loss of our lease and prospective drilling opportunities.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Leases on oil and natural gas properties typically have a term of three to five years, after which they expire unless, prior to expiration, production is established within the spacing units covering the undeveloped acres.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In order to hold our current leases expiring in 2022, we will need to operate at least a one-rig program. Any non-renewal or other loss of leases could materially and adversely affect the growth of our asset basis,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b w:val="1"/>
          <w:bCs w:val="1"/>
          <w:i w:val="1"/>
          <w:iCs w:val="1"/>
          <w:color w:val="auto"/>
        </w:rPr>
        <w:t>We have entered into commodity price derivatives for a portion of our production. Although we have hedged a portion of our estimated 2022 and 2023 production, we may still be adversely affected by declines in the price of oil and may be exposed to other risks, including counterparty credit risk.</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commodity price derivatives to reduce price volatility associated with certain of our oil and natural gas sales. To the extent that the prices of oil and natural gas remain at current levels or decline further, we may not be able to economically hedge future production at the same level as our current hedges, and our results of operations and financial condition may be negatively impacted.</w:t>
      </w: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We do not require collateral from our counterparties.</w:t>
      </w:r>
    </w:p>
    <w:p>
      <w:pPr>
        <w:spacing w:after="0" w:line="214" w:lineRule="exact"/>
        <w:rPr>
          <w:sz w:val="20"/>
          <w:szCs w:val="20"/>
          <w:color w:val="auto"/>
        </w:rPr>
      </w:pPr>
    </w:p>
    <w:p>
      <w:pPr>
        <w:jc w:val="both"/>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regarding our outstanding derivative contracts as of December 31, 2021, see Note 15—</w:t>
      </w:r>
      <w:hyperlink w:anchor="page123">
        <w:r>
          <w:rPr>
            <w:rFonts w:ascii="Arial" w:cs="Arial" w:eastAsia="Arial" w:hAnsi="Arial"/>
            <w:sz w:val="18"/>
            <w:szCs w:val="18"/>
            <w:u w:val="single" w:color="auto"/>
            <w:color w:val="0000FF"/>
          </w:rPr>
          <w:t>Derivatives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included elsewhere in this report.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production from our Permian Basin acreage decreases due to decreased developmental activities, production related difficulties or otherwise, we may fail to meet our obligations to deliver specified quantities of oil under our oil purchase contracts, which will result in deficiency payments to the counterparty and may have an adverse effect on our operations.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party to long-term crude oil agreements under which, subject to certain terms and conditions, we are obligated to deliver specified quantities of oil to our counterparties. Our maximum delivery obligation under these agreements varies for different periods and depends in some cases upon certain conditions beyond our control. If production from our Permian Basin acreage decreases due to decreased developmental activities, as a result of the low commodity price environment, production related difficulties or otherwise, we may be unable to meet our obligations under our oil purchase agreements, which may result in deficiency payments to certain counterparties or a default under such agreements and may have an adverse effect on our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one or more of our customers to meet their obligations may adversely affect our financial results.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credit risk related to receivables from commodity derivative contracts, our principal exposure to credit risk is through receivables from joint interest owners on properties we operate (approximately $72 million at December 31, 2021) and receivables from purchasers of our oil and natural gas production (approximately $598 million at December 31, 2021).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also subject to credit risk due to the concentration of our oil and natural gas receivables with several significant customers. See “Business and Properties—Oil and Natural Gas Production Prices and Production Costs—Marketing and Customers” for additional information regarding these customers. This concentration of customers may impact our overall credit risk in that these entities may be similarly affected by any adverse changes in economic and other conditions. We do not require our customers to post collateral. Under certain circumstances, the revenue due to them can be offset by any unpaid receivables. The inability or failure of our significant customers or joint working interest owners to meet their obligations to us or their insolvency or liquidation may materially adversely affect our financial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may result in impairment of asset value.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We use the unweighted arithmetic average first day of the month price for oil and natural gas for the 12-month period preceding the calculation date in estimating discounted future net revenues.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impairment on proved oil and natural gas properties was recorded for the year ended December 31, 2021. Impairments of proved oil and natural gas properties of $6.0 billion and $0.8 billion were recorded for the years ended December 31, 2020 and 2019.</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estimated reserves and EURs are based on many assumptions that may turn out to be inaccurate. Any material inaccuracies in these reserve estimates or underlying assumptions will materially affect the quantities and present value of our reserves.</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The EURs for our horizontal wells are based on management’s internal estimates.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 The reserve estimates represent our net revenue interest in our properties.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timing of both our production and our incurrence of costs in connection with the development and production of oil and natural gas properties will affect the timing of actual future net cash flows from proved reserves.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standardized measure of our estimated proved reserves and our PV-10 are not necessarily the same as the current market value of our estimated proved oil reserves.</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present value of future net cash flow from our proved reserves, or standardized measure, and our related PV-10 calculation, may not represent the current market value of our estimated proved oil reserves. In accordance with SEC requirements, we base the estimated discounted future net cash flow from our estimated proved reserves on the 12-month average oil index prices, calculated as the unweighted arithmetic average for the first-day-of-the-month price for each month and costs in effect as of the date of the estimate, holding the prices and costs constant throughout the life of the properties.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Actual future prices and costs may differ materially from those used in the net present value estimate, and future net present value estimates using then current prices and costs may be significantly less than current estimates. In addition, the 10% discount factor we use when calculating discounted future net cash flow for reporting requirements in compliance with the Financial Accounting Standard Board Codification 932, “Extractive Activities—Oil and Gas,” may not be the most appropriate discount factor based on interest rates in effect from time to time and risks associated with us or the oil and natural gas industry in general.</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development of our proved undeveloped reserves may take longer and may require higher levels of capital expenditures than we currently anticipate.</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Approximately 33% of our total estimated proved reserves as of December 31, 2021, were proved undeveloped reserves and may not be ultimately developed or produced. Recovery of proved undeveloped reserves requires significant capital expenditures and successful drilling and completion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producing properties are located in the Permian Basin of West Texas, making us vulnerable to risks associated with operating in a single geographic area. In addition, we have a large amount of proved reserves attributable to a small number of producing horizons within this area.</w:t>
      </w:r>
    </w:p>
    <w:p>
      <w:pPr>
        <w:spacing w:after="0" w:line="15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producing properties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and extreme weather conditions, such as the severe winter storms in the Permian Basin in February 2021, and their adverse impact on production volumes, availability of electrical power, road accessibility and transportation facilities. 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to the geographic concentration of our producing properties described above, as of December 31, 2021, most of our proved reserves are concentrated in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availability of a ready market for any oil and/or natural gas we produce depends on numerous factors beyond the control of our management, including but not limited to the extent of domestic production and imports of oil, the proximity and capacity of natural gas pipelines, the availability of skilled labor, materials and equipment, the effect of state and federal regulation of oil and natural gas production and federal regulation of natural gas sold in interstate commerce. We cannot assure you that we will continue to have ready access to suitable markets for our future oil and natural gas production. In addition, we depend upon several significant purchasers for the sale of most of our oil and natural gas production. See “Business and Properties—Oil and Natural Gas Production Prices and Production Costs—Marketing and Customers” for additional information regarding these customers. The loss of one or more of these customers, and our inability to sell our production to other customers on terms we consider acceptable, could materially and adversely affect our business, financial condition, results of operations and cash flow.</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unavailability, high cost or shortages of rigs, equipment, raw materials, supplies, oilfield services or personnel may restrict our operations.</w:t>
      </w:r>
    </w:p>
    <w:p>
      <w:pPr>
        <w:spacing w:after="0" w:line="2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We cannot predict whether these conditions will exist in the future and, if so, what their timing and duration will be. In accordance with customary industry practice, we rely on independent third 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operators of those rigs may choose to cease providing services to us. Shortages of drilling rigs, equipment, raw materials (particularly sand and other proppants), supplies, personnel, trucking services, tubulars, fracking and completion services and production equipment could delay or restrict our exploration and development operations, which in turn could impair our financial condition and results of operations.</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Water is an essential component of deep shale oil and natural gas production during both the drilling and hydraulic fracturing processes. Historically, we have been able to purchase water from local land owners for use in our operations. Over the past several years, Texas has experienced extreme drought conditions. As a result of this severe drought, some local water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districts have begun restricting the use of water subject to their jurisdiction for hydraulic fracturing to protect local water supply. If we are unable to obtain water to use in our operations from local sources, or we are unable to effectively utilize flowback water, we may be unable to economically drill for or produce oil and natural gas, which could have an adverse effect on our financial condition, results of operations and cash flows.</w:t>
      </w:r>
    </w:p>
    <w:p>
      <w:pPr>
        <w:spacing w:after="0" w:line="192"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Recent regulatory restrictions on use of produced water and a moratorium on new produced water disposal wells in the Permian Basin to stem rising seismic activity and earthquakes could increase our operating costs and adversely impact our business, results of operations and financial condition.</w:t>
      </w:r>
    </w:p>
    <w:p>
      <w:pPr>
        <w:spacing w:after="0" w:line="12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September 2021, the Texas Railroad Commission curtailed the amount of produced water companies were permitted to inject into some wells near Midland and Odessa in the Permian Basin, and has since indefinitely suspended some permits there and expanded the restrictions to other areas. These actions were taken in an effort to control induced seismic activity and recent increases in earthquakes in the Permian Basin, which have been linked by the U.S. and local seismologists to wastewater disposal in oil fields. These restrictions on the disposal of produced water and a moratorium on new produced water disposal wells could result in increased operating costs, requiring us or our service providers to truck produced water, recycle it or dispose of it by other means, all of which could be costly. We or our service providers may also need to limit disposal well volumes, disposal rates and pressures or locations, or require us or our service providers to shut down or curtail the injection of produced water into disposal wells. These factors may make drilling activity in the affected parts of the Permian Basin less economical and adversely impact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from operations during certain periods since our inception and may do so in the future.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development of and participation in an increasingly larger number of drilling locations has required and will continue to require substantial capital expenditures. The uncertainty and risks described in this report may impede our ability to economically find, develop and acquire oil and natural gas reserves. As a result, we may not be able to achieve or sustain profitability or positive cash flows from our operating activities in the future.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operations involve developing and utilizing the latest drilling and completion techniques. Risks that we face while drilling include, but are not limited to, the following:</w:t>
      </w:r>
    </w:p>
    <w:p>
      <w:pPr>
        <w:spacing w:after="0" w:line="197"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spacing of wells to maximize economic return;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landing our well bore in the desired drilling zone;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staying in the desired drilling zone while drilling horizontally through the formation;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running our casing the entire length of the well bore;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being able to run tools and other equipment consistently through the horizontal well bore.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Risks that we face while completing our wells include, but are not limited to, being able to:</w:t>
      </w:r>
    </w:p>
    <w:p>
      <w:pPr>
        <w:spacing w:after="0" w:line="252"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fracture stimulate the planned number of stages;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run tools the entire length of the well bore during completion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clean out the well bore after completion of the final fracture stimulation stage;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 unintentional communication with other wells.</w:t>
      </w:r>
    </w:p>
    <w:p>
      <w:pPr>
        <w:spacing w:after="0" w:line="2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Furthermore, certain of the new techniques we are adopting, such as infill drilling and multi-well pad drilling, may cause irregularities or interruptions in production due to, in the case of infill drilling, offset wells being shut in and, in the case of multi-well pad drilling, the time required to drill and complete multiple wells before any such wells begin producing.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Ultimately, the success of these drilling and completion techniques can only be evaluated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anticipate. Further, as a result of any of these developments we could incur material write-downs of our oil and natural gas properties and the value of our undeveloped acreage could decline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flows.</w:t>
      </w:r>
    </w:p>
    <w:p>
      <w:pPr>
        <w:jc w:val="both"/>
        <w:spacing w:after="0" w:line="250" w:lineRule="auto"/>
        <w:rPr>
          <w:sz w:val="20"/>
          <w:szCs w:val="20"/>
          <w:color w:val="auto"/>
        </w:rPr>
      </w:pPr>
      <w:r>
        <w:rPr>
          <w:rFonts w:ascii="Arial" w:cs="Arial" w:eastAsia="Arial" w:hAnsi="Arial"/>
          <w:sz w:val="18"/>
          <w:szCs w:val="18"/>
          <w:b w:val="1"/>
          <w:bCs w:val="1"/>
          <w:i w:val="1"/>
          <w:iCs w:val="1"/>
          <w:color w:val="auto"/>
        </w:rPr>
        <w:t>The marketability of our production is dependent upon transportation and other facilities, certain of which we do not control. If these facilities are unavailable, our operations could be interrupted and our revenues reduced.</w:t>
      </w:r>
    </w:p>
    <w:p>
      <w:pPr>
        <w:spacing w:after="0" w:line="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The marketability of our oil and natural gas production depends in part upon the availability, proximity and capacity of transportation facilities owned by third parties. Our oil production is transported from the wellhead to our tank batteries by our gathering line, which interconnects with third party pipelines. Our natural gas production is generally transported by our gathering lines from the wellhead to an interconnection point with a purchaser or into a third-party gathering system. We do not control third party transportation facilities and our access to them may be limited or denied. Insufficient production from our wells to support the construction of pipeline facilities by our purchasers or a significant disruption in the availability of our or third party transportation facilities or other production facilities could adversely impact our ability to deliver to market or produce our oil and natural gas and thereby cause a significant interruption in our operations. For example, on certain occasions we have experienced high line pressure at our tank batteries with occasional flaring due to the inability of the gas gathering systems in the areas in which we operate to support the increased production of natural gas in the Permian Basin. If, in the future, we are unable, for any sustained period, to implement acceptable delivery or transportation arrangements or encounter production related difficulties, we may be required to shut in or curtail production. In addition, the amount of oil and natural gas that can be produced and sold may be subject to curtailment in certain other circumstances outside of our control, such as pipeline interruptions due to maintenance, excessive pressure, ability of downstream processing facilities to accept unprocessed gas, physical damage to the gathering or transportation system or lack of contracted capacity on such systems. The curtailments arising from these and similar circumstances may last from a few days to several months, and in many cases, we are provided with limited, if any, notice as to when these circumstances will arise and their duration. Any such shut in or curtailment, or an inability to obtain favorable terms for delivery of the oil and natural gas produced from our fields, would adversely affect our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are subject to various governmental laws and regulations which require compliance that can be burdensome and expensive.</w:t>
      </w:r>
    </w:p>
    <w:p>
      <w:pPr>
        <w:spacing w:after="0" w:line="2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oil and natural gas operations are subject to various federal, state and local governmental regulations that may be changed from time to time in response to economic and political conditions.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natural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Further, these laws and regulations imposed strict requirements for water and air pollution control and solid waste management. Significant expenditures may be required to comply with governmental laws and regulations applicable to us. In addition, federal and state legislation and regulatory initiatives relating to hydraulic fracturing could result in increased costs and additional operating restrictions or delays. Even if federal regulatory burdens temporarily ease, the historic trend of more expansive and stricter environmental legislation and regulations may continue in the long-term, and at the state and local levels. See Item 1. “Business—Regulation” for a detailed description of certain laws and regulations that affect us.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our ability to conduct drilling activities in some of the areas where we operate.</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lead to periodic shortages when drilling is allowed. These constraints and the resulting shortages or high costs could delay our operations and materially increase our operating and capital costs. Permanent restrictions imposed to protect threatened or endangered species could prohibit drilling in certain areas or require the implementation of expensive mitigation measures. The designation of previously unprotected species in areas where we operate as threatened or endangered could cause us to incur increased costs arising from species protection measures or could result in limitations on our exploration and production activities that could have an adverse impact on our ability to develop and produce our reserves.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Derivatives reform legislation and related regulations could have an adverse effect on our ability to hedge risks associated with our business.</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The July 2010 Dodd-Frank Wall Street Reform and Consumer Protection Act, which we refer to as Dodd-Frank Act, provides for federal oversight of the over-the-counter derivatives market and entities that participate in that market and mandates that the Commodity Futures Trading Commission, which we refer to as the CFTC, the SEC, and federal regulators of financial institutions, which we refer to as the Prudential Regulators, adopt rules or regulations implementing the Dodd-Frank Act and providing definitions of terms used in the Dodd-Frank Act. The Dodd-Frank Act establishes margin requirements and requires clearing and trade execution practices for certain market participants and may result in certain market participants needing to curtail or cease their derivatives activities.</w:t>
      </w:r>
    </w:p>
    <w:p>
      <w:pPr>
        <w:spacing w:after="0" w:line="2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212529"/>
        </w:rPr>
        <w:t>Although some of the rules necessary to implement the Dodd-Frank Act remain to be adopted, the CFTC, the SEC and the Prudential Regulators have issued many rules to implement the Dodd-Frank Act, including a rule, which we refer to as the Mandatory Clearing Rule, requiring clearing of hedges, or swaps, that are subject to it (currently, only certain interest rate and credit default swaps), a rule, which we refer to as the End User Exception, establishing an “end user” exception to the Mandatory Clearing Rule, a rule, which we refer to as the Margin Rule, setting forth collateral requirements in connection with swaps that are not cleared and also an exception to the Margin Rule for end users that are not financial end users, which exception we refer to as the Non-Financial End User Exception, and a rule imposing position limits, which we refer to as the Position Limit Rule, and also an exception to the Position Limit Rule for swaps that constitute a “bona fide hedging transaction or position” within the definition of such term under the Position Limit Rule, subject to the party claiming the exemption complying with the applicable filing, recordkeeping and reporting requirements of the Position Limit Rule, which we refer to as the Bona Fide Hedging Exception.</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212529"/>
        </w:rPr>
        <w:t>We qualify for the End User Exception to the Mandatory Clearing Rule, we qualify for the Non-Financial End User Exception and will not be required to post margin in connection with uncleared swaps under the Margin Rule, and each of our existing and anticipated hedging positions constitutes a “bona fide hedging transaction or position” under the Position Limit Rule and we intend to undertake the filing, recordkeeping and reporting necessary to utilize the Bona Fide Hedging Exception under the Position Limit Rule, so we do not expect to be directly affected by any of such rules. However, most if not all of our hedge counterparties will be subject to mandatory clearing in connection with their hedging activities with parties who do not qualify for the End User Exception and will be required to post margin in connection with their hedging activities with other swap dealers, major swap participants, financial end users and other persons that do not qualify for the Non-Financial End User Exception. In addition, the European Union and other non-U.S. jurisdictions have enacted laws and regulations (including laws and regulations giving the European Union financial authorities the power to write-down amounts we may be owed on hedging agreements with counterparties subject to such laws and regulations and/or require that we accept equity interests in such counterparties in lieu of cash in satisfaction of such amounts), which we refer to collectively as Foreign Regulations, which may apply to our transactions with counterparties subject to such Foreign Regulations, which we refer to as Foreign Counterparties, and the U.S. adopted law and rules, which we call the U.S. Resolution Stay Rules, clarifying similar rights of U.S. banking authorities with respect to banking institutions subject to their regulation. The Dodd-Frank Act, the rules which have been adopted and not vacated, the Limit Rule and the U.S. Resolution Stay Rules could significantly increase the cost of our derivative contracts, materially alter the terms of our derivative contracts, reduce the availability of derivatives to us that we have historically used to protect against risks that we encounter in our business, reduce our ability to monetize or restructure our existing derivative contracts and increase our exposure to less creditworthy counterparties. The Foreign Regulations could have similar effects. If we reduce our use of derivatives as a result of the Dodd-Frank Act and regulation, the U.S. Resolution Stay Rules and Foreign Regulations, our results of operations may become more volatile and our cash flows may be less predictable, which could adversely affect our ability to plan for and fund capital expenditures. Finally, the Dodd-Frank Act was intended, in part, to reduce the volatility of oil and natural gas prices, which some legislators attributed to speculative trading in derivatives and commodity contracts related to oil and natural gas. Our revenues could therefore be adversely affected if a consequence of the Dodd-Frank Act and regulations is to lower commodity prices. Any of these consequences could have a material adverse effect on us, our financial condition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 tax legislation may adversely affect our business, results of operations, financial condition and cash flow.</w:t>
      </w:r>
    </w:p>
    <w:p>
      <w:pPr>
        <w:spacing w:after="0" w:line="2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212529"/>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areas of high industry activity, which may affect our ability to hire, train or retain qualified personnel needed to manage and operate our assets.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drilling activity are concentrated in the Permian Basin in West Texas, an area in which industry activity has increased rapidly. As a result, demand for qualified personnel in this area,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delay or inability to secure the personnel necessary for us to continue or complete our current and planned development activities could lead to a reduction in production volumes. Any such negative effect on production volumes, or significant increases in costs, could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few key employees whose absence or loss could adversely affect our business.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key responsibilities within our business have been assigned to a small number of employees. The loss of their services could adversely affect our business. In particular, the loss of the services of one or more members of our executive team, including our Chief Executive Officer, Travis D. Stice, could disrupt our operations. We do not have employment agreements with our executives and may not be able to assure their retention. Further, we do not maintain “key person” life insurance policies on any of our employees. As a result, we are not insured against any losses resulting from the death of our key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hazards and uninsured risks may result in substantial losses and could prevent us from realizing profits.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spacing w:after="0" w:line="20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terms that vary from the above allocations of risk. As a result, we may incur substantial losses which could materially and adversely affect our financial condition and results of operations.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flow. In addition, we may 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hydraulic fracturing activities are part of our operations, we maintain insurance to protect against claims made for bodily injury and property damage, and that insurance includes coverage for clean-up costs stemming from a sudden and accidental pollution event. However, we may not have coverage if we are unaware of the pollution event and unable to report the “occurrence” to our insurance company within the time frame required under our insurance policy. We have limited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2-D and 3-D seismic data is subject to interpretation and may not accurately identify the presence of oil and natural gas, which could adversely affect the results of our drilling operations.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keep pace with technological developments in our industry.</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oil and natural gas industry is characterized by rapid and significant technological advancements and introductions of new products and services using new technologies. As others use or develop new technologies, we may be placed at a competitive disadvantage or may be forced by competitive pressures to implement those new technologies at substantial costs. In addition, other oil and natural gas companies may have greater financial, technical and personnel resources that allow them to enjoy technological advantages and that may in the future allow them to implement new technologies before we can.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environmental laws could increase our operating costs and adversely impact our business, financial condition and cash flows.</w:t>
      </w:r>
    </w:p>
    <w:p>
      <w:pPr>
        <w:spacing w:after="0" w:line="2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President Biden has indicated that he is supportive of, and has issued executive orders promoting, various programs and initiatives designed to, among other things, curtail climate change, control the release of methane from new and existing oil and natural gas operations, and decarbonize electric generation and the transportation sector. It remains unclear what additional actions President Biden will take and what support he will have for any potential legislative changes from Congress. Further, it is uncertain to what extent any new environmental laws or regulations, or any repeal of existing environmental laws or regulations, may affect our business or operations. However, such actions could significantly increase our operating costs or impair our ability to explore and develop other projects, which could adversely impact our business, financial condition and cash flows.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depend heavily on electrical power, internet and telecommunication infrastructure and information and computer systems. If any of these systems are compromised or unavailable, our business could be adversely affected.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heavily dependent on electrical power, internet and telecommunications infrastructure and our information systems and computer-based programs, including our well operations information, seismic data, electronic data processing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accounting data. If any of such infrastructure, systems or programs were to fail or become unavailable or compromised, or create erroneous information in our hardware or software network infrastructure, our ability to safely and effectively operate our business will be limited and any such consequence could have a material adverse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cyber security risks. A cyber incident could occur and result in information theft, data corruption, operational disruption and/or financial loss.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oil and natural gas industry has become increasingly dependent on digital technologies to conduct certain exploration, development, production, and processing activities. For example, the oil and natural gas industry depends on digital technologies to interpret seismic data, manage drilling rigs, production equipment and gathering systems, conduct reservoir modeling and reserves estimation, and process and record financial and operating data. At the same time, cyber incidents, including deliberate attacks or unintentional events, have increased. The U.S. government has issued public warnings that indicate that energy assets might be specific targets of cyber security threats. Our technologies, systems, networks, and those of our vendors, suppliers and other business partners, may become the target of cyberattacks or information security breaches that could result in the unauthorized release, gathering, monitoring, misuse, loss or destruction of proprietary and other information, or other disruption of our business operations. In addition, certain cyber incidents, such as surveillance, may remain undetected for an extended period. Our systems for protecting against cyber security risks may not be sufficient. As cyber incidents continue to evolve, we may be required to expend additional resources to continue to modify or enhance our protective measures or to investigate and remediate any vulnerability to cyber incidents. We maintain specialized insurance for possible liability resulting from a cyberattack on our assets, however,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References in this section to “us, “we” or “our” shall mean Diamondback Energy, Inc. and Diamondback E&amp;P LLC, collectively, unless otherwise specified.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have relied in the past, and we may rely from time to time in the future, on borrowings under our revolving credit facility to fund a portion of our capital expenditures. Unless we are able to repay borrowings under the revolving credit facility with cash flow from operations and proceeds from equity or debt offerings, implementing our capital programs may require an increase in our total leverage through additional debt issuances. In addition, a reduction in availability under our revolving credit facility and the inability to otherwise obtain financing for our capital programs could require us to curtail our capital expenditures.</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historically relied on availability under our revolving credit facility to fund a portion of our capital expenditures. We expect that we will continue to fund a portion of our capital expenditures with borrowings under the revolving credit facility, cash flow from operations and the proceeds from debt and equity offerings. In the past, we have created availability under the revolving credit facility by repaying outstanding borrowings with the proceeds from debt or equity offerings. We cannot assure you that we will choose to or be able to access the capital markets to repay any such future borrowings. Instead, we may be required or choose to finance our capital expenditures through additional debt issuances, which would increase our total amount of debt outstanding. If the availability under the revolving credit facility were reduced, and we were otherwise unable to secure other sources of financing, we may be required to curtail our capital expenditures, which could limit our ability to fund our drilling activities and acquisitions or otherwise finance the capital expenditures necessary to replace our reserves.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Restrictive covenants in certain of our existing and future debt instruments may limit our ability to respond to changes in market conditions or pursue business opportunities.</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Certain of our debt instruments contain, and the terms of any future indebtedness may contain, restrictive covenants that limit our ability to, among other things: incur or guarantee additional indebtedness; make certain investments; create liens; sell or transfer assets; issue preferred stock; merge or consolidate with another entity; pay dividends or make other distributions; create unrestricted subsidiaries; and engage in transactions with affiliates.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our revolving credit facility we are allowed, among other things, to designate one or more of our subsidiaries as “unrestricted subsidiaries” that are not subject to certain restrictions contained in the revolving credit facility. Under our revolving credit facility, we designated Viper, Viper’s general partner, Viper’s subsidiary, Rattler, Rattler’s general partner and Rattler’s subsidiaries as unrestricted subsidiaries, and upon such designation, they were automatically released from any and all obligations under the revolving credit facility, including the related guaranty. Further Viper, Viper’s general partner, Viper’s subsidiaries, Rattler, Rattler’s general partner and Rattler’s subsidiaries are designated as unrestricted subsidiaries under the indentures governing our outstanding Senior Notes.</w:t>
      </w: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and our subsidiaries may be prevented from taking advantage of business opportunities that arise because of the limitations imposed on us by the restrictive covenants and financial covenants contained in our and our subsidiaries’ debt instruments. As an example, our revolving credit facility requires us to maintain a total net debt to capitalization ratio. The requirement that we and our subsidiaries comply with these provisions may materially adversely affect our and our subsidiaries ability to react to changes in market conditions, take advantage of business opportunities we believe to be desirable, obtain future financing, fund needed capital expenditures or withstand a continuing or future downturn in our business.</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breach of any of these restrictive covenants could result in default under the applicable debt instrument. If default occurs under our revolving credit facility, the lenders thereunder may elect to declare all borrowings outstanding, together with accrued interest and other fees, to be immediately due and payable, which would result in an event of default under the indentures governing our senior notes. The lenders will also have the right in these circumstances to terminate any commitments they have to provide further borrowings. If the indebtedness under our revolving credit facility and our senior notes were to be accelerated, we cannot assure you that our assets would be sufficient to repay in full that indebtedness.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indebtedness is structurally subordinated to the indebtedness and other liabilities of our subsidiaries, and our obligations are not obligations of any of our subsidiaries.</w:t>
      </w:r>
    </w:p>
    <w:p>
      <w:pPr>
        <w:spacing w:after="0" w:line="197" w:lineRule="exact"/>
        <w:rPr>
          <w:sz w:val="20"/>
          <w:szCs w:val="20"/>
          <w:color w:val="auto"/>
        </w:rPr>
      </w:pPr>
    </w:p>
    <w:p>
      <w:pPr>
        <w:jc w:val="both"/>
        <w:ind w:firstLine="648"/>
        <w:spacing w:after="0" w:line="288" w:lineRule="auto"/>
        <w:rPr>
          <w:rFonts w:ascii="Arial" w:cs="Arial" w:eastAsia="Arial" w:hAnsi="Arial"/>
          <w:sz w:val="16"/>
          <w:szCs w:val="16"/>
          <w:color w:val="auto"/>
        </w:rPr>
      </w:pPr>
      <w:r>
        <w:rPr>
          <w:rFonts w:ascii="Arial" w:cs="Arial" w:eastAsia="Arial" w:hAnsi="Arial"/>
          <w:sz w:val="16"/>
          <w:szCs w:val="16"/>
          <w:color w:val="auto"/>
        </w:rPr>
        <w:t>Our senior indebtedness obligations are obligations exclusively of Diamondback Energy, Inc. and Diamondback E&amp;P LLC, and not of any of our other subsidiaries. None of our other subsidiaries is a guarantor of our senior indebtedness. Any assets of those subsidiaries will not be directly available to satisfy the claims of our creditors, including lenders under our revolving credit facility and holders of the senior notes. Except to the extent we are a creditor with recognized claims against our subsidiaries, all claims of creditors of our subsidiaries will have priority over our equity interests in such subsidiaries (and therefore the claims of our creditors, including lenders under our revolving credit facility and holders of the senior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our senior indebtedness will be structurally subordinated to all indebtedness and other liabilities of any of our subsidiaries (other than Diamondback E&amp;P LLC) and any subsidiaries that we may in the future acquire or establish. For additional information regarding our subsidiaries outstanding debt as of December 31, 2021, see Note 11—</w:t>
      </w:r>
      <w:hyperlink w:anchor="page108">
        <w:r>
          <w:rPr>
            <w:rFonts w:ascii="Arial" w:cs="Arial" w:eastAsia="Arial" w:hAnsi="Arial"/>
            <w:sz w:val="16"/>
            <w:szCs w:val="16"/>
            <w:u w:val="single" w:color="auto"/>
            <w:color w:val="0000FF"/>
          </w:rPr>
          <w:t>Debt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consolidated financial statements included elsewhere in this report.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our senior notes, depends on our future performance, which is subject to economic, financial, competitive and other factors beyond our control. If we are unable to generate sufficient cash flow to service our debt, we may be required to adopt one or more alternatives, such as reducing or delaying capital expenditures, selling assets, restructuring debt or obtaining additional equity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We may not be able to consummate those asset sales to raise capital or sell assets at prices that we believe are fair, and proceeds that we do receive may not be adequate to meet any debt service obligations then due.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refinance 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subsidiaries for dividends, distributions and other payments.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depend on our subsidiaries for dividends, distributions and other payments. We are a legal entity separate and distinct from our operating subsidiaries. There are statutory and regulatory limitations on the payment of dividends or distributions by certain of our subsidiaries to us. If our subsidiaries are unable to make dividend or distribution payments to us and sufficient cash or liquidity is not otherwise available, we may not be able to make dividend payments to our stockholders or principal and interest payments on our outstanding indebtedness.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subsidiaries may still be able to incur substantial additional indebtedness in the future, which could further exacerbate the risks that we and our subsidiaries face.</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and our subsidiaries may be able to incur substantial additional indebtedness in the future. The terms of our and our subsidiaries’ revolving credit facilities and the indentures restrict, but in each case do not completely prohibit, us from doing so. Further, the indentures governing our and our subsidiaries’ notes allow us to issue additional notes, incur certain other additional debt and to have subsidiaries that do not guarantee the senior notes and which may incur additional debt, which would be structurally senior to the senior notes. In addition, the indentures governing the senior notes do not prevent us from incurring other liabilities that do not constitute indebtedness. If we or a guarantor incur any additional indebtedness that ranks equally with the senior notes (or with the guarantees thereof), including additional unsecured indebtedness or trade payables, the holders of that indebtedness will be entitled to share ratably with holders of the senior notes in any proceeds distributed in connection with any insolvency, liquidation, reorganization, dissolution or other winding-up of us or a guarantor. If new debt or other liabilities are added to our current debt levels, the related risks that we and our subsidiaries now face could intensify.</w:t>
      </w:r>
    </w:p>
    <w:p>
      <w:pPr>
        <w:spacing w:after="0" w:line="22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under our, Viper LLC’s and Rattler LLC’s revolving credit facilities expose us to interest rate risk.</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earnings are exposed to interest rate risk associated with borrowings under our and our subsidiaries’ revolving credit facilities. The terms of our and our subsidiaries’ revolving credit facilities provide for interest on borrowings at a floating rate equal to an alternate base rate tied to LIBOR. LIBOR tends to fluctuate based on multiple facts, including general short-term interest rates, rates set by the U.S. Federal Reserve, which indicated plans for multiple interest rate increases in 2022, and other central banks, the supply of and demand for credit in the London interbank market and general economic conditions. From time to time, we use interest rate swaps to reduce interest rate exposure with respect to our fixed and/or floating rate debt. Our weighted average interest rate on borrowings under our revolving credit facility was 1.67% during the year ended December 31, 2021. Viper LLC’s weighted average interest rate on borrowings from its revolving credit facility was 2.35% during the year ended December 31, 2021. Rattler LLC’s weighted average interest rate on borrowings from its revolving credit facility was 1.41% during the year ended December 31, 2021. If interest rates increase, so will our interest costs, which may have a material adverse effect on our results of operations and financial condition.</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27, 2017, the U.K. Financial Conduct Authority (the authority that regulates LIBOR), which we refer to as the FCA, announced that it intends to stop compelling banks to submit rates for the calculation of LIBOR after 2021. On March 5, 2021, the ICE Benchmark Administration, which administers LIBOR, and the FCA announced that all LIBOR settings will either cease to be provided by any administrator, or no longer be representative immediately after 2021, for all non-U.S. dollar LIBOR settings and one-week and two-month U.S. dollar LIBOR settings, and immediately after June 30, 2023 for the remaining U.S. dollar LIBOR settings. In light of these recent announcements, the future of LIBOR at this time is uncertain and any changes in the methods by which LIBOR is determined or regulatory activity related to LIBOR’s phase-out could cause LIBOR to perform differently than in the past or cease to exist. Our current credit agreement provides for 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away from LIBOR to a successor rate to be based on prevailing or equivalent standards, however, changes in the method of calculating LIBOR, or the discontinuation, reform, or replacement of LIBOR or any other benchmark rates may adversely affect interest rates and result in higher borrowing costs. This could materially and adversely affect our results of operations, cash flow and liquidity.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affiliates of ours to benefit from corporate opportunities that might otherwise be available to us.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limitations of applicable law, our certificate of incorporation, among other things; permits us to enter into transactions with entities in which one or more of our officers or directors are financially or otherwise interested; permits any of our stockholders, officers or directors to conduct business that competes with us and to make investments in any kind of property in which we may make investments; and 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provisions create the possibility that a corporate opportunity that would otherwise be available to us may be used for the benefit of one of our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our common stock fluctuates significantly, your investment could lose value.</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Although our common stock is listed on the Nasdaq Global Select Market,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 Furthermore, the stock market is subject to significant price and volume fluctuations, and the price of our common stock could fluctuate widely in response to several factors, including our quarterly or annual operating results; changes in our earnings estimates; investment recommendations by securities analysts following our business or our industry; additions or departures of key personnel; changes in the business, earnings estimates or market perceptions of our competitors; our failure to achieve operating results consistent with securities analysts’ projections; changes in industry, general market or economic conditions; and announcements of legislative or regulatory changes.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declaration of dividends and any repurchases of our common stock are each within the discretion of our board of directors based upon a review of relevant considerations, and there is no guarantee that we will pay any dividends on or repurchase shares of our common stock in the future or at levels anticipated by our stockholders.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13, 2018, we initiated payment of quarterly cash dividends on our common stock payable beginning with the first quarter of 2018. The decision to pay any future dividends, however,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Based on its evaluation of these factors, the board of directors may determine not to declare a dividend, or declare dividends at rates that are less than currently anticipated, either of which could reduce returns to our stockholders.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September 2021, our board of directors approved a stock repurchase program to acquire up to $2 billion of our outstanding common stock, of which $431 million had been repurchased through December 31, 2021. The stock repurchase program has no time limit and may be suspended, modified, or discontinued by the board of directors at any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of control could limit our use of net operating losses and certain other tax attributes.</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Section 382 of the Code, a corporation that experiences an “ownership change” (as defined in the Code) may be subject to limitations on its ability to offset taxable income arising after the ownership change with net operating losses (“NOLs”) or tax credits generated prior to the ownership change. In general, an ownership change occurs if there is a cumulative increase in the ownership of a corporation’s stock totaling more than 50 percentage points by one or more “5% shareholders” (as defined in the Code) at any time during a rolling three-year period. An ownership change would establish an annual limitation on the amount of a corporation’s pre-change NOLs or tax credits that could be utilized to offset taxable income in any future taxable year. The amount of the limitation is generally equal to the value of the corporation’s stock immediately prior to the ownership change multiplied by an interest rate, referred to as the long-term tax-exempt rate, periodically promulgated by the IRS. This limitation, however, may be significantly increased if there is “net unrealized built-in gain” in the assets of the corporation undergoing the ownership change.</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December 31, 2021, we had an NOL carryforward of approximately $2.5 billion and tax credits of $4 million for federal income tax purposes. Due to an ownership change on March 17, 2021 in conjunction with our acquisition of QEP in an all-stock transaction, our NOLs and tax credits, including those acquired from QEP, are subject to an annual limitation under Section 382 of the Code. However, we have determined that our fair market value and our net unrealized built-in gain position resulted in a significant increase in our Section 382 limitation. Accordingly, we believe that the application of Section 382 as a result of this ownership change will not have an adverse effect on our ability to utilize our NOLs and credits.</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Future changes in our stock ownership, however, could result in an additional ownership change under Section 382 of the Code. Any such ownership change may limit our ability to offset taxable income arising after such an ownership change with NOLs or other tax attributes generated prior to such an ownership change, possibly substantially.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 our stock or if our operating results do not meet their expectations, our stock price could decline.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common stock.</w:t>
      </w:r>
    </w:p>
    <w:p>
      <w:pPr>
        <w:spacing w:after="0" w:line="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make it more difficult to effect a change in control of our company, which could adversely affect the price of our common stock.</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 provisions regulating the ability of our stockholders to nominate directors for election or to bring matters for action at annual meetings of our stockholders; limitations on the ability of our stockholders to call a special meeting and act by written consent; the ability of our board of directors to adopt, amend or repeal bylaws, and the requirement that the affirmative vote of holders representing at least 66 2/3% of the voting power of all outstanding shares of capital stock be obtained for stockholders to amend our bylaws; the requirement that the affirmative vote of holders representing at least 66 2/3% of the voting power of all outstanding shares of capital stock be obtained to remove directors; the requirement that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affirmative vote of holders representing at least 66 2/3% of the voting power of all outstanding shares of capital stock be obtained to amend our certificate of incorporation; and the authorization given to our board of directors to issue and set the terms of preferred stock without the approval of our stockholders.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648"/>
        <w:spacing w:after="0" w:line="291" w:lineRule="auto"/>
        <w:rPr>
          <w:rFonts w:ascii="Arial" w:cs="Arial" w:eastAsia="Arial" w:hAnsi="Arial"/>
          <w:sz w:val="16"/>
          <w:szCs w:val="16"/>
          <w:color w:val="auto"/>
        </w:rPr>
      </w:pPr>
      <w:r>
        <w:rPr>
          <w:rFonts w:ascii="Arial" w:cs="Arial" w:eastAsia="Arial" w:hAnsi="Arial"/>
          <w:sz w:val="16"/>
          <w:szCs w:val="16"/>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For additional information regarding contingencies, see Note 18—</w:t>
      </w:r>
      <w:hyperlink w:anchor="page129">
        <w:r>
          <w:rPr>
            <w:rFonts w:ascii="Arial" w:cs="Arial" w:eastAsia="Arial" w:hAnsi="Arial"/>
            <w:sz w:val="16"/>
            <w:szCs w:val="16"/>
            <w:u w:val="single" w:color="auto"/>
            <w:color w:val="0000FF"/>
          </w:rPr>
          <w:t>Commitments and Contingencies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included in notes to the consolidated financial statements included elsewhere in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Holders of Record</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“FANG”. There were 5,624 holders of record of our common stock on February 18,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board of directors has authority to declare dividends to the holders of the Company’s common stock. The board of directors intends to continue the payment of dividends to the holders of the Company’s common stock in the future. The decision to pay any future dividends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repurchase activity for the three months ended December 31, 2021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Average Price</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2160" w:type="dxa"/>
            <w:vAlign w:val="bottom"/>
            <w:gridSpan w:val="2"/>
          </w:tcPr>
          <w:p>
            <w:pPr>
              <w:ind w:left="140"/>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62"/>
        </w:trPr>
        <w:tc>
          <w:tcPr>
            <w:tcW w:w="4220" w:type="dxa"/>
            <w:vAlign w:val="bottom"/>
            <w:gridSpan w:val="2"/>
            <w:vMerge w:val="restart"/>
          </w:tcPr>
          <w:p>
            <w:pPr>
              <w:ind w:left="1840"/>
              <w:spacing w:after="0"/>
              <w:rPr>
                <w:sz w:val="20"/>
                <w:szCs w:val="20"/>
                <w:color w:val="auto"/>
              </w:rPr>
            </w:pPr>
            <w:r>
              <w:rPr>
                <w:rFonts w:ascii="Arial" w:cs="Arial" w:eastAsia="Arial" w:hAnsi="Arial"/>
                <w:sz w:val="16"/>
                <w:szCs w:val="16"/>
                <w:b w:val="1"/>
                <w:bCs w:val="1"/>
                <w:color w:val="auto"/>
              </w:rPr>
              <w:t>Period</w:t>
            </w:r>
          </w:p>
        </w:tc>
        <w:tc>
          <w:tcPr>
            <w:tcW w:w="13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6"/>
              </w:rPr>
              <w:t>Shares</w:t>
            </w:r>
          </w:p>
        </w:tc>
        <w:tc>
          <w:tcPr>
            <w:tcW w:w="180" w:type="dxa"/>
            <w:vAlign w:val="bottom"/>
          </w:tcPr>
          <w:p>
            <w:pPr>
              <w:spacing w:after="0"/>
              <w:rPr>
                <w:sz w:val="14"/>
                <w:szCs w:val="14"/>
                <w:color w:val="auto"/>
              </w:rPr>
            </w:pPr>
          </w:p>
        </w:tc>
        <w:tc>
          <w:tcPr>
            <w:tcW w:w="10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Paid Per</w:t>
            </w:r>
          </w:p>
        </w:tc>
        <w:tc>
          <w:tcPr>
            <w:tcW w:w="2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260" w:type="dxa"/>
            <w:vAlign w:val="bottom"/>
          </w:tcPr>
          <w:p>
            <w:pPr>
              <w:spacing w:after="0"/>
              <w:rPr>
                <w:sz w:val="14"/>
                <w:szCs w:val="14"/>
                <w:color w:val="auto"/>
              </w:rPr>
            </w:pPr>
          </w:p>
        </w:tc>
        <w:tc>
          <w:tcPr>
            <w:tcW w:w="1900" w:type="dxa"/>
            <w:vAlign w:val="bottom"/>
          </w:tcPr>
          <w:p>
            <w:pPr>
              <w:jc w:val="right"/>
              <w:ind w:right="132"/>
              <w:spacing w:after="0" w:line="162" w:lineRule="exact"/>
              <w:rPr>
                <w:sz w:val="20"/>
                <w:szCs w:val="20"/>
                <w:color w:val="auto"/>
              </w:rPr>
            </w:pPr>
            <w:r>
              <w:rPr>
                <w:rFonts w:ascii="Arial" w:cs="Arial" w:eastAsia="Arial" w:hAnsi="Arial"/>
                <w:sz w:val="16"/>
                <w:szCs w:val="16"/>
                <w:b w:val="1"/>
                <w:bCs w:val="1"/>
                <w:color w:val="auto"/>
                <w:w w:val="93"/>
              </w:rPr>
              <w:t>Shares that May Yet Be</w:t>
            </w:r>
          </w:p>
        </w:tc>
        <w:tc>
          <w:tcPr>
            <w:tcW w:w="0" w:type="dxa"/>
            <w:vAlign w:val="bottom"/>
          </w:tcPr>
          <w:p>
            <w:pPr>
              <w:spacing w:after="0"/>
              <w:rPr>
                <w:sz w:val="1"/>
                <w:szCs w:val="1"/>
                <w:color w:val="auto"/>
              </w:rPr>
            </w:pPr>
          </w:p>
        </w:tc>
      </w:tr>
      <w:tr>
        <w:trPr>
          <w:trHeight w:val="216"/>
        </w:trPr>
        <w:tc>
          <w:tcPr>
            <w:tcW w:w="4220" w:type="dxa"/>
            <w:vAlign w:val="bottom"/>
            <w:gridSpan w:val="2"/>
            <w:vMerge w:val="continue"/>
          </w:tcPr>
          <w:p>
            <w:pPr>
              <w:spacing w:after="0"/>
              <w:rPr>
                <w:sz w:val="18"/>
                <w:szCs w:val="18"/>
                <w:color w:val="auto"/>
              </w:rPr>
            </w:pPr>
          </w:p>
        </w:tc>
        <w:tc>
          <w:tcPr>
            <w:tcW w:w="138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84"/>
              </w:rPr>
              <w:t>Purchased</w:t>
            </w:r>
            <w:r>
              <w:rPr>
                <w:rFonts w:ascii="Arial" w:cs="Arial" w:eastAsia="Arial" w:hAnsi="Arial"/>
                <w:sz w:val="21"/>
                <w:szCs w:val="21"/>
                <w:b w:val="1"/>
                <w:bCs w:val="1"/>
                <w:color w:val="auto"/>
                <w:w w:val="84"/>
                <w:vertAlign w:val="superscript"/>
              </w:rPr>
              <w:t>(1)</w:t>
            </w:r>
          </w:p>
        </w:tc>
        <w:tc>
          <w:tcPr>
            <w:tcW w:w="180" w:type="dxa"/>
            <w:vAlign w:val="bottom"/>
          </w:tcPr>
          <w:p>
            <w:pPr>
              <w:spacing w:after="0"/>
              <w:rPr>
                <w:sz w:val="18"/>
                <w:szCs w:val="18"/>
                <w:color w:val="auto"/>
              </w:rPr>
            </w:pPr>
          </w:p>
        </w:tc>
        <w:tc>
          <w:tcPr>
            <w:tcW w:w="100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0"/>
              </w:rPr>
              <w:t>Announced Plan</w:t>
            </w:r>
          </w:p>
        </w:tc>
        <w:tc>
          <w:tcPr>
            <w:tcW w:w="2160" w:type="dxa"/>
            <w:vAlign w:val="bottom"/>
            <w:gridSpan w:val="2"/>
          </w:tcPr>
          <w:p>
            <w:pPr>
              <w:ind w:left="160"/>
              <w:spacing w:after="0" w:line="216" w:lineRule="exact"/>
              <w:rPr>
                <w:sz w:val="20"/>
                <w:szCs w:val="20"/>
                <w:color w:val="auto"/>
              </w:rPr>
            </w:pPr>
            <w:r>
              <w:rPr>
                <w:rFonts w:ascii="Arial" w:cs="Arial" w:eastAsia="Arial" w:hAnsi="Arial"/>
                <w:sz w:val="16"/>
                <w:szCs w:val="16"/>
                <w:b w:val="1"/>
                <w:bCs w:val="1"/>
                <w:color w:val="auto"/>
                <w:w w:val="91"/>
              </w:rPr>
              <w:t>Purchased Under the Plan</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207"/>
        </w:trPr>
        <w:tc>
          <w:tcPr>
            <w:tcW w:w="4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40" w:type="dxa"/>
            <w:vAlign w:val="bottom"/>
            <w:tcBorders>
              <w:top w:val="single" w:sz="8" w:color="auto"/>
            </w:tcBorders>
            <w:gridSpan w:val="6"/>
          </w:tcPr>
          <w:p>
            <w:pPr>
              <w:spacing w:after="0"/>
              <w:rPr>
                <w:sz w:val="20"/>
                <w:szCs w:val="20"/>
                <w:color w:val="auto"/>
              </w:rPr>
            </w:pPr>
            <w:r>
              <w:rPr>
                <w:rFonts w:ascii="Arial" w:cs="Arial" w:eastAsia="Arial" w:hAnsi="Arial"/>
                <w:sz w:val="16"/>
                <w:szCs w:val="16"/>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32"/>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2021 - October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November 1, 2021 - November 30, 2021</w:t>
            </w:r>
          </w:p>
        </w:tc>
        <w:tc>
          <w:tcPr>
            <w:tcW w:w="126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1,326</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2021 - December 31,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23"/>
        </w:trPr>
        <w:tc>
          <w:tcPr>
            <w:tcW w:w="42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100" w:type="dxa"/>
            <w:vAlign w:val="bottom"/>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58"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2,308 shares of common stock repurchased from employees in order to satisfy tax withholding requirements. Such shares are cancelled and retired immediately upon repurchase.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average price paid per share includes any commissions paid to repurchase stock.</w:t>
      </w:r>
    </w:p>
    <w:p>
      <w:pPr>
        <w:spacing w:after="0" w:line="9"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September 2021, the Company’s board of directors authorized a $2 billion common stock repurchase program. The stock repurchase program has no time limit and may be suspended, modified, or discontinued by the board of directors at any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consolidated financial statements and notes thereto appearing elsewhere in this Annual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Item 1A. “Risk Factors” and “Cautionary Statement Regarding Forward-Looking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7"/>
          <w:szCs w:val="17"/>
          <w:color w:val="auto"/>
        </w:rPr>
        <w:t>We are an independent oil and natural gas company focused on the acquisition, development, exploration and exploitation of unconventional, onshore oil and natural gas reserves in the Permian Basin in West Texas. We operate in two operating segments: (i) the upstream segment, which is engaged in the acquisition, development, exploration and exploitation of unconventional, onshore oil and natural gas reserves primarily in the Permian Basin in West Texas and (ii) through our subsidiary, Rattler, the midstream operations segment, which is focused on ownership, operation, development and acquisition of the midstream infrastructure assets in the Midland and Delaware Basins of the Permian Basin.</w:t>
      </w:r>
    </w:p>
    <w:p>
      <w:pPr>
        <w:spacing w:after="0" w:line="203"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operate under a strategic approach that focuses predominantly on enhancing return through our low-cost development strategy of resource conversion, capital allocation and continued improvements in operational and cost efficiencies. We are also committed to delivering results in a socially and environmentally responsible manner.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and Operating Highlights</w:t>
      </w:r>
    </w:p>
    <w:p>
      <w:pPr>
        <w:spacing w:after="0" w:line="25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We recorded net income of $2.2 billion for the year ended December 31, 2021.</w:t>
      </w:r>
    </w:p>
    <w:p>
      <w:pPr>
        <w:spacing w:after="0" w:line="252"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Our average production was 137,002 MBOE/d during the year ended December 31, 2021.</w:t>
      </w:r>
    </w:p>
    <w:p>
      <w:pPr>
        <w:spacing w:after="0" w:line="252" w:lineRule="exact"/>
        <w:rPr>
          <w:rFonts w:ascii="Arial" w:cs="Arial" w:eastAsia="Arial" w:hAnsi="Arial"/>
          <w:sz w:val="18"/>
          <w:szCs w:val="18"/>
          <w:b w:val="1"/>
          <w:bCs w:val="1"/>
          <w:i w:val="1"/>
          <w:iCs w:val="1"/>
          <w:color w:val="auto"/>
        </w:rPr>
      </w:pPr>
    </w:p>
    <w:p>
      <w:pPr>
        <w:ind w:left="660" w:hanging="328"/>
        <w:spacing w:after="0" w:line="277" w:lineRule="auto"/>
        <w:tabs>
          <w:tab w:leader="none" w:pos="655"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During the year ended December 31, 2021, we drilled 175 gross horizontal wells in the Midland Basin and 41 gross horizontal wells in the Delaware Basin.</w:t>
      </w:r>
    </w:p>
    <w:p>
      <w:pPr>
        <w:spacing w:after="0" w:line="197" w:lineRule="exact"/>
        <w:rPr>
          <w:rFonts w:ascii="Arial" w:cs="Arial" w:eastAsia="Arial" w:hAnsi="Arial"/>
          <w:sz w:val="18"/>
          <w:szCs w:val="18"/>
          <w:b w:val="1"/>
          <w:bCs w:val="1"/>
          <w:i w:val="1"/>
          <w:iCs w:val="1"/>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We turned 275 gross operated horizontal wells (including 207 in the Midland Basin and 64 in the Delaware Basin) to production and had capital expenditures, excluding acquisitions, of $1.5 billion during the year ended December 31, 2021.</w:t>
      </w:r>
    </w:p>
    <w:p>
      <w:pPr>
        <w:spacing w:after="0" w:line="197"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The average lateral length for the wells completed during the year ended December 31, 2021 was 10,602 feet.</w:t>
      </w:r>
    </w:p>
    <w:p>
      <w:pPr>
        <w:spacing w:after="0" w:line="252" w:lineRule="exact"/>
        <w:rPr>
          <w:rFonts w:ascii="Arial" w:cs="Arial" w:eastAsia="Arial" w:hAnsi="Arial"/>
          <w:sz w:val="18"/>
          <w:szCs w:val="18"/>
          <w:b w:val="1"/>
          <w:bCs w:val="1"/>
          <w:i w:val="1"/>
          <w:iCs w:val="1"/>
          <w:color w:val="auto"/>
        </w:rPr>
      </w:pPr>
    </w:p>
    <w:p>
      <w:pPr>
        <w:jc w:val="both"/>
        <w:ind w:left="66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2021, we had approximately 445,848 net acres, which primarily consisted of approximately 265,562 net acres in the Midland Basin and approximately 148,588 net acres in the Delaware Basin. As of December 31, 2021, we had an estimated 9,314 gross horizontal locations that we believe to be economic at $50.00 per Bbl WTI. In addition, our publicly traded subsidiary Viper owns mineral interests underlying approximately 930,871 gross acres and 27,027 net royalty acres in the Permian Basin and Eagle Ford Shale. Approximately 54% of these net royalty acres are operated by us.</w:t>
      </w:r>
    </w:p>
    <w:p>
      <w:pPr>
        <w:spacing w:after="0" w:line="21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operating costs for the year ended December 31, 2021 were $9.46 per BOE, including lease operating expenses of $4.12 per BOE, cash general and administrative expenses of $0.69 per BOE and production and ad valorem taxes and gathering and transportation expenses of 4.65 per BOE.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Transactions and 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 Activity and Recent Transactions</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February 26, 2021, we completed the Guidon Acquisition, which included approximately 32,500 net acres in the Northern Midland Basin, in exchange for 10.68 million shares of the Company’s common stock and $375 million of cash.</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17, 2021, we completed the QEP Merger. The addition of QEP’s assets increased our net acreage in the Midland Basin by approximately 49,000 net acres. Under the terms of the merger agreement, we issued approximately 12.12 million shares of our common stock to the former QEP stockholders, with a total value of approximately $987 million on the closing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 2021, Viper completed the acquisition of certain mineral and royalty interests from Swallowtail Royalties LLC and Swallowtail Royalties II LLC (the “Swallowtail entities”) which included certain mineral and royalty interests for 15.25 million of Viper’s common units and approximately $225 million in cash (the “Swallowtail Acquisition”). The cash portion of the purchase price was funded through a combination of cash on hand and approximately $190 million of borrowings under Viper LLC’s revolving credit facility.</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5, 2021, Rattler and a private affiliate of an investment fund formed a joint venture entity, Remuda Midstream Holdings LLC (the “WTG joint venture”). Rattler contributed approximately $104 million in cash for a 25% membership interest in the WTG joint venture, which then completed the acquisition of a majority interest in WTG Midstream LLC (“WTG Midstream”).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Divestiture Activity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3, 2021 and June 7, 2021, respectively, we closed transactions to divest certain non-core Permian assets, including over 7,000 net acres of non-core Southern Midland Basin acreage in Upton county, Texas and approximately 1,300 net acres of non-core, non-operated Delaware Basin assets in Lea county, New Mexico, for combined net cash proceeds of $82 million, after customary closing adjustments. We used our net proceeds from these transactions toward debt reduction.</w:t>
      </w:r>
    </w:p>
    <w:p>
      <w:pPr>
        <w:spacing w:after="0" w:line="21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October 21, 2021, we completed the divestiture of our Williston Basin oil and natural gas assets, consisting of approximately 95,000 net acres acquired in the QEP Merger, for net cash proceeds of approximately $586 million after customary closing adjustments. We used our net proceeds from this transaction toward debt reduction.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 2021, we completed the sale of certain gas gathering assets to Brazos Delaware Gas, LLC, which we refer to as Brazos, for net cash proceeds of approximately $54 million, after customary closing adjustments.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December 1, 2021, we completed the sale of certain water midstream assets with a carrying value of approximately $160 million to Rattler in exchange for cash proceeds of approximately $160 million.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 2021, Rattler completed the sale of its gas gathering assets to Brazos for net cash proceeds of approximately $83 million at closing, after customary closing adjustments, and an aggregate of $10 million in contingent payments.</w:t>
      </w:r>
    </w:p>
    <w:p>
      <w:pPr>
        <w:spacing w:after="0" w:line="197"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4—</w:t>
      </w:r>
      <w:hyperlink w:anchor="page98">
        <w:r>
          <w:rPr>
            <w:rFonts w:ascii="Arial" w:cs="Arial" w:eastAsia="Arial" w:hAnsi="Arial"/>
            <w:sz w:val="18"/>
            <w:szCs w:val="18"/>
            <w:u w:val="single" w:color="auto"/>
            <w:color w:val="0000FF"/>
          </w:rPr>
          <w:t>Acquisitions and Divestiture</w:t>
        </w:r>
      </w:hyperlink>
      <w:r>
        <w:rPr>
          <w:rFonts w:ascii="Arial" w:cs="Arial" w:eastAsia="Arial" w:hAnsi="Arial"/>
          <w:sz w:val="18"/>
          <w:szCs w:val="18"/>
          <w:color w:val="auto"/>
        </w:rPr>
        <w:t>s for additional discussion of these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Transactions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Issuances of Notes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March 24, 2021, Diamondback Energy, Inc. issued $650 million aggregate principal amount of 0.900% Senior Notes due March 24, 2023 (the “2023 Notes”), $900 million aggregate principal amount of 3.125% Senior Notes due March 24, 2031 (the “2031 Notes”) and $650 million aggregate principal amount of 4.400% Senior Notes due March 24, 2051 (the “2051 Notes”) and received proceeds, net of $24 million in debt issuance costs and discounts, of $2.18 billion. The net proceeds were primarily used to fund the redemption of other senior notes outstanding as discussed further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 of Notes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net proceeds from the March 2021 Notes discussed above were primarily used to fund the repurchase of $1.65 billion in fair value carrying amount of the QEP Notes that remained outstanding at the effective time of the QEP Merger for total cash consideration of $1.7 billion, and $368 million principal amount of 2025 Senior Notes, for total cash consideration of $381 million. Giving effect to the repurchase of the 2023 Notes discussed below, these refinancing transactions are expected to result in an estimated annual interest cost savings of approximately $40 million in addition to an estimated $60 to $80 million of previously announced expected annual cost synergies from the QEP Merger.</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June 2021, we redeemed the remaining $191 million principal amount of outstanding legacy 4.625% senior notes due September 1, 2021 of Energen Corporation (“Energen”).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August 2021 we redeemed the remaining $432 million principal amount of our outstanding 5.375% 2025 Senior Notes at a redemption price equal to 102.688% of the principal amount plus accrued interest. We funded the redemption with cash on hand and borrowings under our revolving credit facility.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 2021, we redeemed the aggregate $650 million principal amount of our outstanding 2023 Notes with the proceeds received from the divestiture of our Williston Basin assets and cash on hand.</w:t>
      </w:r>
    </w:p>
    <w:p>
      <w:pPr>
        <w:spacing w:after="0" w:line="197" w:lineRule="exact"/>
        <w:rPr>
          <w:sz w:val="20"/>
          <w:szCs w:val="20"/>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For additional discussion of our 2021 debt transactions and the amendment to the second amended and restated credit facility, see Note 11—</w:t>
      </w:r>
      <w:hyperlink w:anchor="page108">
        <w:r>
          <w:rPr>
            <w:rFonts w:ascii="Arial" w:cs="Arial" w:eastAsia="Arial" w:hAnsi="Arial"/>
            <w:sz w:val="16"/>
            <w:szCs w:val="16"/>
            <w:u w:val="single" w:color="auto"/>
            <w:color w:val="0000FF"/>
          </w:rPr>
          <w:t>Debt</w:t>
        </w:r>
      </w:hyperlink>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2021 Dividend Declaration and Increase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18, 2022, our board of directors declared a cash dividend for the fourth quarter of 2021 of $0.60 per share of common stock, payable on March 11, 2022 to our stockholders of record at the close of business on March 4, 2022, representing a 20% increase per share from the previously paid quarterly dividend.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and Unit Repurchase Programs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2021, we repurchased approximately $431 million of Diamondback common stock, and as of December 31, 2021, $1.6 billion remained available for future purchases under our common stock repurchase program.</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During the year ended December 31, 2021, Viper repurchased approximately $46 million of common units under its repurchase program. As of December 31, 2021, $80 million remained available for use to repurchase common units under Viper’s common unit repurchase program.</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year ended December 31, 2021, Rattler repurchased approximately $48 million of common units under its repurchase program. As of December 31, 2021, $88 million remained available for use to repurchase common units under Rattler’s common unit repurchase program.</w:t>
      </w:r>
    </w:p>
    <w:p>
      <w:pPr>
        <w:spacing w:after="0" w:line="173"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w:t>
      </w:r>
      <w:hyperlink w:anchor="page62">
        <w:r>
          <w:rPr>
            <w:rFonts w:ascii="Arial" w:cs="Arial" w:eastAsia="Arial" w:hAnsi="Arial"/>
            <w:sz w:val="18"/>
            <w:szCs w:val="18"/>
            <w:i w:val="1"/>
            <w:iCs w:val="1"/>
            <w:u w:val="single" w:color="auto"/>
            <w:color w:val="0000FF"/>
          </w:rPr>
          <w:t>—Liquidity and Capital Resources</w:t>
        </w:r>
      </w:hyperlink>
      <w:r>
        <w:rPr>
          <w:rFonts w:ascii="Arial" w:cs="Arial" w:eastAsia="Arial" w:hAnsi="Arial"/>
          <w:sz w:val="18"/>
          <w:szCs w:val="18"/>
          <w:color w:val="auto"/>
        </w:rPr>
        <w:t>” below for additional discussion.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Effects on Commodity Prices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early March 2020, oil prices dropped sharply and continued to decline, briefly reaching negative levels, as a result of multiple factors affecting the supply and demand in global oil and natural gas markets, including (i) actions taken by OPEC members and other exporting nations impacting commodity price and production levels and (ii) a significant decrease in demand due to the COVID-19 pandemic. Demand for oil and natural gas increased during 2021, as many restrictions on conducting business implemented in response to the COVID-19 pandemic were lifted due to improved treatments and availability of vaccinations in the U.S. and globally. As a result, oil and natural gas market prices have improved during 2021 in response to the increase in demand. During 2021 and 2020, the posted price for West Texas intermediate light sweet crude oil, or NYMEX WTI, has ranged from $(37.63) to $84.65 Bbl, and the NYMEX Henry Hub price of natural gas has ranged from $1.48 to $6.31 per MMBtu. On January 18, 2022, the closing NYMEX WTI price for crude oil was $85.43 per Bbl and the closing NYMEX Henry Hub price of natural gas was $4.28 per MMBtu. The emergence of the Delta COVID-19 variant in the latter part of 2021 and the subsequent surge of the highly transmissible Omicron variant, however, contributed to economic and pricing volatility as industry and market participants evaluated industry conditions and production outlook. Further, on January 4, 2021, OPEC and its non-OPEC allies, known collectively as OPEC+, agreed to continue their program (commenced in August of 2021) of gradual monthly output increases in February 2022, raising its output target by 400,000 Bbls per day, which is expected to further boost oil supply in response to rising demand. In its report issued on February 10, 2022, OPEC noted its expectation that world oil demand will rise by 4.15 million Bbls per day in 2022, as the global economy continues to post a strong recovery from the COVID-19 pandemic. Although this demand outlook is expected to underpin oil prices, already seen at a seven-year high in February 2022, we cannot predict any future volatility in commodity prices or demand for crude oil.</w:t>
      </w:r>
    </w:p>
    <w:p>
      <w:pPr>
        <w:spacing w:after="0" w:line="1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Despite the recovery in commodity prices and rising demand, we kept our production relatively flat during 2021, using excess cash flow for debt repayment and/or return to our stockholders rather than expanding our drilling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During 2021, we continued building on our execution track record, generating free cash flow while keeping capital costs under control, and our efficiency gains, particularly in the Midland Basin drilling and completion programs, were able to mitigate certain inflationary pressures on well costs and led to a total capital expenditure amount of $1.5 billion down 11% from our guidance presented in April of 2021. We expect to continue to build on these operational efficiencies by controlling the variable portion of our operating and capital costs, which we believe will help mitigate the inflationary pressures seen across our business. We remain committed to capital discipline by maintaining flat oil production in 2022 and expect to maintain our best-in-class capital efficiency and cost structure. We expect to be in a position to continue to deliver on the recently announced enhanced capital return program, where we expect to distribute at least 50% of our quarterly free cash flow to our stockholders. Our capital return program is currently focused on our sustainable and growing dividend and a combination of stock repurchases and variable dividends. We expect to remain flexible on returning capital to our stockholders, depending on which method our board of directors believes presents the best return of capital to our stockholders at the relevant time.</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Midland Basin, we continued to have positive results across our core development areas located within Midland, Martin, Howard, Glasscock and Andrews counties, where development has primarily focused on drilling long-lateral, multi-well pads targeting the Spraberry and Wolfcamp formations.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Delaware Basin, we have now drilled and completed a significant number of wells in Pecos, Reeves and Ward counties targeting the Wolfcamp A, which we believe has been de-risked across a significant portion of our total acreage position and remains our primary development target. In 2022, we expect to focus development on these areas.</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2021, we were operating 10 drilling rigs and four completion crews and currently intend to operate between 10 and 12 drilling rigs and between three and four completion crews in 2022 on average across our current acreage position in the Midland and Delaware Basins.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Responsibility Initiatives and Highlights</w:t>
      </w:r>
    </w:p>
    <w:p>
      <w:pPr>
        <w:spacing w:after="0" w:line="2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February 2021, we announced significant enhancements to our commitment to environmental, social responsibility and governance, or ESG, performance and disclosure, including Scope 1 and methane emission intensity reduction targets. Our goals include the reduction of our Scope 1 greenhouse gas intensity by at least 50% and methane intensity by at least 70%, in each case by 2024 from the 2019 levels. To further underscore our commitment to carbon neutrality, we have also implemented our “Net Zero Now” initiative under which, effective January 1, 2021, we strive to produce</w:t>
      </w:r>
    </w:p>
    <w:p>
      <w:pPr>
        <w:spacing w:after="0" w:line="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every hydrocarbon molecule with zero Scope 1 emissions. To the extent our greenhouse gas and methane intensity targets do not eliminate our carbon footprint, we have purchased carbon credits to offset the remaining emissions. We have also increased the weighting of ESG metrics in our annual short-term incentive compensation plan to motivate our executives to advance our environmental responsibility goals.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In September 2021, we announced our long-term goal to end routine flaring by 2025 and a long-term target to source over 65% of our water used for drilling and completion operations from recycled sources by 2025. With respect to flaring, we flared 1.55% of our gross natural gas production in the</w:t>
      </w:r>
    </w:p>
    <w:p>
      <w:pPr>
        <w:spacing w:after="0"/>
        <w:rPr>
          <w:sz w:val="20"/>
          <w:szCs w:val="20"/>
          <w:color w:val="auto"/>
        </w:rPr>
      </w:pPr>
      <w:r>
        <w:rPr>
          <w:rFonts w:ascii="Arial" w:cs="Arial" w:eastAsia="Arial" w:hAnsi="Arial"/>
          <w:sz w:val="18"/>
          <w:szCs w:val="18"/>
          <w:color w:val="auto"/>
        </w:rPr>
        <w:t>fourth quarter of 2021. For the full year ended 2021, we flared 1.45% of our gross natural gas production, down 26% from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Capital Budget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currently budgeted 2022 total capital spend of $1.75 billion to $1.90 billion. Should commodity prices weaken, we intend to act responsibly and, consistent with our prior practices, reduce capital spending. If commodity prices strengthen, we intend to maintain flat oil production, pay down indebtedness and return cash to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237"/>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The following discussion focuses primarily on a comparison of the results of operations between the years ended December 31, 2021 and 2020. The midstream operations segment’s revenues and operating expenses were not significant to our consolidated statements of operations for the years ended December 31, 2021, 2020 and 2019. .For a discussion of the results of operations for the year ended December 31, 2020 as compared to the year ended </w:t>
      </w:r>
      <w:hyperlink r:id="rId73">
        <w:r>
          <w:rPr>
            <w:rFonts w:ascii="Arial" w:cs="Arial" w:eastAsia="Arial" w:hAnsi="Arial"/>
            <w:sz w:val="18"/>
            <w:szCs w:val="18"/>
            <w:color w:val="auto"/>
          </w:rPr>
          <w:t xml:space="preserve">December 31, 2019, please refer to </w:t>
        </w:r>
        <w:r>
          <w:rPr>
            <w:rFonts w:ascii="Arial" w:cs="Arial" w:eastAsia="Arial" w:hAnsi="Arial"/>
            <w:sz w:val="18"/>
            <w:szCs w:val="18"/>
            <w:u w:val="single" w:color="auto"/>
            <w:color w:val="0000FF"/>
          </w:rPr>
          <w:t>“Part II, Item 7. Management's Discussion and Analysis of Financial Condition and Results of Operations" in our</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FF"/>
          </w:rPr>
          <w:t>Annual Report on Form 10-K</w:t>
        </w:r>
        <w:r>
          <w:rPr>
            <w:rFonts w:ascii="Arial" w:cs="Arial" w:eastAsia="Arial" w:hAnsi="Arial"/>
            <w:sz w:val="18"/>
            <w:szCs w:val="18"/>
            <w:color w:val="0000FF"/>
          </w:rPr>
          <w:t xml:space="preserve"> </w:t>
        </w:r>
        <w:r>
          <w:rPr>
            <w:rFonts w:ascii="Arial" w:cs="Arial" w:eastAsia="Arial" w:hAnsi="Arial"/>
            <w:sz w:val="18"/>
            <w:szCs w:val="18"/>
            <w:color w:val="000000"/>
          </w:rPr>
          <w:t>for the year ended December 31, 2020 (filed with the SEC on February 25, 2021), which is incorporated in this report by</w:t>
        </w:r>
      </w:hyperlink>
      <w:r>
        <w:rPr>
          <w:rFonts w:ascii="Arial" w:cs="Arial" w:eastAsia="Arial" w:hAnsi="Arial"/>
          <w:sz w:val="18"/>
          <w:szCs w:val="18"/>
          <w:color w:val="0000FF"/>
        </w:rPr>
        <w:t xml:space="preserve"> </w:t>
      </w:r>
      <w:r>
        <w:rPr>
          <w:rFonts w:ascii="Arial" w:cs="Arial" w:eastAsia="Arial" w:hAnsi="Arial"/>
          <w:sz w:val="18"/>
          <w:szCs w:val="18"/>
          <w:color w:val="000000"/>
        </w:rPr>
        <w:t>reference from such prior report on Form 10-K.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historical operating data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8"/>
                <w:szCs w:val="18"/>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(in millions):</w:t>
            </w:r>
          </w:p>
        </w:tc>
        <w:tc>
          <w:tcPr>
            <w:tcW w:w="1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7600" w:type="dxa"/>
            <w:vAlign w:val="bottom"/>
          </w:tcPr>
          <w:p>
            <w:pPr>
              <w:ind w:left="240"/>
              <w:spacing w:after="0"/>
              <w:rPr>
                <w:sz w:val="20"/>
                <w:szCs w:val="20"/>
                <w:color w:val="auto"/>
              </w:rPr>
            </w:pPr>
            <w:r>
              <w:rPr>
                <w:rFonts w:ascii="Arial" w:cs="Arial" w:eastAsia="Arial" w:hAnsi="Arial"/>
                <w:sz w:val="18"/>
                <w:szCs w:val="18"/>
                <w:color w:val="auto"/>
              </w:rPr>
              <w:t>Oil sales</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29"/>
        </w:trPr>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sales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Natural gas liquid sales</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48"/>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oil, natural gas and natural gas liquid revenues</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Oil (MBbls)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81,522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66,182</w:t>
            </w: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(MMcf)</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169,406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130,549</w:t>
            </w: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Natural gas liquids (MBbls)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27,246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21,981</w:t>
            </w:r>
          </w:p>
        </w:tc>
      </w:tr>
      <w:tr>
        <w:trPr>
          <w:trHeight w:val="229"/>
        </w:trPr>
        <w:tc>
          <w:tcPr>
            <w:tcW w:w="76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137,002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109,921</w:t>
            </w:r>
          </w:p>
        </w:tc>
      </w:tr>
      <w:tr>
        <w:trPr>
          <w:trHeight w:val="270"/>
        </w:trPr>
        <w:tc>
          <w:tcPr>
            <w:tcW w:w="7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Daily oil volumes (BO/d)</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223,348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180,825</w:t>
            </w:r>
          </w:p>
        </w:tc>
      </w:tr>
      <w:tr>
        <w:trPr>
          <w:trHeight w:val="230"/>
        </w:trPr>
        <w:tc>
          <w:tcPr>
            <w:tcW w:w="7600" w:type="dxa"/>
            <w:vAlign w:val="bottom"/>
          </w:tcPr>
          <w:p>
            <w:pPr>
              <w:ind w:left="480"/>
              <w:spacing w:after="0" w:line="230" w:lineRule="exact"/>
              <w:rPr>
                <w:sz w:val="20"/>
                <w:szCs w:val="20"/>
                <w:color w:val="auto"/>
              </w:rPr>
            </w:pPr>
            <w:r>
              <w:rPr>
                <w:rFonts w:ascii="Arial" w:cs="Arial" w:eastAsia="Arial" w:hAnsi="Arial"/>
                <w:sz w:val="18"/>
                <w:szCs w:val="18"/>
                <w:color w:val="auto"/>
              </w:rPr>
              <w:t>Daily combined volumes (BOE/d)</w:t>
            </w:r>
            <w:r>
              <w:rPr>
                <w:rFonts w:ascii="Arial" w:cs="Arial" w:eastAsia="Arial" w:hAnsi="Arial"/>
                <w:sz w:val="23"/>
                <w:szCs w:val="23"/>
                <w:color w:val="auto"/>
                <w:vertAlign w:val="superscript"/>
              </w:rPr>
              <w:t>(1)</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375,348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300,331</w:t>
            </w:r>
          </w:p>
        </w:tc>
      </w:tr>
      <w:tr>
        <w:trPr>
          <w:trHeight w:val="162"/>
        </w:trPr>
        <w:tc>
          <w:tcPr>
            <w:tcW w:w="7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Average Prices: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2"/>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Oil ($ per Bbl)</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Natural gas ($ per Mcf)</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liquids ($ per Bbl)</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Combined ($ per BOE)</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25.07</w:t>
            </w:r>
          </w:p>
        </w:tc>
      </w:tr>
      <w:tr>
        <w:trPr>
          <w:trHeight w:val="270"/>
        </w:trPr>
        <w:tc>
          <w:tcPr>
            <w:tcW w:w="7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29"/>
        </w:trPr>
        <w:tc>
          <w:tcPr>
            <w:tcW w:w="7600" w:type="dxa"/>
            <w:vAlign w:val="bottom"/>
          </w:tcPr>
          <w:p>
            <w:pPr>
              <w:ind w:left="4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(2)</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40.34</w:t>
            </w:r>
          </w:p>
        </w:tc>
      </w:tr>
      <w:tr>
        <w:trPr>
          <w:trHeight w:val="230"/>
        </w:trPr>
        <w:tc>
          <w:tcPr>
            <w:tcW w:w="76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Natural gas, hedged ($ per Mcf)</w:t>
            </w:r>
            <w:r>
              <w:rPr>
                <w:rFonts w:ascii="Arial" w:cs="Arial" w:eastAsia="Arial" w:hAnsi="Arial"/>
                <w:sz w:val="23"/>
                <w:szCs w:val="23"/>
                <w:color w:val="auto"/>
                <w:vertAlign w:val="superscript"/>
              </w:rPr>
              <w:t>(2)</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30"/>
        </w:trPr>
        <w:tc>
          <w:tcPr>
            <w:tcW w:w="7600" w:type="dxa"/>
            <w:vAlign w:val="bottom"/>
          </w:tcPr>
          <w:p>
            <w:pPr>
              <w:ind w:left="4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(2)</w:t>
            </w:r>
          </w:p>
        </w:tc>
        <w:tc>
          <w:tcPr>
            <w:tcW w:w="1060" w:type="dxa"/>
            <w:vAlign w:val="bottom"/>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19"/>
                <w:szCs w:val="19"/>
                <w:color w:val="auto"/>
              </w:rPr>
            </w:pPr>
          </w:p>
        </w:tc>
        <w:tc>
          <w:tcPr>
            <w:tcW w:w="1060" w:type="dxa"/>
            <w:vAlign w:val="bottom"/>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29"/>
        </w:trPr>
        <w:tc>
          <w:tcPr>
            <w:tcW w:w="76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(2)</w:t>
            </w: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r>
    </w:tbl>
    <w:p>
      <w:pPr>
        <w:spacing w:after="0" w:line="8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Bbl.</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Substantially all of our revenues are generated through the sale of oil, natural gas and natural gas liquids production. The following tables provides information on the mix of our production for the years ended December 31, 2021 and 2020: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96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42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82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revenues are a function of oil, natural gas and natural gas liquids production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and average sales prices received for those volumes.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oil, natural gas and natural gas liquids revenues increased by approximately $4.0 billion, or 145%, to $6.7 billion for the year ended December 31, 2021 from $2.8 billion for the year ended December 31, 2020. Higher average oil prices, and to a lesser extent natural gas and natural gas liquids prices, contributed $3.3 billion of the total increase. The remainder of the overall change is due to a 25% increase in combined volumes sold.</w:t>
      </w:r>
    </w:p>
    <w:p>
      <w:pPr>
        <w:spacing w:after="0" w:line="176"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Higher commodity prices during 2021 compared to 2020 primarily reflect a recovery from historically low prices experienced in 2020 due to the COVID-19 pandemic as discussed in “</w:t>
      </w:r>
      <w:r>
        <w:rPr>
          <w:rFonts w:ascii="Arial" w:cs="Arial" w:eastAsia="Arial" w:hAnsi="Arial"/>
          <w:sz w:val="18"/>
          <w:szCs w:val="18"/>
          <w:i w:val="1"/>
          <w:iCs w:val="1"/>
          <w:color w:val="auto"/>
        </w:rPr>
        <w:t>—</w:t>
      </w:r>
      <w:hyperlink w:anchor="page53">
        <w:r>
          <w:rPr>
            <w:rFonts w:ascii="Arial" w:cs="Arial" w:eastAsia="Arial" w:hAnsi="Arial"/>
            <w:sz w:val="18"/>
            <w:szCs w:val="18"/>
            <w:i w:val="1"/>
            <w:iCs w:val="1"/>
            <w:u w:val="single" w:color="auto"/>
            <w:color w:val="0000FF"/>
          </w:rPr>
          <w:t>2021 Transactions and Recent Developments</w:t>
        </w:r>
      </w:hyperlink>
      <w:r>
        <w:rPr>
          <w:rFonts w:ascii="Arial" w:cs="Arial" w:eastAsia="Arial" w:hAnsi="Arial"/>
          <w:sz w:val="18"/>
          <w:szCs w:val="18"/>
          <w:color w:val="auto"/>
        </w:rPr>
        <w:t>” above. The increase in production for 2021 compared to 2020 resulted primarily from the Guidon Acquisition and QEP Merger during the first quarter of 2021 and an overall recovery in our drilling and production activities after curtailments in the second quarter of 2020 in response to the COVID-19 pandemic. We expect to hold our oil production levels flat during 2022.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Lease Operating Expenses. </w:t>
      </w:r>
      <w:r>
        <w:rPr>
          <w:rFonts w:ascii="Arial" w:cs="Arial" w:eastAsia="Arial" w:hAnsi="Arial"/>
          <w:sz w:val="17"/>
          <w:szCs w:val="17"/>
          <w:color w:val="auto"/>
        </w:rPr>
        <w:t>The following table shows lease operating expenses for the years ended December 31,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7"/>
        </w:trPr>
        <w:tc>
          <w:tcPr>
            <w:tcW w:w="7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7"/>
                <w:szCs w:val="17"/>
                <w:color w:val="auto"/>
              </w:rPr>
            </w:pPr>
          </w:p>
        </w:tc>
      </w:tr>
      <w:tr>
        <w:trPr>
          <w:trHeight w:val="212"/>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bl>
    <w:p>
      <w:pPr>
        <w:spacing w:after="0" w:line="3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Lease operating expenses for the year ended December 31, 2021 as compared to the year ended December 31, 2020 increased by $140 million, or $0.25 per BOE, primarily due to an increase in production between periods driven by the Guidon Acquisition and the QEP Merger in the first quarter of 2021. The increase on a per BOE basis is primarily related to the Williston Basin assets acquired in the QEP Merger which had higher lease operating costs per BOE on average than our historical properties. We completed the divestiture of the Williston Basin properties in October 2021.</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Including the impact of our acquisition and divestiture activity in 2021 and future production plans, our total lease operating expenses in 2022 are expected to range from approximately $539 million to $618 million.</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Production and Ad Valorem Tax Expense. </w:t>
      </w:r>
      <w:r>
        <w:rPr>
          <w:rFonts w:ascii="Arial" w:cs="Arial" w:eastAsia="Arial" w:hAnsi="Arial"/>
          <w:sz w:val="18"/>
          <w:szCs w:val="18"/>
          <w:color w:val="auto"/>
        </w:rPr>
        <w:t>The following table shows production and ad valorem tax expense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Year Ended December 31,</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7"/>
        </w:trPr>
        <w:tc>
          <w:tcPr>
            <w:tcW w:w="6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2021</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9"/>
              </w:rPr>
              <w:t>2020</w:t>
            </w:r>
          </w:p>
        </w:tc>
        <w:tc>
          <w:tcPr>
            <w:tcW w:w="800" w:type="dxa"/>
            <w:vAlign w:val="bottom"/>
            <w:tcBorders>
              <w:bottom w:val="single" w:sz="8" w:color="auto"/>
            </w:tcBorders>
          </w:tcPr>
          <w:p>
            <w:pPr>
              <w:spacing w:after="0"/>
              <w:rPr>
                <w:sz w:val="17"/>
                <w:szCs w:val="17"/>
                <w:color w:val="auto"/>
              </w:rPr>
            </w:pPr>
          </w:p>
        </w:tc>
      </w:tr>
      <w:tr>
        <w:trPr>
          <w:trHeight w:val="21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8"/>
              </w:rPr>
              <w:t>Per BOE</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production and ad valorem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 as a % of oil, natural gas, and natural gas liquids revenue</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3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general, production taxes are directly related to production revenues. Production taxes for the year ended December 31, 2021 increased by $214 million, or $1.32 per BOE. The increase in production taxes is attributable to an increase in commodity prices, as well as an increase in overall production due to assets acquired in 2021. The current year increase on a per BOE basis is primarily driven by an increase in current year commodity prices. Production taxes as a percentage of production revenues increased for the year ended December 31, 2021 compared to the year ended December 31, 2020 due primarily to the acquired Williston Basin properties which have a higher production tax rate than our other properties. We completed the divestiture of the Williston Basin properties in October 2021.</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 valorem taxes are based, among other factors, on property values driven by prior year commodity prices. Ad valorem taxes for the year ended December 31, 2021 as compared to the year ended December 31, 2020 increased by $16 million primarily due to additional properties acquired in the Guidon Acquisition and the QEP Merger.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production taxes to be approximately between 7% and 8% of oil, natural gas and natural gas liquids revenue during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Gathering and Transportation Expense. </w:t>
      </w:r>
      <w:r>
        <w:rPr>
          <w:rFonts w:ascii="Arial" w:cs="Arial" w:eastAsia="Arial" w:hAnsi="Arial"/>
          <w:sz w:val="18"/>
          <w:szCs w:val="18"/>
          <w:color w:val="auto"/>
        </w:rPr>
        <w:t>The following table shows gathering and transportation expense for the year ended December 31,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7"/>
        </w:trPr>
        <w:tc>
          <w:tcPr>
            <w:tcW w:w="7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7"/>
                <w:szCs w:val="17"/>
                <w:color w:val="auto"/>
              </w:rPr>
            </w:pPr>
          </w:p>
        </w:tc>
      </w:tr>
      <w:tr>
        <w:trPr>
          <w:trHeight w:val="212"/>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Gathering and transportation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bl>
    <w:p>
      <w:pPr>
        <w:spacing w:after="0" w:line="3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year ended December 31, 2021, the increase for gathering and transportation expenses are primarily attributable to the increase in production between periods. The current year increase on a per BOE basis is primarily driven by production added from the assets acquired in the QEP Merger which, in general, had higher average gathering and transportation costs per BOE than our historical properties, particularly those QEP assets located in the Williston Basin, which we divested in the fourth quarter of 2021. After giving effect to the 2021 acquisition and divestiture activities, we expect gathering and transportation expenses to range from approximately $212 to $243 million in 2022.</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Midstream Services Expense. </w:t>
      </w:r>
      <w:r>
        <w:rPr>
          <w:rFonts w:ascii="Arial" w:cs="Arial" w:eastAsia="Arial" w:hAnsi="Arial"/>
          <w:sz w:val="17"/>
          <w:szCs w:val="17"/>
          <w:color w:val="auto"/>
        </w:rPr>
        <w:t>The following table shows midstream services expense for the years ended December 31, 2021 and 2020:</w:t>
      </w:r>
    </w:p>
    <w:p>
      <w:pPr>
        <w:spacing w:after="0" w:line="143"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20320</wp:posOffset>
            </wp:positionV>
            <wp:extent cx="1714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 w:lineRule="exact"/>
        <w:rPr>
          <w:sz w:val="20"/>
          <w:szCs w:val="20"/>
          <w:color w:val="auto"/>
        </w:rPr>
      </w:pPr>
    </w:p>
    <w:p>
      <w:pPr>
        <w:ind w:left="9000"/>
        <w:spacing w:after="0"/>
        <w:tabs>
          <w:tab w:leader="none" w:pos="103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20320</wp:posOffset>
            </wp:positionV>
            <wp:extent cx="1714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auto"/>
        </w:rPr>
        <w:t>(In millions)</w:t>
      </w:r>
    </w:p>
    <w:p>
      <w:pPr>
        <w:spacing w:after="0" w:line="32" w:lineRule="exact"/>
        <w:rPr>
          <w:sz w:val="20"/>
          <w:szCs w:val="20"/>
          <w:color w:val="auto"/>
        </w:rPr>
      </w:pPr>
    </w:p>
    <w:p>
      <w:pPr>
        <w:ind w:left="20"/>
        <w:spacing w:after="0"/>
        <w:tabs>
          <w:tab w:leader="none" w:pos="8520" w:val="left"/>
          <w:tab w:leader="none" w:pos="9540" w:val="left"/>
          <w:tab w:leader="none" w:pos="9920" w:val="left"/>
          <w:tab w:leader="none" w:pos="10860" w:val="left"/>
        </w:tabs>
        <w:rPr>
          <w:sz w:val="20"/>
          <w:szCs w:val="20"/>
          <w:color w:val="auto"/>
        </w:rPr>
      </w:pPr>
      <w:r>
        <w:rPr>
          <w:rFonts w:ascii="Arial" w:cs="Arial" w:eastAsia="Arial" w:hAnsi="Arial"/>
          <w:sz w:val="18"/>
          <w:szCs w:val="18"/>
          <w:color w:val="auto"/>
        </w:rPr>
        <w:t>Midstream services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89</w:t>
        <w:tab/>
        <w:t>$</w:t>
      </w:r>
      <w:r>
        <w:rPr>
          <w:sz w:val="20"/>
          <w:szCs w:val="20"/>
          <w:color w:val="auto"/>
        </w:rPr>
        <w:tab/>
      </w: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2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Midstream services expense represents costs incurred to operate and maintain our oil and natural gas gathering and transportation systems, natural gas lift, compression infrastructure and water transportation facilities. In the fourth quarter of 2021, we and Rattler divested our natural gas gathering and transportation assets. Midstream services expense for the year ended December 31, 2021 as compared to the year ended December 31, 2020 decreased by $16 million primarily due to decreased maintenance costs, partially offset by increased fees for use of third party disposal systems.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Amortization and Accretion. </w:t>
      </w:r>
      <w:r>
        <w:rPr>
          <w:rFonts w:ascii="Arial" w:cs="Arial" w:eastAsia="Arial" w:hAnsi="Arial"/>
          <w:sz w:val="18"/>
          <w:szCs w:val="18"/>
          <w:color w:val="auto"/>
        </w:rPr>
        <w:t>The following table provides the components of our depreciation, depletion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expense for the years ended December 31, 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6"/>
                <w:szCs w:val="16"/>
                <w:b w:val="1"/>
                <w:bCs w:val="1"/>
                <w:color w:val="auto"/>
                <w:w w:val="98"/>
              </w:rPr>
              <w:t>Year Ended December 31,</w:t>
            </w:r>
          </w:p>
        </w:tc>
        <w:tc>
          <w:tcPr>
            <w:tcW w:w="0" w:type="dxa"/>
            <w:vAlign w:val="bottom"/>
          </w:tcPr>
          <w:p>
            <w:pPr>
              <w:spacing w:after="0"/>
              <w:rPr>
                <w:sz w:val="1"/>
                <w:szCs w:val="1"/>
                <w:color w:val="auto"/>
              </w:rPr>
            </w:pPr>
          </w:p>
        </w:tc>
      </w:tr>
      <w:tr>
        <w:trPr>
          <w:trHeight w:val="21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 except BOE amounts)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Depreciation of midstream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retirement obligation accretion</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depletion, amortization and accretion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Oil and natural gas properties depletion per BOE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20" w:type="dxa"/>
            <w:vAlign w:val="bottom"/>
            <w:vMerge w:val="continue"/>
          </w:tcPr>
          <w:p>
            <w:pPr>
              <w:spacing w:after="0"/>
              <w:rPr>
                <w:sz w:val="17"/>
                <w:szCs w:val="17"/>
                <w:color w:val="auto"/>
              </w:rPr>
            </w:pPr>
          </w:p>
        </w:tc>
        <w:tc>
          <w:tcPr>
            <w:tcW w:w="280" w:type="dxa"/>
            <w:vAlign w:val="bottom"/>
          </w:tcPr>
          <w:p>
            <w:pPr>
              <w:jc w:val="right"/>
              <w:ind w:right="90"/>
              <w:spacing w:after="0" w:line="204"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8.77</w:t>
            </w:r>
          </w:p>
        </w:tc>
        <w:tc>
          <w:tcPr>
            <w:tcW w:w="120" w:type="dxa"/>
            <w:vAlign w:val="bottom"/>
          </w:tcPr>
          <w:p>
            <w:pPr>
              <w:spacing w:after="0"/>
              <w:rPr>
                <w:sz w:val="17"/>
                <w:szCs w:val="17"/>
                <w:color w:val="auto"/>
              </w:rPr>
            </w:pPr>
          </w:p>
        </w:tc>
        <w:tc>
          <w:tcPr>
            <w:tcW w:w="300" w:type="dxa"/>
            <w:vAlign w:val="bottom"/>
          </w:tcPr>
          <w:p>
            <w:pPr>
              <w:jc w:val="right"/>
              <w:ind w:right="110"/>
              <w:spacing w:after="0" w:line="204"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depletion of proved oil and natural gas properties of $40 million for the year ended December 31, 2021 as compared to the year ended December 31, 2020 resulted primarily from a reduction in the average depletion rate partially offset by increased production in 2021. The decline in rate resulted primarily from higher SEC oil prices utilized in the reserve calculations during 2021, lengthening the economic life of the reserve base and resulting in higher projected remaining reserve volumes on our wells.</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Impairment of Oil and Natural Gas Properties. </w:t>
      </w:r>
      <w:r>
        <w:rPr>
          <w:rFonts w:ascii="Arial" w:cs="Arial" w:eastAsia="Arial" w:hAnsi="Arial"/>
          <w:sz w:val="18"/>
          <w:szCs w:val="18"/>
          <w:color w:val="auto"/>
        </w:rPr>
        <w:t>No impairment expense was recorded for the year ended December 31, 2021.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QEP Merger and the Guidon Acquisition, we recorded the oil and natural gas properties acquired at fair value. Pursuant to SEC guidance, we determined the fair value of the properties acquired in the QEP Merger and the Guidon Acquisition clearly exceeded the related full cost ceiling limitation beyond a reasonable doubt. As such, we requested and received a waiver from the SEC to exclude the acquired properties from the first quarter 2021 ceiling test calculation. As a result, no impairment expense related to the QEP Merger and the Guidon Acquisition was recorded for the three months ended March 31, 2021. Had we not received the waiver from the SEC, an impairment charge of approximately $1.1 billion would have been recorded in the first quarter of 2021. The properties acquired in the QEP Merger and the Guidon Acquisition had total unamortized costs at March 31, 2021 of $3.0 billion and $1.1 billion, respectively.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4" w:lineRule="auto"/>
        <w:rPr>
          <w:rFonts w:ascii="Arial" w:cs="Arial" w:eastAsia="Arial" w:hAnsi="Arial"/>
          <w:sz w:val="18"/>
          <w:szCs w:val="18"/>
          <w:color w:val="auto"/>
        </w:rPr>
      </w:pPr>
      <w:r>
        <w:rPr>
          <w:rFonts w:ascii="Arial" w:cs="Arial" w:eastAsia="Arial" w:hAnsi="Arial"/>
          <w:sz w:val="18"/>
          <w:szCs w:val="18"/>
          <w:color w:val="auto"/>
        </w:rPr>
        <w:t>As a result of the sharp decline in commodity prices during 2020, we recorded non-cash ceiling test impairments for the year ended December 31, 2020 of $6.0 billion which is included in accumulated depletion, depreciation, amortization and impairment on our consolidated balance sheet. Impairment charges affect our results of operations but do not reduce our cash flow. In addition to commodity prices, our production rates, levels of proved reserves, future development costs, transfers of unevaluated properties and other factors will determine our actual ceiling test calculation and impairment analysis in future periods. If the trailing 12-month commodity prices fall as compared to the commodity prices used in prior quarters, we may have material write-downs in subsequent quarters. See Note 8—</w:t>
      </w:r>
      <w:hyperlink w:anchor="page105">
        <w:r>
          <w:rPr>
            <w:rFonts w:ascii="Arial" w:cs="Arial" w:eastAsia="Arial" w:hAnsi="Arial"/>
            <w:sz w:val="18"/>
            <w:szCs w:val="18"/>
            <w:u w:val="single" w:color="auto"/>
            <w:color w:val="0000FF"/>
          </w:rPr>
          <w:t>Property and Equipment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factors that impact the impairment of oil and natural gas properties.</w:t>
      </w:r>
    </w:p>
    <w:p>
      <w:pPr>
        <w:spacing w:after="0" w:line="222" w:lineRule="exact"/>
        <w:rPr>
          <w:sz w:val="20"/>
          <w:szCs w:val="20"/>
          <w:color w:val="auto"/>
        </w:rPr>
      </w:pPr>
    </w:p>
    <w:p>
      <w:pPr>
        <w:ind w:right="260" w:firstLine="648"/>
        <w:spacing w:after="0" w:line="27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The following table shows general and administrative expenses for the years ended December 31,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2020:</w:t>
      </w: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7"/>
        </w:trPr>
        <w:tc>
          <w:tcPr>
            <w:tcW w:w="7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7"/>
                <w:szCs w:val="17"/>
                <w:color w:val="auto"/>
              </w:rPr>
            </w:pPr>
          </w:p>
        </w:tc>
      </w:tr>
      <w:tr>
        <w:trPr>
          <w:trHeight w:val="212"/>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6"/>
                <w:szCs w:val="16"/>
                <w:b w:val="1"/>
                <w:bCs w:val="1"/>
                <w:color w:val="auto"/>
                <w:w w:val="95"/>
              </w:rPr>
              <w:t>Per BOE</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r>
      <w:tr>
        <w:trPr>
          <w:trHeight w:val="248"/>
        </w:trPr>
        <w:tc>
          <w:tcPr>
            <w:tcW w:w="7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for the year ended December 31, 2021 as compared to the year ended December 31, 2020 increased by $58 million primarily due to additional payroll and other employee driven costs of $32 million related to the QEP Merger and the Guidon Acquisition as well as $10 million of additional expense related to the implementation of a new enterprise resource planning system. Additionally, equity compensation for the year ended December 31, 2021 increased by $14 million compared to the same period in 2020.</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cash general and administrative expenses to range from approximately $87 million to $110 million in 2022, and non-cash stock-based compensation to range from approximately $54 million to $69 million in 2022.</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Merger and Integration Expense. </w:t>
      </w:r>
      <w:r>
        <w:rPr>
          <w:rFonts w:ascii="Arial" w:cs="Arial" w:eastAsia="Arial" w:hAnsi="Arial"/>
          <w:sz w:val="16"/>
          <w:szCs w:val="16"/>
          <w:color w:val="auto"/>
        </w:rPr>
        <w:t>The following table shows merger and integration expense for the years ended December 31, 2021 and 2020: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jc w:val="right"/>
              <w:ind w:right="250"/>
              <w:spacing w:after="0"/>
              <w:rPr>
                <w:sz w:val="20"/>
                <w:szCs w:val="20"/>
                <w:color w:val="auto"/>
              </w:rPr>
            </w:pPr>
            <w:r>
              <w:rPr>
                <w:rFonts w:ascii="Arial" w:cs="Arial" w:eastAsia="Arial" w:hAnsi="Arial"/>
                <w:sz w:val="16"/>
                <w:szCs w:val="16"/>
                <w:b w:val="1"/>
                <w:bCs w:val="1"/>
                <w:color w:val="auto"/>
                <w:w w:val="95"/>
              </w:rPr>
              <w:t>Year Ended December 31,</w:t>
            </w:r>
          </w:p>
        </w:tc>
        <w:tc>
          <w:tcPr>
            <w:tcW w:w="800" w:type="dxa"/>
            <w:vAlign w:val="bottom"/>
            <w:tcBorders>
              <w:bottom w:val="single" w:sz="8" w:color="auto"/>
            </w:tcBorders>
          </w:tcPr>
          <w:p>
            <w:pPr>
              <w:spacing w:after="0"/>
              <w:rPr>
                <w:sz w:val="18"/>
                <w:szCs w:val="18"/>
                <w:color w:val="auto"/>
              </w:rPr>
            </w:pPr>
          </w:p>
        </w:tc>
      </w:tr>
      <w:tr>
        <w:trPr>
          <w:trHeight w:val="207"/>
        </w:trPr>
        <w:tc>
          <w:tcPr>
            <w:tcW w:w="7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7"/>
                <w:szCs w:val="17"/>
                <w:color w:val="auto"/>
              </w:rPr>
            </w:pPr>
          </w:p>
        </w:tc>
      </w:tr>
      <w:tr>
        <w:trPr>
          <w:trHeight w:val="212"/>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BOE amounts)</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00" w:type="dxa"/>
            <w:vAlign w:val="bottom"/>
          </w:tcPr>
          <w:p>
            <w:pPr>
              <w:jc w:val="right"/>
              <w:ind w:right="7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w w:val="99"/>
              </w:rPr>
              <w:t>Amount</w:t>
            </w:r>
          </w:p>
        </w:tc>
        <w:tc>
          <w:tcPr>
            <w:tcW w:w="800" w:type="dxa"/>
            <w:vAlign w:val="bottom"/>
          </w:tcPr>
          <w:p>
            <w:pPr>
              <w:ind w:left="20"/>
              <w:spacing w:after="0"/>
              <w:rPr>
                <w:sz w:val="20"/>
                <w:szCs w:val="20"/>
                <w:color w:val="auto"/>
              </w:rPr>
            </w:pPr>
            <w:r>
              <w:rPr>
                <w:rFonts w:ascii="Arial" w:cs="Arial" w:eastAsia="Arial" w:hAnsi="Arial"/>
                <w:sz w:val="16"/>
                <w:szCs w:val="16"/>
                <w:b w:val="1"/>
                <w:bCs w:val="1"/>
                <w:color w:val="auto"/>
              </w:rPr>
              <w:t>Per BOE</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Merger and integration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firstLine="648"/>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Total merger and integration expense for the year ended December 31, 2021 includes $69 million in costs incurred for the QEP Merger and $9 million in costs incurred for the Guidon Acquisition. The QEP Merger related expenses primarily consist of $39 million in severance costs and $30 million </w:t>
      </w:r>
      <w:hyperlink w:anchor="page98">
        <w:r>
          <w:rPr>
            <w:rFonts w:ascii="Arial" w:cs="Arial" w:eastAsia="Arial" w:hAnsi="Arial"/>
            <w:sz w:val="18"/>
            <w:szCs w:val="18"/>
            <w:color w:val="auto"/>
          </w:rPr>
          <w:t>in banking, legal and advisory fees, and the Guidon Acquisition related expenses consist primarily of advisory and legal fees. See Note 4—</w:t>
        </w:r>
        <w:r>
          <w:rPr>
            <w:rFonts w:ascii="Arial" w:cs="Arial" w:eastAsia="Arial" w:hAnsi="Arial"/>
            <w:sz w:val="18"/>
            <w:szCs w:val="18"/>
            <w:u w:val="single" w:color="auto"/>
            <w:color w:val="0000FF"/>
          </w:rPr>
          <w:t>Acquisitions</w:t>
        </w:r>
      </w:hyperlink>
      <w:r>
        <w:rPr>
          <w:rFonts w:ascii="Arial" w:cs="Arial" w:eastAsia="Arial" w:hAnsi="Arial"/>
          <w:sz w:val="18"/>
          <w:szCs w:val="18"/>
          <w:color w:val="auto"/>
        </w:rPr>
        <w:t xml:space="preserve"> </w:t>
      </w:r>
      <w:hyperlink w:anchor="page98">
        <w:r>
          <w:rPr>
            <w:rFonts w:ascii="Arial" w:cs="Arial" w:eastAsia="Arial" w:hAnsi="Arial"/>
            <w:sz w:val="18"/>
            <w:szCs w:val="18"/>
            <w:u w:val="single" w:color="auto"/>
            <w:color w:val="0000FF"/>
          </w:rPr>
          <w:t>and Divestitures</w:t>
        </w:r>
        <w:r>
          <w:rPr>
            <w:rFonts w:ascii="Arial" w:cs="Arial" w:eastAsia="Arial" w:hAnsi="Arial"/>
            <w:sz w:val="18"/>
            <w:szCs w:val="18"/>
            <w:color w:val="0000FF"/>
          </w:rPr>
          <w:t xml:space="preserve"> </w:t>
        </w:r>
        <w:r>
          <w:rPr>
            <w:rFonts w:ascii="Arial" w:cs="Arial" w:eastAsia="Arial" w:hAnsi="Arial"/>
            <w:sz w:val="18"/>
            <w:szCs w:val="18"/>
            <w:color w:val="000000"/>
          </w:rPr>
          <w:t>for further details regarding the QEP Merger and the Guidon Acquisition.</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The following table shows net interest expense for the years ended December 31, 2021 and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r>
      <w:tr>
        <w:trPr>
          <w:trHeight w:val="210"/>
        </w:trPr>
        <w:tc>
          <w:tcPr>
            <w:tcW w:w="85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r>
      <w:tr>
        <w:trPr>
          <w:trHeight w:val="209"/>
        </w:trPr>
        <w:tc>
          <w:tcPr>
            <w:tcW w:w="8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3"/>
          </w:tcPr>
          <w:p>
            <w:pPr>
              <w:jc w:val="right"/>
              <w:ind w:right="433"/>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r>
      <w:tr>
        <w:trPr>
          <w:trHeight w:val="232"/>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Revolving credit agreements</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54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214</w:t>
            </w: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 and discounts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540" w:type="dxa"/>
            <w:vAlign w:val="bottom"/>
          </w:tcPr>
          <w:p>
            <w:pPr>
              <w:ind w:left="1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interest</w:t>
            </w: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8540" w:type="dxa"/>
            <w:vAlign w:val="bottom"/>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201</w:t>
            </w:r>
          </w:p>
        </w:tc>
      </w:tr>
      <w:tr>
        <w:trPr>
          <w:trHeight w:val="229"/>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interest income</w:t>
            </w: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54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197</w:t>
            </w:r>
          </w:p>
        </w:tc>
      </w:tr>
      <w:tr>
        <w:trPr>
          <w:trHeight w:val="20"/>
        </w:trPr>
        <w:tc>
          <w:tcPr>
            <w:tcW w:w="8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Net interest expense increased by $2 million for the year ended December 31, 2021 as compared to the year ended December 31, 2020. This increase primarily consisted of (i) $47 million in interest costs on the newly issued March 2021 Notes (ii) $25 million due to incurring a full year of interest expense in 2021 related to our May 2020 Notes and Rattler’s 5.625% Senior Notes due 2025, and (iii) to a lesser extent, interest expense incurred on the QEP Notes that remained outstanding following the QEP Merger completed in March 2021. These increases were partially offset by (i) $33 million in additional capitalized interest costs, (ii) interest cost savings of $23 million on the repurchases of our 2025 Senior Notes in March 2021 and August 2021,</w:t>
      </w:r>
    </w:p>
    <w:p>
      <w:pPr>
        <w:spacing w:after="0" w:line="2" w:lineRule="exact"/>
        <w:rPr>
          <w:sz w:val="20"/>
          <w:szCs w:val="20"/>
          <w:color w:val="auto"/>
        </w:rPr>
      </w:pPr>
    </w:p>
    <w:p>
      <w:pPr>
        <w:jc w:val="both"/>
        <w:ind w:firstLine="8"/>
        <w:spacing w:after="0" w:line="253" w:lineRule="auto"/>
        <w:tabs>
          <w:tab w:leader="none" w:pos="3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$8 million on the repurchase of our 4.625% senior notes of Energen (iv) a $9 million reduction in borrowings under our revolving credit agreements during 2021, and (v) to a lesser extent, interest savings on the repurchase of our 2023 Notes in November 2021. We expect interest expense, net of interest income to range from approximately $148 million to $178 million in 2022. See Note 11—</w:t>
      </w:r>
      <w:hyperlink w:anchor="page108">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outstanding borrowings and interest expense.</w:t>
      </w:r>
    </w:p>
    <w:p>
      <w:pPr>
        <w:spacing w:after="0" w:line="22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following table shows the net gain (loss) on derivative instruments and the net cash received (paid) on settlements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instruments for the years ended December 31, 2021 and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6"/>
                <w:szCs w:val="16"/>
                <w:b w:val="1"/>
                <w:bCs w:val="1"/>
                <w:color w:val="auto"/>
                <w:w w:val="98"/>
              </w:rPr>
              <w:t>Year Ended December 31,</w:t>
            </w:r>
          </w:p>
        </w:tc>
      </w:tr>
      <w:tr>
        <w:trPr>
          <w:trHeight w:val="210"/>
        </w:trPr>
        <w:tc>
          <w:tcPr>
            <w:tcW w:w="8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r>
      <w:tr>
        <w:trPr>
          <w:trHeight w:val="209"/>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r>
      <w:tr>
        <w:trPr>
          <w:trHeight w:val="232"/>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(81)</w:t>
            </w:r>
          </w:p>
        </w:tc>
      </w:tr>
      <w:tr>
        <w:trPr>
          <w:trHeight w:val="312"/>
        </w:trPr>
        <w:tc>
          <w:tcPr>
            <w:tcW w:w="854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r>
              <w:rPr>
                <w:rFonts w:ascii="Arial" w:cs="Arial" w:eastAsia="Arial" w:hAnsi="Arial"/>
                <w:sz w:val="23"/>
                <w:szCs w:val="23"/>
                <w:color w:val="auto"/>
                <w:vertAlign w:val="superscript"/>
              </w:rPr>
              <w:t>(1)(2)(3)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ind w:left="520"/>
              <w:spacing w:after="0"/>
              <w:rPr>
                <w:sz w:val="20"/>
                <w:szCs w:val="20"/>
                <w:color w:val="auto"/>
              </w:rPr>
            </w:pPr>
            <w:r>
              <w:rPr>
                <w:rFonts w:ascii="Arial" w:cs="Arial" w:eastAsia="Arial" w:hAnsi="Arial"/>
                <w:sz w:val="18"/>
                <w:szCs w:val="18"/>
                <w:color w:val="auto"/>
              </w:rPr>
              <w:t>250</w:t>
            </w:r>
          </w:p>
        </w:tc>
      </w:tr>
    </w:tbl>
    <w:p>
      <w:pPr>
        <w:ind w:left="320" w:hanging="312"/>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year ended December 31, 2021 includes cash paid on commodity contracts terminated prior to their contractual maturity of $16 million.</w:t>
      </w:r>
    </w:p>
    <w:p>
      <w:pPr>
        <w:spacing w:after="0" w:line="32" w:lineRule="exact"/>
        <w:rPr>
          <w:rFonts w:ascii="Arial" w:cs="Arial" w:eastAsia="Arial" w:hAnsi="Arial"/>
          <w:sz w:val="17"/>
          <w:szCs w:val="17"/>
          <w:color w:val="auto"/>
        </w:rPr>
      </w:pPr>
    </w:p>
    <w:p>
      <w:pPr>
        <w:ind w:left="320" w:hanging="312"/>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year ended December 31, 2020 includes cash received on commodity contracts terminated prior to their contractual maturity of $17 million.</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year ended December 31, 2021 includes cash received on interest rate swap contracts terminated prior to their contractual maturity of $80 million.</w:t>
      </w:r>
    </w:p>
    <w:p>
      <w:pPr>
        <w:spacing w:after="0" w:line="2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required to recognize all derivative instruments on the balance sheet as either assets or liabilities measured at fair value. We have not designated our commodity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As part of the QEP Merger, we received by novation from QEP certain derivative instruments which are included on our balance sheet as of December 31, 2021.</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designated certain of our interest rate swaps as fair value hedges for accounting purposes. As a result, gains and losses due to changes in the fair value of the interest rate swaps completely offset changes in the fair value of the hedged portion of the underlying debt and no gain or loss is recognized due to hedge effectiveness. Changes in fair value are recorded as an adjustment to the carrying value of the 2029 Notes in the consolidated balance sheet. Beginning on December 1, 2021, we began recording semi-annual cash settlements of these interest rate swaps in interest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2021, we have a short-term derivative asset of $13 million, a long-term derivative asset of $4 million, a short-term derivative liability due in 2022 of $174 million and a long-term derivative liability due in 2023 of $29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Provision for (Benefit from) Income Taxes. </w:t>
      </w:r>
      <w:r>
        <w:rPr>
          <w:rFonts w:ascii="Arial" w:cs="Arial" w:eastAsia="Arial" w:hAnsi="Arial"/>
          <w:sz w:val="17"/>
          <w:szCs w:val="17"/>
          <w:color w:val="auto"/>
        </w:rPr>
        <w:t>The following table shows the provision for (benefit from) income taxes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130"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20320</wp:posOffset>
            </wp:positionV>
            <wp:extent cx="1714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 w:lineRule="exact"/>
        <w:rPr>
          <w:sz w:val="20"/>
          <w:szCs w:val="20"/>
          <w:color w:val="auto"/>
        </w:rPr>
      </w:pPr>
    </w:p>
    <w:p>
      <w:pPr>
        <w:ind w:left="9000"/>
        <w:spacing w:after="0"/>
        <w:tabs>
          <w:tab w:leader="none" w:pos="103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20320</wp:posOffset>
            </wp:positionV>
            <wp:extent cx="1714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 w:lineRule="exact"/>
        <w:rPr>
          <w:sz w:val="20"/>
          <w:szCs w:val="20"/>
          <w:color w:val="auto"/>
        </w:rPr>
      </w:pPr>
    </w:p>
    <w:p>
      <w:pPr>
        <w:ind w:left="9440"/>
        <w:spacing w:after="0"/>
        <w:rPr>
          <w:sz w:val="20"/>
          <w:szCs w:val="20"/>
          <w:color w:val="auto"/>
        </w:rPr>
      </w:pPr>
      <w:r>
        <w:rPr>
          <w:rFonts w:ascii="Arial" w:cs="Arial" w:eastAsia="Arial" w:hAnsi="Arial"/>
          <w:sz w:val="16"/>
          <w:szCs w:val="16"/>
          <w:b w:val="1"/>
          <w:bCs w:val="1"/>
          <w:color w:val="auto"/>
        </w:rPr>
        <w:t>(In millions)</w:t>
      </w:r>
    </w:p>
    <w:p>
      <w:pPr>
        <w:spacing w:after="0" w:line="32" w:lineRule="exact"/>
        <w:rPr>
          <w:sz w:val="20"/>
          <w:szCs w:val="20"/>
          <w:color w:val="auto"/>
        </w:rPr>
      </w:pPr>
    </w:p>
    <w:p>
      <w:pPr>
        <w:ind w:left="20"/>
        <w:spacing w:after="0"/>
        <w:tabs>
          <w:tab w:leader="none" w:pos="8520" w:val="left"/>
          <w:tab w:leader="none" w:pos="9440" w:val="left"/>
          <w:tab w:leader="none" w:pos="9920" w:val="left"/>
          <w:tab w:leader="none" w:pos="10640" w:val="left"/>
        </w:tabs>
        <w:rPr>
          <w:sz w:val="20"/>
          <w:szCs w:val="20"/>
          <w:color w:val="auto"/>
        </w:rPr>
      </w:pPr>
      <w:r>
        <w:rPr>
          <w:rFonts w:ascii="Arial" w:cs="Arial" w:eastAsia="Arial" w:hAnsi="Arial"/>
          <w:sz w:val="18"/>
          <w:szCs w:val="18"/>
          <w:color w:val="auto"/>
        </w:rPr>
        <w:t>Provision for (benefit from)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631</w:t>
        <w:tab/>
        <w:t>$</w:t>
      </w:r>
      <w:r>
        <w:rPr>
          <w:sz w:val="20"/>
          <w:szCs w:val="20"/>
          <w:color w:val="auto"/>
        </w:rPr>
        <w:tab/>
      </w:r>
      <w:r>
        <w:rPr>
          <w:rFonts w:ascii="Arial" w:cs="Arial" w:eastAsia="Arial" w:hAnsi="Arial"/>
          <w:sz w:val="16"/>
          <w:szCs w:val="16"/>
          <w:color w:val="auto"/>
        </w:rPr>
        <w:t>(1,104)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changes in our income tax provision for the year ended December 31, 2021 compared to the same period in 2020 were primarily due to the increase in pre-tax income for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our primary sources of liquidity include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At December 31, 2021, we had approximately $2.2 billion of liquidity consisting of $0.7 billion in cash and cash equivalents and $1.6 billion available under our credit facility. As discussed below, our capital budget for 2022 is $1.75 billion to $1.90 billion. Further, we have $45 million of senior notes maturities in the next 12 months.</w:t>
      </w:r>
    </w:p>
    <w:p>
      <w:pPr>
        <w:spacing w:after="0" w:line="20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working capital requirements are supported by our cash and cash equivalents and our credit facility. We may draw on our revolving credit facility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capital spending programs, dividend payments, debt service obligations and repayment of debt maturities, stock repurchase program and other amounts that may ultimately be paid in connection with contingencies.</w:t>
      </w:r>
    </w:p>
    <w:p>
      <w:pPr>
        <w:spacing w:after="0" w:line="188" w:lineRule="exact"/>
        <w:rPr>
          <w:sz w:val="20"/>
          <w:szCs w:val="20"/>
          <w:color w:val="auto"/>
        </w:rPr>
      </w:pPr>
    </w:p>
    <w:p>
      <w:pPr>
        <w:jc w:val="both"/>
        <w:ind w:firstLine="648"/>
        <w:spacing w:after="0" w:line="273" w:lineRule="auto"/>
        <w:rPr>
          <w:rFonts w:ascii="Arial" w:cs="Arial" w:eastAsia="Arial" w:hAnsi="Arial"/>
          <w:sz w:val="17"/>
          <w:szCs w:val="17"/>
          <w:color w:val="0000FF"/>
        </w:rPr>
      </w:pPr>
      <w:r>
        <w:rPr>
          <w:rFonts w:ascii="Arial" w:cs="Arial" w:eastAsia="Arial" w:hAnsi="Arial"/>
          <w:sz w:val="17"/>
          <w:szCs w:val="17"/>
          <w:color w:val="auto"/>
        </w:rPr>
        <w:t xml:space="preserve">Future cash flows are subject to a number of variables, including the level of oil and natural gas production and prices, and significant additional capital expenditures will be required to more fully develop our properties. In order to mitigate this volatility, we entered into derivative contracts with a number of financial institutions, all of which are participants in our credit facility, hedging a portion of our estimated future crude oil and natural gas </w:t>
      </w:r>
      <w:hyperlink w:anchor="page70">
        <w:r>
          <w:rPr>
            <w:rFonts w:ascii="Arial" w:cs="Arial" w:eastAsia="Arial" w:hAnsi="Arial"/>
            <w:sz w:val="17"/>
            <w:szCs w:val="17"/>
            <w:color w:val="auto"/>
          </w:rPr>
          <w:t>production through the end of 2023 as discussed further in Note 15—</w:t>
        </w:r>
        <w:r>
          <w:rPr>
            <w:rFonts w:ascii="Arial" w:cs="Arial" w:eastAsia="Arial" w:hAnsi="Arial"/>
            <w:sz w:val="17"/>
            <w:szCs w:val="17"/>
            <w:u w:val="single" w:color="auto"/>
            <w:color w:val="0000FF"/>
          </w:rPr>
          <w:t>Derivatives</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Item 7A. Quantitative and Qualitative Disclosures About Market Risk</w:t>
        </w:r>
      </w:hyperlink>
      <w:r>
        <w:rPr>
          <w:rFonts w:ascii="Arial" w:cs="Arial" w:eastAsia="Arial" w:hAnsi="Arial"/>
          <w:sz w:val="17"/>
          <w:szCs w:val="17"/>
          <w:color w:val="auto"/>
        </w:rPr>
        <w:t xml:space="preserve"> </w:t>
      </w:r>
      <w:hyperlink w:anchor="page70">
        <w:r>
          <w:rPr>
            <w:rFonts w:ascii="Arial" w:cs="Arial" w:eastAsia="Arial" w:hAnsi="Arial"/>
            <w:sz w:val="17"/>
            <w:szCs w:val="17"/>
            <w:u w:val="single" w:color="auto"/>
            <w:color w:val="0000FF"/>
          </w:rPr>
          <w:t>—Commodity Price Risk</w:t>
        </w:r>
        <w:r>
          <w:rPr>
            <w:rFonts w:ascii="Arial" w:cs="Arial" w:eastAsia="Arial" w:hAnsi="Arial"/>
            <w:sz w:val="17"/>
            <w:szCs w:val="17"/>
            <w:color w:val="000000"/>
          </w:rPr>
          <w:t>. The level of our hedging activity and duration of the financial instruments employed depend on our desired cash flow protection,</w:t>
        </w:r>
      </w:hyperlink>
      <w:r>
        <w:rPr>
          <w:rFonts w:ascii="Arial" w:cs="Arial" w:eastAsia="Arial" w:hAnsi="Arial"/>
          <w:sz w:val="17"/>
          <w:szCs w:val="17"/>
          <w:color w:val="0000FF"/>
        </w:rPr>
        <w:t xml:space="preserve"> </w:t>
      </w:r>
      <w:r>
        <w:rPr>
          <w:rFonts w:ascii="Arial" w:cs="Arial" w:eastAsia="Arial" w:hAnsi="Arial"/>
          <w:sz w:val="17"/>
          <w:szCs w:val="17"/>
          <w:color w:val="000000"/>
        </w:rPr>
        <w:t>available hedge prices, the magnitude of our capital program and our operating strategy.</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COVID-19 pandemic, the depressed commodity markets and/or adverse macroeconomic conditions may limit our access to, or increase our cost of, capital or make capital unavailable on terms acceptable to us or at all. Although the Company expects that its sources of funding will be adequate to fund its short-term and long-term liquidity requirements, we cannot assure you that the needed capital will be available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the years ended December 31, 2021 and 2020 are presented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3"/>
          </w:tcPr>
          <w:p>
            <w:pPr>
              <w:jc w:val="right"/>
              <w:ind w:right="513"/>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8"/>
                <w:szCs w:val="18"/>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(1,539)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(2,101)</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8000" w:type="dxa"/>
            <w:vAlign w:val="bottom"/>
          </w:tcPr>
          <w:p>
            <w:pPr>
              <w:ind w:left="220"/>
              <w:spacing w:after="0"/>
              <w:rPr>
                <w:sz w:val="20"/>
                <w:szCs w:val="20"/>
                <w:color w:val="auto"/>
              </w:rPr>
            </w:pPr>
            <w:r>
              <w:rPr>
                <w:rFonts w:ascii="Arial" w:cs="Arial" w:eastAsia="Arial" w:hAnsi="Arial"/>
                <w:sz w:val="18"/>
                <w:szCs w:val="18"/>
                <w:color w:val="auto"/>
              </w:rPr>
              <w:t>Net change in cash</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w:t>
      </w:r>
      <w:hyperlink w:anchor="page33">
        <w:r>
          <w:rPr>
            <w:rFonts w:ascii="Arial" w:cs="Arial" w:eastAsia="Arial" w:hAnsi="Arial"/>
            <w:sz w:val="18"/>
            <w:szCs w:val="18"/>
            <w:u w:val="single" w:color="auto"/>
            <w:color w:val="0000FF"/>
          </w:rPr>
          <w:t>Item 1A. “Risk Factors”</w:t>
        </w:r>
        <w:r>
          <w:rPr>
            <w:rFonts w:ascii="Arial" w:cs="Arial" w:eastAsia="Arial" w:hAnsi="Arial"/>
            <w:sz w:val="18"/>
            <w:szCs w:val="18"/>
            <w:color w:val="0000FF"/>
          </w:rPr>
          <w:t xml:space="preserve"> </w:t>
        </w:r>
      </w:hyperlink>
      <w:r>
        <w:rPr>
          <w:rFonts w:ascii="Arial" w:cs="Arial" w:eastAsia="Arial" w:hAnsi="Arial"/>
          <w:sz w:val="18"/>
          <w:szCs w:val="18"/>
          <w:color w:val="000000"/>
        </w:rPr>
        <w:t>above.</w:t>
      </w:r>
    </w:p>
    <w:p>
      <w:pPr>
        <w:spacing w:after="0" w:line="21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increase in operating cash flows for the year ended December 31, 2021 compared to the same period in 2020 primarily resulted from (i) an increase of $4.0 billion in our total revenues, and (ii) receipt of $152 million in refunds of income taxes receivable related to the carryback of federal net operating losses and the accelerated refund of minimum tax credits allowed under the CARES Act in 2020. These net cash inflows were partially offset by</w:t>
      </w:r>
    </w:p>
    <w:p>
      <w:pPr>
        <w:spacing w:after="0" w:line="2" w:lineRule="exact"/>
        <w:rPr>
          <w:sz w:val="20"/>
          <w:szCs w:val="20"/>
          <w:color w:val="auto"/>
        </w:rPr>
      </w:pPr>
    </w:p>
    <w:p>
      <w:pPr>
        <w:jc w:val="both"/>
        <w:ind w:firstLine="8"/>
        <w:spacing w:after="0" w:line="271" w:lineRule="auto"/>
        <w:tabs>
          <w:tab w:leader="none" w:pos="221"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reduction of $1.5 billion due to making net cash payments of $1.2 billion on our derivative contracts in the year ended December 31, 2021 compared to receiving net cash of $250 million on our derivative contracts in the year ended December 31, 2020, (ii) an increase in our cash operating expenses of approximately $550 million primarily due to the QEP Merger and the Guidon Acquisition, and (iii) other working capital changes, primarily due to recording increases in accounts receivable, accounts payable and accrued capital expenditure activity stemming from the QEP Merger and the Guidon Acquisition in 2021. See “</w:t>
      </w:r>
      <w:hyperlink w:anchor="page56">
        <w:r>
          <w:rPr>
            <w:rFonts w:ascii="Arial" w:cs="Arial" w:eastAsia="Arial" w:hAnsi="Arial"/>
            <w:sz w:val="17"/>
            <w:szCs w:val="17"/>
            <w:i w:val="1"/>
            <w:iCs w:val="1"/>
            <w:u w:val="single" w:color="auto"/>
            <w:color w:val="0000FF"/>
          </w:rPr>
          <w:t>—Results of Operations</w:t>
        </w:r>
      </w:hyperlink>
      <w:r>
        <w:rPr>
          <w:rFonts w:ascii="Arial" w:cs="Arial" w:eastAsia="Arial" w:hAnsi="Arial"/>
          <w:sz w:val="17"/>
          <w:szCs w:val="17"/>
          <w:color w:val="auto"/>
        </w:rPr>
        <w:t>” for discussion of significant changes in our revenues and expenses.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648"/>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Net cash used in investing activities was $1.5 billion compared to $2.1 billion for the years ended December 31, 2021 and 2020, respectively. The majority of our net cash used for investing activities during the year ended December 31, 2021 was for the purchase and development of oil and natural gas properties and related assets, including the acquisition of certain leasehold interests as part of the Guidon Acquisition. These expenditures were partially </w:t>
      </w:r>
      <w:hyperlink w:anchor="page98">
        <w:r>
          <w:rPr>
            <w:rFonts w:ascii="Arial" w:cs="Arial" w:eastAsia="Arial" w:hAnsi="Arial"/>
            <w:sz w:val="18"/>
            <w:szCs w:val="18"/>
            <w:color w:val="auto"/>
          </w:rPr>
          <w:t>offset by proceeds from the sale of our Williston Basin assets, leasehold acreage and other gathering assets discussed in Note 4—</w:t>
        </w:r>
        <w:r>
          <w:rPr>
            <w:rFonts w:ascii="Arial" w:cs="Arial" w:eastAsia="Arial" w:hAnsi="Arial"/>
            <w:sz w:val="18"/>
            <w:szCs w:val="18"/>
            <w:u w:val="single" w:color="auto"/>
            <w:color w:val="0000FF"/>
          </w:rPr>
          <w:t>Acquisitions and</w:t>
        </w:r>
      </w:hyperlink>
      <w:r>
        <w:rPr>
          <w:rFonts w:ascii="Arial" w:cs="Arial" w:eastAsia="Arial" w:hAnsi="Arial"/>
          <w:sz w:val="18"/>
          <w:szCs w:val="18"/>
          <w:color w:val="auto"/>
        </w:rPr>
        <w:t xml:space="preserve"> </w:t>
      </w:r>
      <w:hyperlink w:anchor="page98">
        <w:r>
          <w:rPr>
            <w:rFonts w:ascii="Arial" w:cs="Arial" w:eastAsia="Arial" w:hAnsi="Arial"/>
            <w:sz w:val="18"/>
            <w:szCs w:val="18"/>
            <w:u w:val="single" w:color="auto"/>
            <w:color w:val="0000FF"/>
          </w:rPr>
          <w:t>Divestitures</w:t>
        </w:r>
        <w:r>
          <w:rPr>
            <w:rFonts w:ascii="Arial" w:cs="Arial" w:eastAsia="Arial" w:hAnsi="Arial"/>
            <w:sz w:val="18"/>
            <w:szCs w:val="18"/>
            <w:color w:val="000000"/>
          </w:rPr>
          <w:t>.</w:t>
        </w:r>
      </w:hyperlink>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majority of our net cash used in investing activities during the year ended December 31, 2020 was for drilling and completion costs in conjunction with our development program. Our capital expenditures for each period are discussed further below.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Expenditure Activities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capital expenditures excluding acquisitions and equity method investments (on a cash basis) were as follows for the specified period: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gridSpan w:val="3"/>
          </w:tcPr>
          <w:p>
            <w:pPr>
              <w:jc w:val="right"/>
              <w:ind w:right="553"/>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Pr>
          <w:p>
            <w:pPr>
              <w:spacing w:after="0"/>
              <w:rPr>
                <w:sz w:val="18"/>
                <w:szCs w:val="18"/>
                <w:color w:val="auto"/>
              </w:rPr>
            </w:pPr>
          </w:p>
        </w:tc>
      </w:tr>
      <w:tr>
        <w:trPr>
          <w:trHeight w:val="232"/>
        </w:trPr>
        <w:tc>
          <w:tcPr>
            <w:tcW w:w="802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Drilling, completions and non-operated additions to oil and natural gas properties</w:t>
            </w:r>
            <w:r>
              <w:rPr>
                <w:rFonts w:ascii="Arial" w:cs="Arial" w:eastAsia="Arial" w:hAnsi="Arial"/>
                <w:sz w:val="23"/>
                <w:szCs w:val="23"/>
                <w:color w:val="auto"/>
                <w:vertAlign w:val="superscript"/>
              </w:rPr>
              <w:t>(1)(2)</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1,334</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Infrastructure additions to oil and natural gas properties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midstream assets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1,487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1,859</w:t>
            </w:r>
          </w:p>
        </w:tc>
      </w:tr>
      <w:tr>
        <w:trPr>
          <w:trHeight w:val="21"/>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line="254" w:lineRule="auto"/>
        <w:tabs>
          <w:tab w:leader="none" w:pos="2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year ended December 31, 2021, in conjunction with our development program, we drilled 216 gross (203 net) operated horizontal wells, of which 175 gross (165 net) wells were in the Midland Basin and 41 gross (38 net) wells were in the Delaware Basin, and turned 275 gross (258 net) operated horizontal wells to production, of which 207 gross (194 net) were in the Midland Basin and 64 gross (61 net) wells were in the Delaware Basin.</w:t>
      </w:r>
    </w:p>
    <w:p>
      <w:pPr>
        <w:spacing w:after="0" w:line="2" w:lineRule="exact"/>
        <w:rPr>
          <w:rFonts w:ascii="Arial" w:cs="Arial" w:eastAsia="Arial" w:hAnsi="Arial"/>
          <w:sz w:val="18"/>
          <w:szCs w:val="18"/>
          <w:color w:val="auto"/>
        </w:rPr>
      </w:pPr>
    </w:p>
    <w:p>
      <w:pPr>
        <w:ind w:left="340" w:hanging="332"/>
        <w:spacing w:after="0" w:line="302" w:lineRule="auto"/>
        <w:tabs>
          <w:tab w:leader="none" w:pos="2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the year ended December 31, 2020, in conjunction with our development program, we drilled 208 gross (195 net) operated horizontal wells, of which 133 gross (125 net) wells were in the Midland Basin and 75 gross (70 net) wells were in the Delaware Basin, and turned 171 gross (159 net) operated horizontal wells to production, of which 93 gross (85 net) were in the Midland Basin and 78 gross (74 net) wells were in the Delaware Basin.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Net cash used in financing activities for the year ended December 31, 2021 was $1.8 billion compared to net cash used in financing activities for the year ended December 31, 2020 of $37 million. During the year ended December 31, 2021, the amount used in financing activities was primarily attributable to (i) $3.2 billion paid for the repurchase of outstanding principal on certain senior notes as discussed in </w:t>
      </w:r>
      <w:r>
        <w:rPr>
          <w:rFonts w:ascii="Arial" w:cs="Arial" w:eastAsia="Arial" w:hAnsi="Arial"/>
          <w:sz w:val="18"/>
          <w:szCs w:val="18"/>
          <w:i w:val="1"/>
          <w:iCs w:val="1"/>
          <w:color w:val="auto"/>
        </w:rPr>
        <w:t>“—Repurchases of Notes”</w:t>
      </w:r>
      <w:r>
        <w:rPr>
          <w:rFonts w:ascii="Arial" w:cs="Arial" w:eastAsia="Arial" w:hAnsi="Arial"/>
          <w:sz w:val="18"/>
          <w:szCs w:val="18"/>
          <w:color w:val="auto"/>
        </w:rPr>
        <w:t xml:space="preserve"> below, as well as $178 million of additional premiums paid in connection with the repurchases, (ii) $525 million of repurchases as part of the share and unit repurchase programs, (iii) $312 million of dividends paid to stockholders, and (iv) $112 million in distributions to non-controlling interest. The cash outflows were partially offset by (i) $2.2 billion in proceeds from the March 2021 Notes, (ii) $313 million of borrowings under our and our subsidiaries’ credit facilities, net of repayments and (iii) $22 million in net cash receipts from the early settlement of interest rate swaps and commodity derivative contracts that contained an other-than-insignificant financing element.</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used in financing activities for the year ended December 31, 2020 was primarily attributable to $348 million of repayments, net of borrowings, on our credit facilities, $239 million in aggregate repayments on the Energen Notes and Viper Notes, $236 million in dividends paid to stockholders, $98 million of share repurchases as part of our stock repurchase program, and $93 million in distributions to non-controlling interest. These cash outlays were partially offset by net proceeds of $997 million from the issuance of the May 2020 Notes and the Rattler Notes during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Revolving Credit Facilities and Other Debt Instruments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our debt, including the debt of Viper and Rattler, consists of approximately $6.2 billion in aggregate outstanding principal amount of senior notes, $499 million in aggregate outstanding borrowings under revolving credit facilities and $58 million in outstanding amounts due under our DrillCo Agreement.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2021, we have total principal payments due on our outstanding senior notes, including those of Viper and Rattler, of $45 million in 2022, $1.2 billion cumulatively in the years 2023 through 2024, $2.1 billion cumulatively in the years 2025 and 2026, and $3.4 billion thereafter. Additionally, we expect to incur future cash interest costs on these senior notes of approximately $177 million in 2022, $371 million in the years from 2023 through 2024, $277 million in the years from 2025 through 2026, and $961 million between 2027 and 2051.</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 2021, we entered into a twelfth amendment, or the Amendment, to the Second Amended and Restated Credit Agreement which, among other things, decreased the total revolving loan commitments from $2.0 billion to $1.6 billion, which may be increased in an amount up to $1.0 billion (for a total maximum commitment amount of $2.6 billion) upon election of the Borrower, subject to obtaining additional lender commitments and satisfaction of customary conditions). As of December 31, 2021, we had no outstanding borrowings under our revolving credit facility and $1.6 billion available for future borrowings under the revolving credit facility.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Viper’s Revolving Credit Facility</w:t>
      </w:r>
    </w:p>
    <w:p>
      <w:pPr>
        <w:spacing w:after="0" w:line="252" w:lineRule="exact"/>
        <w:rPr>
          <w:sz w:val="20"/>
          <w:szCs w:val="20"/>
          <w:color w:val="auto"/>
        </w:rPr>
      </w:pPr>
    </w:p>
    <w:p>
      <w:pPr>
        <w:jc w:val="both"/>
        <w:ind w:left="40" w:firstLine="648"/>
        <w:spacing w:after="0" w:line="257" w:lineRule="auto"/>
        <w:rPr>
          <w:sz w:val="20"/>
          <w:szCs w:val="20"/>
          <w:color w:val="auto"/>
        </w:rPr>
      </w:pPr>
      <w:r>
        <w:rPr>
          <w:rFonts w:ascii="Arial" w:cs="Arial" w:eastAsia="Arial" w:hAnsi="Arial"/>
          <w:sz w:val="18"/>
          <w:szCs w:val="18"/>
          <w:color w:val="auto"/>
        </w:rPr>
        <w:t>Viper’s credit agreement, as amended to date, provides for a revolving credit facility in the maximum credit amount of $2.0 billion, with a borrowing base of $580 million as of December 31, 2021, based on the Viper’s oil and natural gas reserves and other factors. At December 31, 2021, Viper had elected a commitment amount of $500 million on its credit agreement with $304 million of outstanding borrowings. During the year ended December 31, 2021, the weighted average interest rate on borrowings under the Operating Company’s revolving credit facility was 2.35%. Viper’s Revolving credit facility matures in 2025.</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Rattler’s Revolving Credit Facility</w:t>
      </w:r>
    </w:p>
    <w:p>
      <w:pPr>
        <w:spacing w:after="0" w:line="252" w:lineRule="exact"/>
        <w:rPr>
          <w:sz w:val="20"/>
          <w:szCs w:val="20"/>
          <w:color w:val="auto"/>
        </w:rPr>
      </w:pPr>
    </w:p>
    <w:p>
      <w:pPr>
        <w:jc w:val="both"/>
        <w:ind w:left="40" w:firstLine="648"/>
        <w:spacing w:after="0" w:line="259" w:lineRule="auto"/>
        <w:rPr>
          <w:sz w:val="20"/>
          <w:szCs w:val="20"/>
          <w:color w:val="auto"/>
        </w:rPr>
      </w:pPr>
      <w:r>
        <w:rPr>
          <w:rFonts w:ascii="Arial" w:cs="Arial" w:eastAsia="Arial" w:hAnsi="Arial"/>
          <w:sz w:val="18"/>
          <w:szCs w:val="18"/>
          <w:color w:val="auto"/>
        </w:rPr>
        <w:t>Rattler’s credit agreement provides for a revolving credit facility in the maximum credit amount of $600 million, which is expandable to $1.0 billion upon its election, subject to obtaining additional lender commitments and satisfaction of customary conditions. As of December 31, 2021, there was $195 million of outstanding borrowings under Rattler’s revolving credit facility. The weighted average interest rate on borrowings under the credit agreement was 1.41% for the year ended December 31, 2021. Rattler’s revolving credit facility matures in 2024.</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2021, we issued an aggregate $2.2 billion of senior notes and redeemed $3.2 billion of senior notes outstanding.</w:t>
      </w:r>
    </w:p>
    <w:p>
      <w:pPr>
        <w:spacing w:after="0" w:line="252"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additional discussion of our outstanding debt as of December 31, 2021, see Note 11—</w:t>
      </w:r>
      <w:hyperlink w:anchor="page108">
        <w:r>
          <w:rPr>
            <w:rFonts w:ascii="Arial" w:cs="Arial" w:eastAsia="Arial" w:hAnsi="Arial"/>
            <w:sz w:val="18"/>
            <w:szCs w:val="18"/>
            <w:u w:val="single" w:color="auto"/>
            <w:color w:val="0000FF"/>
          </w:rPr>
          <w:t>Debt</w:t>
        </w:r>
      </w:hyperlink>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Subject to market conditions, we expect to continue to issue debt securities from time to time in the future to refinance our maturing debt. The availability, interest rate and other terms of any new borrowings will depend on the ratings assigned by credit rating agencies, among other factors.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currently in compliance, and expect to continue to be, with all financial maintenance covenants in our debt instruments.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Ratings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receive debt ratings from the major ratings agencies in the U.S.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Our credit rating from Standard and Poor’s Global Ratings Services is BBB-. Our credit rating from Fitch Investor Services is BBB. Our credit rating from Moody’s Investor Services is Baa3. Any rating downgrades may result in additional letters of credit or cash collateral being posted under certain contractual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 addition to future operating expenses and working capital commitments discussed in </w:t>
      </w:r>
      <w:hyperlink w:anchor="page56">
        <w:r>
          <w:rPr>
            <w:rFonts w:ascii="Arial" w:cs="Arial" w:eastAsia="Arial" w:hAnsi="Arial"/>
            <w:sz w:val="18"/>
            <w:szCs w:val="18"/>
            <w:i w:val="1"/>
            <w:iCs w:val="1"/>
            <w:u w:val="single" w:color="auto"/>
            <w:color w:val="0000FF"/>
          </w:rPr>
          <w:t>—Results of Operations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our primary short and long-term liquidity requirements consist primarily of (i) capital expenditures, (ii) payments of other contractual obligations and (iii) cash commitments for dividends and share repurchases as discussed below.</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upon current oil and natural gas prices and production expectations for 2022, we believe that our cash flow from operations, cash on hand and borrowings under our revolving credit facility will be sufficient to fund our operations through the 12-month period following the filing of this report and thereafter. However, future cash flows are subject to a number of variables, including the level of oil and natural gas production and prices, and significant additional capital expenditures will be required to more fully develop our properties. We cannot assure you that the needed capital will be available on acceptable terms or at all. Further, our 2022 capital expenditure budget does not allocate any funds for leasehold interest and property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Capital Spending Plan</w:t>
      </w:r>
    </w:p>
    <w:p>
      <w:pPr>
        <w:spacing w:after="0" w:line="252" w:lineRule="exact"/>
        <w:rPr>
          <w:sz w:val="20"/>
          <w:szCs w:val="20"/>
          <w:color w:val="auto"/>
        </w:rPr>
      </w:pPr>
    </w:p>
    <w:p>
      <w:pPr>
        <w:ind w:firstLine="284"/>
        <w:spacing w:after="0" w:line="342" w:lineRule="auto"/>
        <w:rPr>
          <w:sz w:val="20"/>
          <w:szCs w:val="20"/>
          <w:color w:val="auto"/>
        </w:rPr>
      </w:pPr>
      <w:r>
        <w:rPr>
          <w:rFonts w:ascii="Arial" w:cs="Arial" w:eastAsia="Arial" w:hAnsi="Arial"/>
          <w:sz w:val="16"/>
          <w:szCs w:val="16"/>
          <w:color w:val="auto"/>
        </w:rPr>
        <w:t>Our board of directors approved a 2022 capital budget for drilling, midstream and infrastructure of $1.75 billion to $1.90 billion maintaining our annualized fourth quarter 2021 cash capital expenditure guidance presented in November of 2021. We estimate that, of these expenditures, approximately:</w:t>
      </w:r>
    </w:p>
    <w:p>
      <w:pPr>
        <w:spacing w:after="0" w:line="151" w:lineRule="exact"/>
        <w:rPr>
          <w:sz w:val="20"/>
          <w:szCs w:val="20"/>
          <w:color w:val="auto"/>
        </w:rPr>
      </w:pPr>
    </w:p>
    <w:p>
      <w:pPr>
        <w:jc w:val="both"/>
        <w:ind w:left="660" w:hanging="328"/>
        <w:spacing w:after="0" w:line="255"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$1.56 billion to $1.67 billion will be spent primarily on drilling 270 to 290 gross (248 to 267 net) horizontal wells and completing 260 to 280 gross (240 to 258 net) horizontal wells across our operated and non-operated leasehold acreage in the Northern Midland and Southern Delaware Basins, with an average lateral length of approximately 10,200 feet;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$80 million to $100 million will be spent on midstream infrastructure, excluding joint venture investments;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$110 million to $130 million will be spent on infrastructure and environmental expenditures, excluding the cost of any leasehold and mineral interest acquisitions.</w:t>
      </w:r>
    </w:p>
    <w:p>
      <w:pPr>
        <w:spacing w:after="0" w:line="21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do not have a specific acquisition budget since the timing and size of acquisitions cannot be accurately forecasted.</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were operating 10 drilling rigs and four completion crews at December 31, 2021 and currently intend to operate between 10 and 12 rigs and between three and four completion crews on average in 2022, as we continue to execute on our strategy to hold oil production flat while using cash flow from operations to reduce debt, strengthen our balance sheet and return capital to our stockholders. We will continue monitoring commodity prices and overall market conditions and can adjust our rig cadence and our capital expenditure budget up or down in response to changes in commodity prices and overall market conditions.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Contractual Obligations and Commitments</w:t>
      </w:r>
    </w:p>
    <w:p>
      <w:pPr>
        <w:spacing w:after="0" w:line="252" w:lineRule="exact"/>
        <w:rPr>
          <w:sz w:val="20"/>
          <w:szCs w:val="20"/>
          <w:color w:val="auto"/>
        </w:rPr>
      </w:pPr>
    </w:p>
    <w:p>
      <w:pPr>
        <w:jc w:val="both"/>
        <w:ind w:firstLine="648"/>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At December 31, 2021, our other significant contractual obligations consist primarily of (i) minimum transportation commitments totaling $878 million, (ii) asset retirement obligations totaling $171 million, and (iii) minimum purchase commitment for quantities of sand used in our drilling operations totaling $77 million. We expect to make aggregate payments of approximately $105 million for these commitments during 2022. See Note 9— </w:t>
      </w:r>
      <w:hyperlink w:anchor="page107">
        <w:r>
          <w:rPr>
            <w:rFonts w:ascii="Arial" w:cs="Arial" w:eastAsia="Arial" w:hAnsi="Arial"/>
            <w:sz w:val="18"/>
            <w:szCs w:val="18"/>
            <w:u w:val="single" w:color="auto"/>
            <w:color w:val="0000FF"/>
          </w:rPr>
          <w:t>Asset Retirement Obligations</w:t>
        </w:r>
        <w:r>
          <w:rPr>
            <w:rFonts w:ascii="Arial" w:cs="Arial" w:eastAsia="Arial" w:hAnsi="Arial"/>
            <w:sz w:val="18"/>
            <w:szCs w:val="18"/>
            <w:color w:val="0000FF"/>
          </w:rPr>
          <w:t xml:space="preserve"> </w:t>
        </w:r>
      </w:hyperlink>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color w:val="000000"/>
        </w:rPr>
        <w:t>Note 18—</w:t>
      </w:r>
      <w:hyperlink w:anchor="page129">
        <w:r>
          <w:rPr>
            <w:rFonts w:ascii="Arial" w:cs="Arial" w:eastAsia="Arial" w:hAnsi="Arial"/>
            <w:sz w:val="18"/>
            <w:szCs w:val="18"/>
            <w:u w:val="single" w:color="auto"/>
            <w:color w:val="0000FF"/>
          </w:rPr>
          <w:t xml:space="preserve">Commitments and Contingencies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further discussion of these and other contractual obligations and</w:t>
      </w:r>
      <w:r>
        <w:rPr>
          <w:rFonts w:ascii="Arial" w:cs="Arial" w:eastAsia="Arial" w:hAnsi="Arial"/>
          <w:sz w:val="18"/>
          <w:szCs w:val="18"/>
          <w:color w:val="0000FF"/>
        </w:rPr>
        <w:t xml:space="preserve"> </w:t>
      </w:r>
      <w:r>
        <w:rPr>
          <w:rFonts w:ascii="Arial" w:cs="Arial" w:eastAsia="Arial" w:hAnsi="Arial"/>
          <w:sz w:val="18"/>
          <w:szCs w:val="18"/>
          <w:color w:val="000000"/>
        </w:rPr>
        <w:t>commitments.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paid common stock dividends of $312 million and $236 million during 2021 and 2020, respectively. On February 18, 2022, our board of directors declared a cash dividend for the fourth quarter of 2021 of $0.60 per share of common stock, payable on March 11, 2022 to our stockholders of record at the close of business on March 4, 2022. The decision to pay any future dividends is solely within the discretion of, and subject to approval by, our board of directors.</w:t>
      </w:r>
    </w:p>
    <w:p>
      <w:pPr>
        <w:spacing w:after="0" w:line="214"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In September 2021, our board of directors approved a stock repurchase program to acquire up to $2 billion of our outstanding common stock. The stock repurchase program has no time limit and may be suspended, modified, or discontinued by the board of directors at any time. We repurchased approximately $431 million of our common stock under this program during the year ended December 31, 2021, and have $1.6 billion remaining for future repurchases under the repurchase program at December 31, 2021 See Note 12—</w:t>
      </w:r>
      <w:hyperlink w:anchor="page114">
        <w:r>
          <w:rPr>
            <w:rFonts w:ascii="Arial" w:cs="Arial" w:eastAsia="Arial" w:hAnsi="Arial"/>
            <w:sz w:val="18"/>
            <w:szCs w:val="18"/>
            <w:u w:val="single" w:color="auto"/>
            <w:color w:val="0000FF"/>
          </w:rPr>
          <w:t>Stockholders' Equity and Earnings Per Share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repurchase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In connection with the merger of certain of the Company’s wholly owned subsidiaries in an internal subsidiary restructuring on June 30, 2021, Diamondback E&amp;P became the successor borrower to Diamondback O&amp;G LLC (“O&amp;G”) under the credit agreement, the successor issuer of Energen’s 7.125% Medium-term Notes, Series B, due February 15, 2028 and Energen’s 7.32% Medium-term Notes, Series A, due July 28, 2022, and the sole guarantor under the indentures governing the December 2019 Notes, the May 2020 Notes, the 2025 Senior Notes and the March 2021 Notes.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Guarantees are “full and unconditional,” as that term is used in Regulation S-X, Rule 3-10(b)(3), except that such guarantees will be released or terminated in certain circumstances set forth in the IG Indenture and the 2025 Indenture,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 The 2025 Indenture was terminated in connection with the early redemption of the remaining $432 million principal amount of our 2025 Senior Notes in the third quarter of 2021.</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E&amp;P’s guarantees of the December 2019 Notes, the May 2020 Notes and the March 2021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of holders of the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0"/>
              </w:rPr>
              <w:t>December 31, 2021</w:t>
            </w:r>
          </w:p>
        </w:tc>
      </w:tr>
      <w:tr>
        <w:trPr>
          <w:trHeight w:val="213"/>
        </w:trPr>
        <w:tc>
          <w:tcPr>
            <w:tcW w:w="9240" w:type="dxa"/>
            <w:vAlign w:val="bottom"/>
            <w:gridSpan w:val="2"/>
          </w:tcPr>
          <w:p>
            <w:pPr>
              <w:ind w:left="20"/>
              <w:spacing w:after="0"/>
              <w:rPr>
                <w:sz w:val="20"/>
                <w:szCs w:val="20"/>
                <w:color w:val="auto"/>
              </w:rPr>
            </w:pPr>
            <w:r>
              <w:rPr>
                <w:rFonts w:ascii="Arial" w:cs="Arial" w:eastAsia="Arial" w:hAnsi="Arial"/>
                <w:sz w:val="16"/>
                <w:szCs w:val="16"/>
                <w:b w:val="1"/>
                <w:bCs w:val="1"/>
                <w:color w:val="auto"/>
              </w:rPr>
              <w:t>Summarized Balance Sheets:</w:t>
            </w:r>
          </w:p>
        </w:tc>
        <w:tc>
          <w:tcPr>
            <w:tcW w:w="220" w:type="dxa"/>
            <w:vAlign w:val="bottom"/>
          </w:tcPr>
          <w:p>
            <w:pPr>
              <w:spacing w:after="0"/>
              <w:rPr>
                <w:sz w:val="18"/>
                <w:szCs w:val="18"/>
                <w:color w:val="auto"/>
              </w:rPr>
            </w:pPr>
          </w:p>
        </w:tc>
        <w:tc>
          <w:tcPr>
            <w:tcW w:w="1780" w:type="dxa"/>
            <w:vAlign w:val="bottom"/>
          </w:tcPr>
          <w:p>
            <w:pPr>
              <w:jc w:val="center"/>
              <w:ind w:right="153"/>
              <w:spacing w:after="0"/>
              <w:rPr>
                <w:sz w:val="20"/>
                <w:szCs w:val="20"/>
                <w:color w:val="auto"/>
              </w:rPr>
            </w:pPr>
            <w:r>
              <w:rPr>
                <w:rFonts w:ascii="Arial" w:cs="Arial" w:eastAsia="Arial" w:hAnsi="Arial"/>
                <w:sz w:val="16"/>
                <w:szCs w:val="16"/>
                <w:b w:val="1"/>
                <w:bCs w:val="1"/>
                <w:color w:val="auto"/>
                <w:w w:val="95"/>
              </w:rPr>
              <w:t>(In millions)</w:t>
            </w:r>
          </w:p>
        </w:tc>
      </w:tr>
      <w:tr>
        <w:trPr>
          <w:trHeight w:val="219"/>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29"/>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r>
      <w:tr>
        <w:trPr>
          <w:trHeight w:val="230"/>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30"/>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Intercompany accounts payable, non-guarantor subsidiary</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30"/>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5,093</w:t>
            </w:r>
          </w:p>
        </w:tc>
      </w:tr>
      <w:tr>
        <w:trPr>
          <w:trHeight w:val="229"/>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527"/>
        </w:trPr>
        <w:tc>
          <w:tcPr>
            <w:tcW w:w="9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r>
      <w:tr>
        <w:trPr>
          <w:trHeight w:val="213"/>
        </w:trPr>
        <w:tc>
          <w:tcPr>
            <w:tcW w:w="9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2021</w:t>
            </w:r>
          </w:p>
        </w:tc>
      </w:tr>
      <w:tr>
        <w:trPr>
          <w:trHeight w:val="210"/>
        </w:trPr>
        <w:tc>
          <w:tcPr>
            <w:tcW w:w="9220" w:type="dxa"/>
            <w:vAlign w:val="bottom"/>
          </w:tcPr>
          <w:p>
            <w:pPr>
              <w:ind w:left="20"/>
              <w:spacing w:after="0"/>
              <w:rPr>
                <w:sz w:val="20"/>
                <w:szCs w:val="20"/>
                <w:color w:val="auto"/>
              </w:rPr>
            </w:pPr>
            <w:r>
              <w:rPr>
                <w:rFonts w:ascii="Arial" w:cs="Arial" w:eastAsia="Arial" w:hAnsi="Arial"/>
                <w:sz w:val="16"/>
                <w:szCs w:val="16"/>
                <w:b w:val="1"/>
                <w:bCs w:val="1"/>
                <w:color w:val="auto"/>
              </w:rPr>
              <w:t>Summarized Statement of Operations: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53"/>
              <w:spacing w:after="0"/>
              <w:rPr>
                <w:sz w:val="20"/>
                <w:szCs w:val="20"/>
                <w:color w:val="auto"/>
              </w:rPr>
            </w:pPr>
            <w:r>
              <w:rPr>
                <w:rFonts w:ascii="Arial" w:cs="Arial" w:eastAsia="Arial" w:hAnsi="Arial"/>
                <w:sz w:val="16"/>
                <w:szCs w:val="16"/>
                <w:b w:val="1"/>
                <w:bCs w:val="1"/>
                <w:color w:val="auto"/>
                <w:w w:val="95"/>
              </w:rPr>
              <w:t>(In millions)</w:t>
            </w:r>
          </w:p>
        </w:tc>
      </w:tr>
      <w:tr>
        <w:trPr>
          <w:trHeight w:val="232"/>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r>
      <w:tr>
        <w:trPr>
          <w:trHeight w:val="230"/>
        </w:trPr>
        <w:tc>
          <w:tcPr>
            <w:tcW w:w="924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jc w:val="right"/>
              <w:ind w:right="55"/>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2,898</w:t>
            </w:r>
          </w:p>
        </w:tc>
      </w:tr>
      <w:tr>
        <w:trPr>
          <w:trHeight w:val="229"/>
        </w:trPr>
        <w:tc>
          <w:tcPr>
            <w:tcW w:w="9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and the reported amounts of revenues and expenses during the reporting period. We evaluate our estimates and assumptions on a regular basis. Critical accounting estimates are those estimates made in accordance with generally accepted accounting principles that involve a significant level of estimation uncertainty and have had or are reasonably likely to have a material impact on the financial condition or results of operations of the registrant. Any effects on our business, financial position or results of operations resulting from revisions to these estimates are recorded in the period in which the facts that give rise to the revision become known.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consider the following to be our most critical accounting estimates and have reviewed these critical accounting estimates with the Audit Committee of our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Accounting and Reserves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our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proved oil and natural gas properties including mineral and royalty interests. As such, we consider the estimation of proved reserves to be a critical accounting estimate.</w:t>
      </w:r>
    </w:p>
    <w:p>
      <w:pPr>
        <w:spacing w:after="0" w:line="215" w:lineRule="exact"/>
        <w:rPr>
          <w:sz w:val="20"/>
          <w:szCs w:val="20"/>
          <w:color w:val="auto"/>
        </w:rPr>
      </w:pPr>
    </w:p>
    <w:p>
      <w:pPr>
        <w:jc w:val="both"/>
        <w:ind w:firstLine="648"/>
        <w:spacing w:after="0" w:line="285" w:lineRule="auto"/>
        <w:rPr>
          <w:rFonts w:ascii="Arial" w:cs="Arial" w:eastAsia="Arial" w:hAnsi="Arial"/>
          <w:sz w:val="16"/>
          <w:szCs w:val="16"/>
          <w:color w:val="auto"/>
        </w:rPr>
      </w:pPr>
      <w:r>
        <w:rPr>
          <w:rFonts w:ascii="Arial" w:cs="Arial" w:eastAsia="Arial" w:hAnsi="Arial"/>
          <w:sz w:val="16"/>
          <w:szCs w:val="16"/>
          <w:color w:val="auto"/>
        </w:rPr>
        <w:t>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Our independent engineers and technical staff prepare our estimates of oil and natural gas reserves and their associated future net cash flows. The process of estimating oil and natural gas reserves is complex, requiring significant decisions in the evaluation of available geological, geophysical, engineering and economic data. Significant inputs included in the calculation of future net cash flows include our estimate of operating and development costs,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depletion of capitalized costs and result in impairment of assets that may be material. Revisions of previous reserve estimates accounted for approximately $719 million, or 6% of the change in the standardized measure of our total reserves from December 31, 2020 to December 31, 2021. No impairments were recorded on for our proved oil and gas properties during the year ended December 31, 2021; however, material impairments were recorded during the years ended December 31, 2020 and 2019 as discussed further in Note 8—</w:t>
      </w:r>
      <w:hyperlink w:anchor="page105">
        <w:r>
          <w:rPr>
            <w:rFonts w:ascii="Arial" w:cs="Arial" w:eastAsia="Arial" w:hAnsi="Arial"/>
            <w:sz w:val="16"/>
            <w:szCs w:val="16"/>
            <w:u w:val="single" w:color="auto"/>
            <w:color w:val="0000FF"/>
          </w:rPr>
          <w:t>Property and Equipment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included elsewhere in this Annual Report. Due to an increase in the historical 12-month average trailing SEC prices for oil and natural throughout 2021 and into 2022, we are not currently projecting a full cost ceiling impairment in the first quarter of 2022.</w:t>
      </w:r>
    </w:p>
    <w:p>
      <w:pPr>
        <w:spacing w:after="0" w:line="2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costs associated with unevaluated properties are excluded from the full cost pool until we have made a determination as to the existence of proved reserves. We assess all items classified as unevaluated property (on an individual basis or as a group if properties are individually insignificant) on an annual basis for possible impairment. This assessment is subjective and includes consideration of the following factors, among others: intent of the operator to drill, remaining lease term with the current operator; geological and geophysical evaluations; drilling results and activity; the assignment of proved reserves; and the economic viability of development if proved reserves are assigned. At December 31, 2021, our unevaluated properties totaled $8 billion, which consisted of 214,151 net undeveloped leasehold acres with approximately 41,855 net acres set to expire in 2022. We did not record any impairment on our unevaluated properties during the year ended December 31, 2021, but any such future impairment could be material to our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Derivatives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use commodity derivatives for the purpose of mitigating the risk resulting from fluctuations in the market price of crude oil and natural gas. We exercise significant judgment in determining the types of instruments to be used, the level of production volumes to include in our commodity derivative contracts, the prices at which we enter into commodity derivative contracts and the counterparties’ creditworthiness. We do not use these instruments for speculative or trading purposes.</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not designated our derivative instruments as hedges for accounting purposes and, as a result, mark our derivative instruments to fair value and recognize the cash and non-cash change in fair value on derivative instruments for each period in the consolidated statements of operations. We are also required to recognize our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and is generally determined using various inputs and assumptions including established index prices and other sources which are based upon, among other things, futures prices, time to maturity, implied volatilities and counterparty credit risk.</w:t>
      </w:r>
    </w:p>
    <w:p>
      <w:pPr>
        <w:spacing w:after="0" w:line="19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These fair values are recorded by netting asset and liability positions, including any deferred premiums, that are with the same counterparty and are subject to contractual terms which provide for net settlement. Changes in the fair values of our commodity derivative instruments have a significant impact on our net income because we follow mark-to-market accounting and recognize all gains and losses on such instruments in earnings in the period in which they occur.</w:t>
      </w:r>
    </w:p>
    <w:p>
      <w:pPr>
        <w:spacing w:after="0" w:line="214" w:lineRule="exact"/>
        <w:rPr>
          <w:sz w:val="20"/>
          <w:szCs w:val="20"/>
          <w:color w:val="auto"/>
        </w:rPr>
      </w:pPr>
    </w:p>
    <w:p>
      <w:pPr>
        <w:jc w:val="both"/>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70">
        <w:r>
          <w:rPr>
            <w:rFonts w:ascii="Arial" w:cs="Arial" w:eastAsia="Arial" w:hAnsi="Arial"/>
            <w:sz w:val="18"/>
            <w:szCs w:val="18"/>
            <w:u w:val="single" w:color="auto"/>
            <w:color w:val="0000FF"/>
          </w:rPr>
          <w:t>Item 7A. Quantitative and Qualitative Disclosures About Market Risk—Commodity Price Risk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sensitivity analysis of our open derivative positions at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account for business combinations using the acquisition method of accounting. Accordingly, identifiable assets acquired and liabilities assumed are recognized at the date of acquisition at their respective estimated fair values.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various assumptions in estimating the fair values of assets acquired and liabilities assumed. Fair value estimates are determined based on information that existed at the time of the acquisition, utilizing expectations and assumptions that would be available to and made by a market participant. When market-observable prices are not available to value assets and liabilities, the Company may use the cost, income, or market valuation approaches depending on the quality of information available to support management’s assumptions.</w:t>
      </w:r>
    </w:p>
    <w:p>
      <w:pPr>
        <w:spacing w:after="0" w:line="214" w:lineRule="exact"/>
        <w:rPr>
          <w:sz w:val="20"/>
          <w:szCs w:val="20"/>
          <w:color w:val="auto"/>
        </w:rPr>
      </w:pPr>
    </w:p>
    <w:p>
      <w:pPr>
        <w:jc w:val="both"/>
        <w:ind w:firstLine="648"/>
        <w:spacing w:after="0" w:line="269" w:lineRule="auto"/>
        <w:rPr>
          <w:rFonts w:ascii="Arial" w:cs="Arial" w:eastAsia="Arial" w:hAnsi="Arial"/>
          <w:sz w:val="17"/>
          <w:szCs w:val="17"/>
          <w:color w:val="auto"/>
        </w:rPr>
      </w:pPr>
      <w:r>
        <w:rPr>
          <w:rFonts w:ascii="Arial" w:cs="Arial" w:eastAsia="Arial" w:hAnsi="Arial"/>
          <w:sz w:val="17"/>
          <w:szCs w:val="17"/>
          <w:color w:val="auto"/>
        </w:rPr>
        <w:t>The most significant assumptions relate to the estimated fair values assigned to proved and unproved oil and natural gas properties. The assumptions made in performing these valuations include future production volumes, future commodity prices and costs, future operating and development activities, projections of oil and gas reserves and a weighted average cost of capital rate. The market-based weighted average cost of capital rate is subjected to additional project-specific risking factors. In addition, when appropriate, we review comparable purchases and sales of natural gas and oil properties within the same regions, and use that data as a proxy for fair market value; for example, the amount a willing buyer and seller would enter into in exchange for such properties. Changes in key assumptions may cause the acquisition accounting to be revised, including the recognition of additional goodwill or discount on acquisition. There is no assurance the underlying assumptions or estimates associated with the valuation will occur as initially expected. See Note 4—</w:t>
      </w:r>
      <w:hyperlink w:anchor="page98">
        <w:r>
          <w:rPr>
            <w:rFonts w:ascii="Arial" w:cs="Arial" w:eastAsia="Arial" w:hAnsi="Arial"/>
            <w:sz w:val="17"/>
            <w:szCs w:val="17"/>
            <w:u w:val="single" w:color="auto"/>
            <w:color w:val="0000FF"/>
          </w:rPr>
          <w:t>Acquisitions and Divestitures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elsewhere in this Annual Report for further discussion of the estimated fair value of assets acquired and liabilities assumed in the QEP Merger and Guidon Acquisition, including any significant changes in these estimates from the date of acquisition.</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Estimated fair values assigned to assets acquired can have a significant effect on results of operations in the future. In addition, differences between the future commodity prices when acquiring assets and the historical 12-month average trailing price to calculate ceiling test impairments of upstream assets may impact net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amount of income taxes we record requires interpretations of complex rules and regulations of federal, state, and provincial tax jurisdictions. We use the asset and liability method of accounting for income taxes, under which deferred tax assets and liabilities are recognized for the future tax consequences of (1) temporary differences between the financial statement carrying amounts and the tax bases of existing assets and liabilities and (2) operating loss and tax credit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17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assessment of the realizability of our deferred tax assets, including the assessment of whether a valuation allowance is required, entails that we make estimates of, and assumptions about, future events, including the pattern of reversal of taxable temporary differences and our future income from operations. As of December 31, 2021, we had established a total valuation allowance of $315 million, including a valuation allowance for the full amount of Viper’s deferred tax assets. The valuation allowance remains in place based on the uncertainty of future events, including Viper’s ability to generate future taxable income in excess of special allocations to be made to Diamondback, and management considered this and other factors in evaluating the realizability of Viper’s deferred tax assets. No such valuation allowance was determined to be necessary against Rattler’s deferred tax assets as of December 31, 2021 based on the relative predictability of its future income stream based on its long term customer contracts. Any changes in the positive or negative evidence evaluated when determining if Viper’s or Rattler’s deferred tax assets will be realized, including projected future income, could result in a material change to our consolidated financial statements. In addition, the determination to record a valuation allowance on certain tax attributes acquired from QEP and certain state NOL carryforwards which the Company does not believe are realizable prior to expiration was based on an evaluation of available positive and negative evidence, including the annual limitation imposed by IRC Section 382 subsequent to an ownership change and the anticipated timing of reversal of the Company’s deferred tax liabilities in the applicable jurisdictions. As of December 31, 2021, although the Company’s recent cumulative losses represent negative evidence regarding reliance on future taxable income exclusive of reversing temporary differences, our balance of taxable temporary differences anticipated to reverse within the carryforward period provides significant positive evidence for the determination that our remaining deferred tax assets are more likely than not to be realized. Any change in the positive or negative evidence evaluated when determining if our deferred tax assets will be realized, including projected future taxable income primarily related to the excess of book carrying value over tax basis of our oil and natural gas properties, could result in a material change to our consolidated financial statements.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accruals for deferred tax assets and liabilities are often based on uncertain tax positions and assumptions that are subject to a significant amount of judgment by management. These assumptions and judgments are reviewed and adjusted as facts and circumstances change. At December 31, 2021, our uncertain tax positions were insignificant, however, material changes to our income tax accruals may occur in the future based on the progress of ongoing audits, changes in legislation or resolution of pending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See Note 2—</w:t>
      </w:r>
      <w:hyperlink w:anchor="page90">
        <w:r>
          <w:rPr>
            <w:rFonts w:ascii="Arial" w:cs="Arial" w:eastAsia="Arial" w:hAnsi="Arial"/>
            <w:sz w:val="18"/>
            <w:szCs w:val="18"/>
            <w:u w:val="single" w:color="auto"/>
            <w:color w:val="0000FF"/>
          </w:rPr>
          <w:t>Summary of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notes to the consolidated financial statements included elsewhere in this Annual Report for recent accounting pronouncements and accounting policies not yet adopted, if 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342" w:lineRule="auto"/>
        <w:rPr>
          <w:rFonts w:ascii="Arial" w:cs="Arial" w:eastAsia="Arial" w:hAnsi="Arial"/>
          <w:sz w:val="16"/>
          <w:szCs w:val="16"/>
          <w:color w:val="auto"/>
        </w:rPr>
      </w:pPr>
      <w:r>
        <w:rPr>
          <w:rFonts w:ascii="Arial" w:cs="Arial" w:eastAsia="Arial" w:hAnsi="Arial"/>
          <w:sz w:val="16"/>
          <w:szCs w:val="16"/>
          <w:color w:val="auto"/>
        </w:rPr>
        <w:t>Please read Note 18—</w:t>
      </w:r>
      <w:hyperlink w:anchor="page129">
        <w:r>
          <w:rPr>
            <w:rFonts w:ascii="Arial" w:cs="Arial" w:eastAsia="Arial" w:hAnsi="Arial"/>
            <w:sz w:val="16"/>
            <w:szCs w:val="16"/>
            <w:u w:val="single" w:color="auto"/>
            <w:color w:val="0000FF"/>
          </w:rPr>
          <w:t>Commitments and Contingencies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included in notes to the consolidated financial statements included elsewhere in this Form 10-K for a discussion of our commitments and contingencies, some of which are not recognized in the consolidated balance sheets under GAAP.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substantially due to rising energy use, easing of the COVID-19 pandemic restrictions, availability of treatments and vaccines in the U.S. and globally and improvements in the U.S. and global economic activity, we cannot predict events that may lead to future commodity price volatility. Further, the prices we receive for production depend on many other factors outside of our control.</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derivatives, including swaps, basis swaps, swaptions, roll hedges, costless collars, puts and basis puts, to reduce price volatility associated with certain of our oil and natural gas sales.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December 31, 2021, we had a net liability derivative position of $168 million related to our commodity price derivatives. Utilizing actual derivative contractual volumes under our commodity price derivatives as of December 31, 2021, a 10% increase in forward curves associated with the underlying commodity would have increased the net liability position by $149 million to $317 million, while a 10% decrease in forward curves associated with the underlying commodity would have reduced the net liability derivative position by $117 million to $51 million. However, any cash derivative gain or loss would be substantially offset by a decrease or increase, respectively, in the actual sales value of production covered by the derivative instrument.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 in production due to persistently low commodity prices or for any other reason, our revenue in the midstream operations segment could decrease, as Rattler’s commercial agreements do not contain minimum volume commitments.</w:t>
      </w:r>
    </w:p>
    <w:p>
      <w:pPr>
        <w:spacing w:after="0" w:line="215"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additional information on our open commodity derivative instruments at December 31, 2021, see Note 15—</w:t>
      </w:r>
      <w:hyperlink w:anchor="page123">
        <w:r>
          <w:rPr>
            <w:rFonts w:ascii="Arial" w:cs="Arial" w:eastAsia="Arial" w:hAnsi="Arial"/>
            <w:sz w:val="18"/>
            <w:szCs w:val="18"/>
            <w:u w:val="single" w:color="auto"/>
            <w:color w:val="0000FF"/>
          </w:rPr>
          <w:t>Derivatives</w:t>
        </w:r>
      </w:hyperlink>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exposures to credit risk are due to the concentration of receivables from the sale of our oil and natural gas production (approximately $598 million at December 31, 2021), and to a lesser extent, receivables resulting from joint interest receivables (approximately $72 million at December 31, 2021).</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We are subject to market risk exposure related to changes in interest rates on our indebtedness under our revolving credit facilities and changes in the fair value of our fixed-rate debt. The terms of our credit agreement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1.125% per annum in the case of the alternative base rate and from 1.25% to 2.125% per annum in the case of LIBOR, in each case based on the pricing level. The pricing level depends on certain rating agencies’ ratings of our long-term senior unsecure debt. We believe significant interest rate changes would not have a material near-term impact on our future earnings or cash flows. For additional information on our variable interest rate debt at December 31, 2021, see Note 11—</w:t>
      </w:r>
      <w:hyperlink w:anchor="page108">
        <w:r>
          <w:rPr>
            <w:rFonts w:ascii="Arial" w:cs="Arial" w:eastAsia="Arial" w:hAnsi="Arial"/>
            <w:sz w:val="17"/>
            <w:szCs w:val="17"/>
            <w:u w:val="single" w:color="auto"/>
            <w:color w:val="0000FF"/>
          </w:rPr>
          <w:t>Debt</w:t>
        </w:r>
      </w:hyperlink>
      <w:r>
        <w:rPr>
          <w:rFonts w:ascii="Arial" w:cs="Arial" w:eastAsia="Arial" w:hAnsi="Arial"/>
          <w:sz w:val="17"/>
          <w:szCs w:val="17"/>
          <w:color w:val="auto"/>
        </w:rPr>
        <w:t>.</w:t>
      </w:r>
    </w:p>
    <w:p>
      <w:pPr>
        <w:spacing w:after="0" w:line="204" w:lineRule="exact"/>
        <w:rPr>
          <w:sz w:val="20"/>
          <w:szCs w:val="20"/>
          <w:color w:val="auto"/>
        </w:rPr>
      </w:pPr>
    </w:p>
    <w:p>
      <w:pPr>
        <w:jc w:val="both"/>
        <w:ind w:firstLine="648"/>
        <w:spacing w:after="0" w:line="255" w:lineRule="auto"/>
        <w:rPr>
          <w:rFonts w:ascii="Arial" w:cs="Arial" w:eastAsia="Arial" w:hAnsi="Arial"/>
          <w:sz w:val="18"/>
          <w:szCs w:val="18"/>
          <w:color w:val="auto"/>
        </w:rPr>
      </w:pPr>
      <w:r>
        <w:rPr>
          <w:rFonts w:ascii="Arial" w:cs="Arial" w:eastAsia="Arial" w:hAnsi="Arial"/>
          <w:sz w:val="18"/>
          <w:szCs w:val="18"/>
          <w:color w:val="auto"/>
        </w:rPr>
        <w:t>Historically, we have at times used interest rate swaps and treasury locks to reduce our exposure to variable rate interest payments associated with our revolving credit facility and changes in the fair value of our fixed-rate debt. At December 31, 2021, we have interest rate swap agreements for a notional amount of $1.2 billion to manage the impact of market interest rates on the fair value of our fixed-rate debt. These interest rate swaps have been designated as fair value hedges of the Company’s $1.2 billion 3.50% fixed rate senior notes due 2029 whereby we will receive the fixed rate of interest and will pay an average variable rate of interest based on three month LIBOR plus 2.1865%. For additional information on our interest rate swaps, see Note 15 —</w:t>
      </w:r>
      <w:hyperlink w:anchor="page123">
        <w:r>
          <w:rPr>
            <w:rFonts w:ascii="Arial" w:cs="Arial" w:eastAsia="Arial" w:hAnsi="Arial"/>
            <w:sz w:val="18"/>
            <w:szCs w:val="18"/>
            <w:u w:val="single" w:color="auto"/>
            <w:color w:val="0000FF"/>
          </w:rPr>
          <w:t>Derivatives</w:t>
        </w:r>
      </w:hyperlink>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2021,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2021, our disclosure controls and procedures are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July 2021, we implemented an enterprise resource planning system covering various financial and accounting processes. As a result of this implementation, certain internal controls over financial reporting have been automated, modified or implemented to address the new environment associated with the implementation of this system. We believe we have maintained appropriate internal control over financial reporting during the implementation and believe this new system will strengthen our internal control system. However, there are inherent risks in implementing any new system, and we will continue to evaluate these control changes as part of our assessment of internal control over financial reporting. There have not been any changes in our internal control over financial reporting that occurred during the quarter ended December 31, 2021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2021.</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Grant Thornton LLP, the independent registered public accounting firm that audited the consolidated financial statements of the Company included in this Annual Report on Form 10-K, has issued their report on the effectiveness of the Company’s internal control over financial reporting at December 31, 2021. The report, which expresses an unqualified opinion on the effectiveness of the Company’s internal control over financial reporting at December 31, 2021, is included in this Item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Diamondback Energy, Inc. (a Delaware corporation) and subsidiaries (the “Company”) as of December 31, 2021,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2021, and our report dated February 24, 2022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Effective February 21, 2022, our board of directors promoted Kaes Van’t Hof, then our Chief Financial Officer and Executive Vice President— Business Development to the role of our President. In addition to his role as our President, Mr. Van’t Hof will continue to serve as our Chief Financial Officer. Also, effective February 21, 2022, our board of directors promoted Daniel N. Wesson, then our Executive Vice President—Operations, to the role of our Chief Operating Officer. In addition to his role as our Chief Operating Officer, Mr. Wesson will continue to serve as our Executive Vice President.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Mr. Van’t Hof’s and Mr. Wesson’s full biographies and, to the extent applicable, the information required by Item 404(a) of Regulation S-K, are included in our definitive proxy statement on Schedule 14A, filed by us with the SEC on April 23, 2021, which we refer to as our 2021 proxy statement. Each of Mr. Van’t Hof and Mr. Wesson was named as our named executive officer in our 2021 proxy statement.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these promotions, the compensation committee of our board of directors approved increases in Mr. Van’t Hof’s and Mr. Wesson’s annual base salaries to $625,000 and $560,000, respectively. In addition, the compensation committee also approved annual long-term equity incentive compensation awards with an intended grant date value of $3,750,000 for Mr. Van’t Hof and $2,250,000 for Mr. Wesson to be granted under our equity incentive plan and represented by a combination of performance-based and time-based restricted stock units, vesting over applicable performance or service periods.</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executives will continue to participate in our annual executive cash incentive plan, which provides an opportunity to receive an annual bonus payable in a single lump sum, based on a target percentage of these executives’ respective annual base salaries and such performance goals and criteria as determined in the discretion of the compensation committee of our board of directors, as well as in other employee benefit plans generally available to similarly situated employees, as in effect from time to time, a description of which is included in our 2021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10 will be set forth in our definitive proxy statement, which is to be filed pursuant to Regulation 14A with the SEC within 120 days after the close of the year ended December 31, 2021.</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The Company also has made the Code of Business Conduct and Ethics available on our website under the “Corporate Governance” section at http://ir.diamondbackenergy.com. We intend to satisfy the disclosure requirements under Item 5.05 of Form 8-K regarding an amendment to, or waiver from, a provision of the Code of Business Conduct and Ethics by posting such information on our website at the address specified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11 will be set forth in our definitive proxy statement, which is to be filed pursuant to Regulation 14A with the SEC within 120 days after the close of the year ended December 31, 2021.</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12 will be set forth in our definitive proxy statement, which is to be filed pursuant to Regulation 14A with the SEC within 120 days after the close of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13 will be set forth in our definitive proxy statement, which is to be filed pursuant to Regulation 14A with the SEC within 120 days after the close of the year ended December 31, 2021.</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Information as to Item 14 will be set forth in our definitive proxy statement, which is to be filed pursuant to Regulation 14A with the SEC within 120 days after the close of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54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8"/>
        </w:trPr>
        <w:tc>
          <w:tcPr>
            <w:tcW w:w="5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8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rPr>
              <w:t>PART IV</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10700" w:type="dxa"/>
            <w:vAlign w:val="bottom"/>
            <w:gridSpan w:val="25"/>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10700" w:type="dxa"/>
            <w:vAlign w:val="bottom"/>
            <w:gridSpan w:val="25"/>
          </w:tcPr>
          <w:p>
            <w:pPr>
              <w:ind w:left="20"/>
              <w:spacing w:after="0"/>
              <w:rPr>
                <w:sz w:val="20"/>
                <w:szCs w:val="20"/>
                <w:color w:val="auto"/>
              </w:rPr>
            </w:pPr>
            <w:r>
              <w:rPr>
                <w:rFonts w:ascii="Arial" w:cs="Arial" w:eastAsia="Arial" w:hAnsi="Arial"/>
                <w:sz w:val="18"/>
                <w:szCs w:val="18"/>
                <w:color w:val="auto"/>
              </w:rPr>
              <w:t>(a)  Documents included in this report: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700" w:type="dxa"/>
            <w:vAlign w:val="bottom"/>
            <w:gridSpan w:val="25"/>
            <w:shd w:val="clear" w:color="auto" w:fill="CCEEFF"/>
          </w:tcPr>
          <w:p>
            <w:pPr>
              <w:ind w:left="420"/>
              <w:spacing w:after="0"/>
              <w:rPr>
                <w:sz w:val="20"/>
                <w:szCs w:val="20"/>
                <w:color w:val="auto"/>
              </w:rPr>
            </w:pPr>
            <w:r>
              <w:rPr>
                <w:rFonts w:ascii="Arial" w:cs="Arial" w:eastAsia="Arial" w:hAnsi="Arial"/>
                <w:sz w:val="18"/>
                <w:szCs w:val="18"/>
                <w:i w:val="1"/>
                <w:iCs w:val="1"/>
                <w:color w:val="auto"/>
              </w:rPr>
              <w:t>1. Financial Statements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40" w:type="dxa"/>
            <w:vAlign w:val="bottom"/>
          </w:tcPr>
          <w:p>
            <w:pPr>
              <w:spacing w:after="0"/>
              <w:rPr>
                <w:sz w:val="16"/>
                <w:szCs w:val="16"/>
                <w:color w:val="auto"/>
              </w:rPr>
            </w:pPr>
          </w:p>
        </w:tc>
        <w:tc>
          <w:tcPr>
            <w:tcW w:w="10160" w:type="dxa"/>
            <w:vAlign w:val="bottom"/>
            <w:gridSpan w:val="24"/>
          </w:tcPr>
          <w:p>
            <w:pPr>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 xml:space="preserve">Report of Independent Registered Public Accounting Firm (PCAOB ID Number </w:t>
              </w:r>
            </w:hyperlink>
            <w:r>
              <w:rPr>
                <w:rFonts w:ascii="Arial" w:cs="Arial" w:eastAsia="Arial" w:hAnsi="Arial"/>
                <w:sz w:val="18"/>
                <w:szCs w:val="18"/>
                <w:color w:val="661DE8"/>
              </w:rPr>
              <w:t>248)</w:t>
            </w:r>
          </w:p>
        </w:tc>
        <w:tc>
          <w:tcPr>
            <w:tcW w:w="660" w:type="dxa"/>
            <w:vAlign w:val="bottom"/>
            <w:gridSpan w:val="13"/>
          </w:tcPr>
          <w:p>
            <w:pPr>
              <w:spacing w:after="0" w:line="189" w:lineRule="exact"/>
              <w:rPr>
                <w:rFonts w:ascii="Arial" w:cs="Arial" w:eastAsia="Arial" w:hAnsi="Arial"/>
                <w:sz w:val="18"/>
                <w:szCs w:val="18"/>
                <w:color w:val="0000FF"/>
              </w:rPr>
            </w:pPr>
            <w:r>
              <w:rPr>
                <w:rFonts w:ascii="Arial" w:cs="Arial" w:eastAsia="Arial" w:hAnsi="Arial"/>
                <w:sz w:val="18"/>
                <w:szCs w:val="18"/>
                <w:color w:val="0000FF"/>
              </w:rPr>
              <w:t>F-</w:t>
            </w:r>
            <w:hyperlink w:anchor="page82">
              <w:r>
                <w:rPr>
                  <w:rFonts w:ascii="Arial" w:cs="Arial" w:eastAsia="Arial" w:hAnsi="Arial"/>
                  <w:sz w:val="18"/>
                  <w:szCs w:val="18"/>
                  <w:color w:val="0000FF"/>
                </w:rPr>
                <w:t>1</w:t>
              </w:r>
            </w:hyperlink>
          </w:p>
        </w:tc>
      </w:tr>
      <w:tr>
        <w:trPr>
          <w:trHeight w:val="21"/>
        </w:trPr>
        <w:tc>
          <w:tcPr>
            <w:tcW w:w="54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661DE8"/>
            </w:tcBorders>
          </w:tcPr>
          <w:p>
            <w:pPr>
              <w:spacing w:after="0" w:line="20" w:lineRule="exact"/>
              <w:rPr>
                <w:sz w:val="1"/>
                <w:szCs w:val="1"/>
                <w:color w:val="auto"/>
              </w:rPr>
            </w:pPr>
          </w:p>
        </w:tc>
        <w:tc>
          <w:tcPr>
            <w:tcW w:w="120" w:type="dxa"/>
            <w:vAlign w:val="bottom"/>
            <w:tcBorders>
              <w:top w:val="single" w:sz="8" w:color="661DE8"/>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40" w:type="dxa"/>
            <w:vAlign w:val="bottom"/>
            <w:shd w:val="clear" w:color="auto" w:fill="CCEEFF"/>
          </w:tcPr>
          <w:p>
            <w:pPr>
              <w:spacing w:after="0"/>
              <w:rPr>
                <w:sz w:val="16"/>
                <w:szCs w:val="16"/>
                <w:color w:val="auto"/>
              </w:rPr>
            </w:pPr>
          </w:p>
        </w:tc>
        <w:tc>
          <w:tcPr>
            <w:tcW w:w="10160" w:type="dxa"/>
            <w:vAlign w:val="bottom"/>
            <w:gridSpan w:val="24"/>
            <w:shd w:val="clear" w:color="auto" w:fill="CCEEFF"/>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Consolidated Balance Sheets</w:t>
              </w:r>
            </w:hyperlink>
          </w:p>
        </w:tc>
        <w:tc>
          <w:tcPr>
            <w:tcW w:w="660" w:type="dxa"/>
            <w:vAlign w:val="bottom"/>
            <w:gridSpan w:val="13"/>
            <w:shd w:val="clear" w:color="auto" w:fill="CCEEFF"/>
          </w:tcPr>
          <w:p>
            <w:pPr>
              <w:spacing w:after="0" w:line="189" w:lineRule="exact"/>
              <w:rPr>
                <w:rFonts w:ascii="Arial" w:cs="Arial" w:eastAsia="Arial" w:hAnsi="Arial"/>
                <w:sz w:val="18"/>
                <w:szCs w:val="18"/>
                <w:color w:val="0000FF"/>
              </w:rPr>
            </w:pPr>
            <w:r>
              <w:rPr>
                <w:rFonts w:ascii="Arial" w:cs="Arial" w:eastAsia="Arial" w:hAnsi="Arial"/>
                <w:sz w:val="18"/>
                <w:szCs w:val="18"/>
                <w:color w:val="0000FF"/>
              </w:rPr>
              <w:t>F-</w:t>
            </w:r>
            <w:hyperlink w:anchor="page86">
              <w:r>
                <w:rPr>
                  <w:rFonts w:ascii="Arial" w:cs="Arial" w:eastAsia="Arial" w:hAnsi="Arial"/>
                  <w:sz w:val="18"/>
                  <w:szCs w:val="18"/>
                  <w:color w:val="0000FF"/>
                </w:rPr>
                <w:t>4</w:t>
              </w:r>
            </w:hyperlink>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40" w:type="dxa"/>
            <w:vAlign w:val="bottom"/>
          </w:tcPr>
          <w:p>
            <w:pPr>
              <w:spacing w:after="0"/>
              <w:rPr>
                <w:sz w:val="16"/>
                <w:szCs w:val="16"/>
                <w:color w:val="auto"/>
              </w:rPr>
            </w:pPr>
          </w:p>
        </w:tc>
        <w:tc>
          <w:tcPr>
            <w:tcW w:w="10160" w:type="dxa"/>
            <w:vAlign w:val="bottom"/>
            <w:gridSpan w:val="24"/>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Consolidated Statements of Operations</w:t>
              </w:r>
            </w:hyperlink>
          </w:p>
        </w:tc>
        <w:tc>
          <w:tcPr>
            <w:tcW w:w="660" w:type="dxa"/>
            <w:vAlign w:val="bottom"/>
            <w:gridSpan w:val="13"/>
          </w:tcPr>
          <w:p>
            <w:pPr>
              <w:spacing w:after="0" w:line="189" w:lineRule="exact"/>
              <w:rPr>
                <w:rFonts w:ascii="Arial" w:cs="Arial" w:eastAsia="Arial" w:hAnsi="Arial"/>
                <w:sz w:val="18"/>
                <w:szCs w:val="18"/>
                <w:color w:val="0000FF"/>
              </w:rPr>
            </w:pPr>
            <w:r>
              <w:rPr>
                <w:rFonts w:ascii="Arial" w:cs="Arial" w:eastAsia="Arial" w:hAnsi="Arial"/>
                <w:sz w:val="18"/>
                <w:szCs w:val="18"/>
                <w:color w:val="0000FF"/>
              </w:rPr>
              <w:t>F-</w:t>
            </w:r>
            <w:hyperlink w:anchor="page86">
              <w:r>
                <w:rPr>
                  <w:rFonts w:ascii="Arial" w:cs="Arial" w:eastAsia="Arial" w:hAnsi="Arial"/>
                  <w:sz w:val="18"/>
                  <w:szCs w:val="18"/>
                  <w:color w:val="0000FF"/>
                </w:rPr>
                <w:t>5</w:t>
              </w:r>
            </w:hyperlink>
          </w:p>
        </w:tc>
      </w:tr>
      <w:tr>
        <w:trPr>
          <w:trHeight w:val="20"/>
        </w:trPr>
        <w:tc>
          <w:tcPr>
            <w:tcW w:w="54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0" w:type="dxa"/>
            <w:vAlign w:val="bottom"/>
            <w:shd w:val="clear" w:color="auto" w:fill="CCEEFF"/>
          </w:tcPr>
          <w:p>
            <w:pPr>
              <w:spacing w:after="0"/>
              <w:rPr>
                <w:sz w:val="18"/>
                <w:szCs w:val="18"/>
                <w:color w:val="auto"/>
              </w:rPr>
            </w:pPr>
          </w:p>
        </w:tc>
        <w:tc>
          <w:tcPr>
            <w:tcW w:w="10160" w:type="dxa"/>
            <w:vAlign w:val="bottom"/>
            <w:gridSpan w:val="24"/>
            <w:shd w:val="clear" w:color="auto" w:fill="CCEEFF"/>
          </w:tcPr>
          <w:p>
            <w:pPr>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Consolidated Statement of Stockholders' Equity</w:t>
              </w:r>
            </w:hyperlink>
          </w:p>
        </w:tc>
        <w:tc>
          <w:tcPr>
            <w:tcW w:w="660" w:type="dxa"/>
            <w:vAlign w:val="bottom"/>
            <w:gridSpan w:val="13"/>
            <w:shd w:val="clear" w:color="auto" w:fill="CCEEFF"/>
          </w:tcPr>
          <w:p>
            <w:pPr>
              <w:spacing w:after="0" w:line="189" w:lineRule="exact"/>
              <w:rPr>
                <w:rFonts w:ascii="Arial" w:cs="Arial" w:eastAsia="Arial" w:hAnsi="Arial"/>
                <w:sz w:val="18"/>
                <w:szCs w:val="18"/>
                <w:color w:val="0000FF"/>
              </w:rPr>
            </w:pPr>
            <w:r>
              <w:rPr>
                <w:rFonts w:ascii="Arial" w:cs="Arial" w:eastAsia="Arial" w:hAnsi="Arial"/>
                <w:sz w:val="18"/>
                <w:szCs w:val="18"/>
                <w:color w:val="0000FF"/>
              </w:rPr>
              <w:t>F-</w:t>
            </w:r>
            <w:hyperlink w:anchor="page87">
              <w:r>
                <w:rPr>
                  <w:rFonts w:ascii="Arial" w:cs="Arial" w:eastAsia="Arial" w:hAnsi="Arial"/>
                  <w:sz w:val="18"/>
                  <w:szCs w:val="18"/>
                  <w:color w:val="0000FF"/>
                </w:rPr>
                <w:t>6</w:t>
              </w:r>
            </w:hyperlink>
          </w:p>
        </w:tc>
      </w:tr>
      <w:tr>
        <w:trPr>
          <w:trHeight w:val="189"/>
        </w:trPr>
        <w:tc>
          <w:tcPr>
            <w:tcW w:w="540" w:type="dxa"/>
            <w:vAlign w:val="bottom"/>
            <w:tcBorders>
              <w:top w:val="single" w:sz="8" w:color="CCEEFF"/>
            </w:tcBorders>
          </w:tcPr>
          <w:p>
            <w:pPr>
              <w:spacing w:after="0"/>
              <w:rPr>
                <w:sz w:val="16"/>
                <w:szCs w:val="16"/>
                <w:color w:val="auto"/>
              </w:rPr>
            </w:pPr>
          </w:p>
        </w:tc>
        <w:tc>
          <w:tcPr>
            <w:tcW w:w="3440" w:type="dxa"/>
            <w:vAlign w:val="bottom"/>
            <w:tcBorders>
              <w:top w:val="single" w:sz="8" w:color="0000FF"/>
            </w:tcBorders>
            <w:gridSpan w:val="11"/>
          </w:tcPr>
          <w:p>
            <w:pPr>
              <w:spacing w:after="0" w:line="189" w:lineRule="exact"/>
              <w:rPr>
                <w:rFonts w:ascii="Arial" w:cs="Arial" w:eastAsia="Arial" w:hAnsi="Arial"/>
                <w:sz w:val="18"/>
                <w:szCs w:val="18"/>
                <w:color w:val="0000FF"/>
              </w:rPr>
            </w:pPr>
            <w:hyperlink w:anchor="page88">
              <w:r>
                <w:rPr>
                  <w:rFonts w:ascii="Arial" w:cs="Arial" w:eastAsia="Arial" w:hAnsi="Arial"/>
                  <w:sz w:val="18"/>
                  <w:szCs w:val="18"/>
                  <w:color w:val="0000FF"/>
                </w:rPr>
                <w:t>Consolidated Statements of Cash Flows</w:t>
              </w:r>
            </w:hyperlink>
          </w:p>
        </w:tc>
        <w:tc>
          <w:tcPr>
            <w:tcW w:w="6720" w:type="dxa"/>
            <w:vAlign w:val="bottom"/>
            <w:tcBorders>
              <w:top w:val="single" w:sz="8" w:color="CCEEFF"/>
            </w:tcBorders>
            <w:gridSpan w:val="13"/>
          </w:tcPr>
          <w:p>
            <w:pPr>
              <w:spacing w:after="0"/>
              <w:rPr>
                <w:sz w:val="16"/>
                <w:szCs w:val="16"/>
                <w:color w:val="auto"/>
              </w:rPr>
            </w:pPr>
          </w:p>
        </w:tc>
        <w:tc>
          <w:tcPr>
            <w:tcW w:w="260" w:type="dxa"/>
            <w:vAlign w:val="bottom"/>
            <w:tcBorders>
              <w:top w:val="single" w:sz="8" w:color="0000FF"/>
            </w:tcBorders>
          </w:tcPr>
          <w:p>
            <w:pPr>
              <w:spacing w:after="0" w:line="189" w:lineRule="exact"/>
              <w:rPr>
                <w:rFonts w:ascii="Arial" w:cs="Arial" w:eastAsia="Arial" w:hAnsi="Arial"/>
                <w:sz w:val="18"/>
                <w:szCs w:val="18"/>
                <w:color w:val="0000FF"/>
                <w:w w:val="88"/>
              </w:rPr>
            </w:pPr>
            <w:r>
              <w:rPr>
                <w:rFonts w:ascii="Arial" w:cs="Arial" w:eastAsia="Arial" w:hAnsi="Arial"/>
                <w:sz w:val="18"/>
                <w:szCs w:val="18"/>
                <w:color w:val="0000FF"/>
                <w:w w:val="88"/>
              </w:rPr>
              <w:t>F-</w:t>
            </w:r>
            <w:hyperlink w:anchor="page88">
              <w:r>
                <w:rPr>
                  <w:rFonts w:ascii="Arial" w:cs="Arial" w:eastAsia="Arial" w:hAnsi="Arial"/>
                  <w:sz w:val="18"/>
                  <w:szCs w:val="18"/>
                  <w:color w:val="0000FF"/>
                  <w:w w:val="88"/>
                </w:rPr>
                <w:t>7</w:t>
              </w:r>
            </w:hyperlink>
          </w:p>
        </w:tc>
        <w:tc>
          <w:tcPr>
            <w:tcW w:w="400" w:type="dxa"/>
            <w:vAlign w:val="bottom"/>
            <w:tcBorders>
              <w:top w:val="single" w:sz="8" w:color="CCEEFF"/>
            </w:tcBorders>
            <w:gridSpan w:val="12"/>
          </w:tcPr>
          <w:p>
            <w:pPr>
              <w:spacing w:after="0"/>
              <w:rPr>
                <w:sz w:val="16"/>
                <w:szCs w:val="16"/>
                <w:color w:val="auto"/>
              </w:rPr>
            </w:pPr>
          </w:p>
        </w:tc>
      </w:tr>
      <w:tr>
        <w:trPr>
          <w:trHeight w:val="21"/>
        </w:trPr>
        <w:tc>
          <w:tcPr>
            <w:tcW w:w="54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shd w:val="clear" w:color="auto" w:fill="CCEEFF"/>
          </w:tcPr>
          <w:p>
            <w:pPr>
              <w:spacing w:after="0"/>
              <w:rPr>
                <w:sz w:val="18"/>
                <w:szCs w:val="18"/>
                <w:color w:val="auto"/>
              </w:rPr>
            </w:pPr>
          </w:p>
        </w:tc>
        <w:tc>
          <w:tcPr>
            <w:tcW w:w="10160" w:type="dxa"/>
            <w:vAlign w:val="bottom"/>
            <w:gridSpan w:val="24"/>
            <w:shd w:val="clear" w:color="auto" w:fill="CCEEFF"/>
          </w:tcPr>
          <w:p>
            <w:pPr>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Notes to Consolidated Financial Statements</w:t>
              </w:r>
            </w:hyperlink>
          </w:p>
        </w:tc>
        <w:tc>
          <w:tcPr>
            <w:tcW w:w="660" w:type="dxa"/>
            <w:vAlign w:val="bottom"/>
            <w:gridSpan w:val="13"/>
            <w:shd w:val="clear" w:color="auto" w:fill="CCEEFF"/>
          </w:tcPr>
          <w:p>
            <w:pPr>
              <w:spacing w:after="0" w:line="189" w:lineRule="exact"/>
              <w:rPr>
                <w:rFonts w:ascii="Arial" w:cs="Arial" w:eastAsia="Arial" w:hAnsi="Arial"/>
                <w:sz w:val="18"/>
                <w:szCs w:val="18"/>
                <w:color w:val="0000FF"/>
              </w:rPr>
            </w:pPr>
            <w:r>
              <w:rPr>
                <w:rFonts w:ascii="Arial" w:cs="Arial" w:eastAsia="Arial" w:hAnsi="Arial"/>
                <w:sz w:val="18"/>
                <w:szCs w:val="18"/>
                <w:color w:val="0000FF"/>
              </w:rPr>
              <w:t>F-</w:t>
            </w:r>
            <w:hyperlink w:anchor="page89">
              <w:r>
                <w:rPr>
                  <w:rFonts w:ascii="Arial" w:cs="Arial" w:eastAsia="Arial" w:hAnsi="Arial"/>
                  <w:sz w:val="18"/>
                  <w:szCs w:val="18"/>
                  <w:color w:val="0000FF"/>
                </w:rPr>
                <w:t>8</w:t>
              </w:r>
            </w:hyperlink>
          </w:p>
        </w:tc>
      </w:tr>
      <w:tr>
        <w:trPr>
          <w:trHeight w:val="216"/>
        </w:trPr>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0000FF"/>
            </w:tcBorders>
            <w:gridSpan w:val="2"/>
          </w:tcPr>
          <w:p>
            <w:pPr>
              <w:spacing w:after="0"/>
              <w:rPr>
                <w:sz w:val="18"/>
                <w:szCs w:val="18"/>
                <w:color w:val="auto"/>
              </w:rPr>
            </w:pPr>
          </w:p>
        </w:tc>
        <w:tc>
          <w:tcPr>
            <w:tcW w:w="200" w:type="dxa"/>
            <w:vAlign w:val="bottom"/>
            <w:tcBorders>
              <w:top w:val="single" w:sz="8" w:color="0000FF"/>
            </w:tcBorders>
            <w:gridSpan w:val="2"/>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30"/>
        </w:trPr>
        <w:tc>
          <w:tcPr>
            <w:tcW w:w="10700" w:type="dxa"/>
            <w:vAlign w:val="bottom"/>
            <w:gridSpan w:val="25"/>
            <w:shd w:val="clear" w:color="auto" w:fill="CCEEFF"/>
          </w:tcPr>
          <w:p>
            <w:pPr>
              <w:ind w:left="420"/>
              <w:spacing w:after="0"/>
              <w:rPr>
                <w:sz w:val="20"/>
                <w:szCs w:val="20"/>
                <w:color w:val="auto"/>
              </w:rPr>
            </w:pPr>
            <w:r>
              <w:rPr>
                <w:rFonts w:ascii="Arial" w:cs="Arial" w:eastAsia="Arial" w:hAnsi="Arial"/>
                <w:sz w:val="18"/>
                <w:szCs w:val="18"/>
                <w:i w:val="1"/>
                <w:iCs w:val="1"/>
                <w:color w:val="auto"/>
              </w:rPr>
              <w:t>2. Financial Statement Schedules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75"/>
        </w:trPr>
        <w:tc>
          <w:tcPr>
            <w:tcW w:w="10700" w:type="dxa"/>
            <w:vAlign w:val="bottom"/>
            <w:gridSpan w:val="25"/>
          </w:tcPr>
          <w:p>
            <w:pPr>
              <w:ind w:left="420"/>
              <w:spacing w:after="0" w:line="176" w:lineRule="exact"/>
              <w:rPr>
                <w:sz w:val="20"/>
                <w:szCs w:val="20"/>
                <w:color w:val="auto"/>
              </w:rPr>
            </w:pPr>
            <w:r>
              <w:rPr>
                <w:rFonts w:ascii="Arial" w:cs="Arial" w:eastAsia="Arial" w:hAnsi="Arial"/>
                <w:sz w:val="18"/>
                <w:szCs w:val="18"/>
                <w:color w:val="auto"/>
                <w:w w:val="95"/>
              </w:rPr>
              <w:t>Financial statement schedules have been omitted because they are either not required, not applicable or the information required to be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10700" w:type="dxa"/>
            <w:vAlign w:val="bottom"/>
            <w:gridSpan w:val="25"/>
          </w:tcPr>
          <w:p>
            <w:pPr>
              <w:ind w:left="420"/>
              <w:spacing w:after="0"/>
              <w:rPr>
                <w:sz w:val="20"/>
                <w:szCs w:val="20"/>
                <w:color w:val="auto"/>
              </w:rPr>
            </w:pPr>
            <w:r>
              <w:rPr>
                <w:rFonts w:ascii="Arial" w:cs="Arial" w:eastAsia="Arial" w:hAnsi="Arial"/>
                <w:sz w:val="18"/>
                <w:szCs w:val="18"/>
                <w:color w:val="auto"/>
              </w:rPr>
              <w:t>presented is included in the Company’s consolidated financial statements and related notes.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1540" w:type="dxa"/>
            <w:vAlign w:val="bottom"/>
            <w:gridSpan w:val="4"/>
          </w:tcPr>
          <w:p>
            <w:pPr>
              <w:ind w:left="60"/>
              <w:spacing w:after="0"/>
              <w:rPr>
                <w:sz w:val="20"/>
                <w:szCs w:val="20"/>
                <w:color w:val="auto"/>
              </w:rPr>
            </w:pPr>
            <w:r>
              <w:rPr>
                <w:rFonts w:ascii="Arial" w:cs="Arial" w:eastAsia="Arial" w:hAnsi="Arial"/>
                <w:sz w:val="17"/>
                <w:szCs w:val="17"/>
                <w:i w:val="1"/>
                <w:iCs w:val="1"/>
                <w:color w:val="auto"/>
              </w:rPr>
              <w:t>3. Exhibits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540" w:type="dxa"/>
            <w:vAlign w:val="bottom"/>
            <w:gridSpan w:val="4"/>
          </w:tcPr>
          <w:p>
            <w:pPr>
              <w:ind w:left="60"/>
              <w:spacing w:after="0"/>
              <w:rPr>
                <w:sz w:val="20"/>
                <w:szCs w:val="20"/>
                <w:color w:val="auto"/>
              </w:rPr>
            </w:pPr>
            <w:r>
              <w:rPr>
                <w:rFonts w:ascii="Arial" w:cs="Arial" w:eastAsia="Arial" w:hAnsi="Arial"/>
                <w:sz w:val="17"/>
                <w:szCs w:val="17"/>
                <w:b w:val="1"/>
                <w:bCs w:val="1"/>
                <w:color w:val="auto"/>
              </w:rPr>
              <w:t>Exhibit Number</w:t>
            </w:r>
          </w:p>
        </w:tc>
        <w:tc>
          <w:tcPr>
            <w:tcW w:w="60" w:type="dxa"/>
            <w:vAlign w:val="bottom"/>
          </w:tcPr>
          <w:p>
            <w:pPr>
              <w:spacing w:after="0"/>
              <w:rPr>
                <w:sz w:val="24"/>
                <w:szCs w:val="24"/>
                <w:color w:val="auto"/>
              </w:rPr>
            </w:pPr>
          </w:p>
        </w:tc>
        <w:tc>
          <w:tcPr>
            <w:tcW w:w="9100" w:type="dxa"/>
            <w:vAlign w:val="bottom"/>
            <w:gridSpan w:val="20"/>
          </w:tcPr>
          <w:p>
            <w:pPr>
              <w:spacing w:after="0"/>
              <w:rPr>
                <w:sz w:val="20"/>
                <w:szCs w:val="20"/>
                <w:color w:val="auto"/>
              </w:rPr>
            </w:pPr>
            <w:r>
              <w:rPr>
                <w:rFonts w:ascii="Arial" w:cs="Arial" w:eastAsia="Arial" w:hAnsi="Arial"/>
                <w:sz w:val="17"/>
                <w:szCs w:val="17"/>
                <w:b w:val="1"/>
                <w:bCs w:val="1"/>
                <w:color w:val="auto"/>
              </w:rPr>
              <w:t>Description</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5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gridSpan w:val="5"/>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194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gridSpan w:val="3"/>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69"/>
        </w:trPr>
        <w:tc>
          <w:tcPr>
            <w:tcW w:w="540" w:type="dxa"/>
            <w:vAlign w:val="bottom"/>
          </w:tcPr>
          <w:p>
            <w:pPr>
              <w:ind w:left="60"/>
              <w:spacing w:after="0" w:line="169" w:lineRule="exact"/>
              <w:rPr>
                <w:sz w:val="20"/>
                <w:szCs w:val="20"/>
                <w:color w:val="auto"/>
              </w:rPr>
            </w:pPr>
            <w:r>
              <w:rPr>
                <w:rFonts w:ascii="Arial" w:cs="Arial" w:eastAsia="Arial" w:hAnsi="Arial"/>
                <w:sz w:val="17"/>
                <w:szCs w:val="17"/>
                <w:color w:val="auto"/>
              </w:rPr>
              <w:t>2.1#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760" w:type="dxa"/>
            <w:vAlign w:val="bottom"/>
            <w:gridSpan w:val="33"/>
          </w:tcPr>
          <w:p>
            <w:pPr>
              <w:spacing w:after="0" w:line="169" w:lineRule="exact"/>
              <w:rPr>
                <w:rFonts w:ascii="Arial" w:cs="Arial" w:eastAsia="Arial" w:hAnsi="Arial"/>
                <w:sz w:val="17"/>
                <w:szCs w:val="17"/>
                <w:color w:val="0000FF"/>
                <w:w w:val="93"/>
              </w:rPr>
            </w:pPr>
            <w:hyperlink r:id="rId101">
              <w:r>
                <w:rPr>
                  <w:rFonts w:ascii="Arial" w:cs="Arial" w:eastAsia="Arial" w:hAnsi="Arial"/>
                  <w:sz w:val="17"/>
                  <w:szCs w:val="17"/>
                  <w:color w:val="0000FF"/>
                  <w:w w:val="93"/>
                </w:rPr>
                <w:t>Agreement and Plan of Merger, dated as of December 20, 2020, by and among Diamondback Energy, Inc., Bohemia Merger Sub, Inc. and</w:t>
              </w:r>
            </w:hyperlink>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700" w:type="dxa"/>
            <w:vAlign w:val="bottom"/>
            <w:tcBorders>
              <w:top w:val="single" w:sz="8" w:color="0000FF"/>
              <w:bottom w:val="single" w:sz="8" w:color="0000FF"/>
            </w:tcBorders>
            <w:gridSpan w:val="30"/>
          </w:tcPr>
          <w:p>
            <w:pPr>
              <w:spacing w:after="0" w:line="142" w:lineRule="exact"/>
              <w:rPr>
                <w:rFonts w:ascii="Arial" w:cs="Arial" w:eastAsia="Arial" w:hAnsi="Arial"/>
                <w:sz w:val="16"/>
                <w:szCs w:val="16"/>
                <w:color w:val="0000FF"/>
                <w:w w:val="99"/>
              </w:rPr>
            </w:pPr>
            <w:hyperlink r:id="rId101">
              <w:r>
                <w:rPr>
                  <w:rFonts w:ascii="Arial" w:cs="Arial" w:eastAsia="Arial" w:hAnsi="Arial"/>
                  <w:sz w:val="16"/>
                  <w:szCs w:val="16"/>
                  <w:color w:val="0000FF"/>
                  <w:w w:val="99"/>
                </w:rPr>
                <w:t>QEP Resources, Inc. (incorporated by reference to Exhibit 2.1 to the Form 8-K, File No. 001-35700, filed by the Company with the SEC on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100" w:type="dxa"/>
            <w:vAlign w:val="bottom"/>
            <w:gridSpan w:val="20"/>
          </w:tcPr>
          <w:p>
            <w:pPr>
              <w:spacing w:after="0" w:line="142" w:lineRule="exact"/>
              <w:rPr>
                <w:rFonts w:ascii="Arial" w:cs="Arial" w:eastAsia="Arial" w:hAnsi="Arial"/>
                <w:sz w:val="16"/>
                <w:szCs w:val="16"/>
                <w:color w:val="0000FF"/>
              </w:rPr>
            </w:pPr>
            <w:hyperlink r:id="rId101">
              <w:r>
                <w:rPr>
                  <w:rFonts w:ascii="Arial" w:cs="Arial" w:eastAsia="Arial" w:hAnsi="Arial"/>
                  <w:sz w:val="16"/>
                  <w:szCs w:val="16"/>
                  <w:color w:val="0000FF"/>
                </w:rPr>
                <w:t>December 21, 2020).</w:t>
              </w:r>
            </w:hyperlink>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3.1</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60" w:type="dxa"/>
            <w:vAlign w:val="bottom"/>
            <w:gridSpan w:val="33"/>
            <w:shd w:val="clear" w:color="auto" w:fill="CCEEFF"/>
          </w:tcPr>
          <w:p>
            <w:pPr>
              <w:spacing w:after="0" w:line="176" w:lineRule="exact"/>
              <w:rPr>
                <w:rFonts w:ascii="Arial" w:cs="Arial" w:eastAsia="Arial" w:hAnsi="Arial"/>
                <w:sz w:val="17"/>
                <w:szCs w:val="17"/>
                <w:color w:val="0000FF"/>
                <w:w w:val="95"/>
              </w:rPr>
            </w:pPr>
            <w:hyperlink r:id="rId102">
              <w:r>
                <w:rPr>
                  <w:rFonts w:ascii="Arial" w:cs="Arial" w:eastAsia="Arial" w:hAnsi="Arial"/>
                  <w:sz w:val="17"/>
                  <w:szCs w:val="17"/>
                  <w:color w:val="0000FF"/>
                  <w:w w:val="95"/>
                </w:rPr>
                <w:t>Amended and Restated Certificate of Incorporation of the Company (incorporated by reference to Exhibit 3.1 to the Form 10-Q, File No.</w:t>
              </w:r>
            </w:hyperlink>
          </w:p>
        </w:tc>
      </w:tr>
      <w:tr>
        <w:trPr>
          <w:trHeight w:val="142"/>
        </w:trPr>
        <w:tc>
          <w:tcPr>
            <w:tcW w:w="5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100" w:type="dxa"/>
            <w:vAlign w:val="bottom"/>
            <w:tcBorders>
              <w:top w:val="single" w:sz="8" w:color="0000FF"/>
            </w:tcBorders>
            <w:gridSpan w:val="20"/>
            <w:shd w:val="clear" w:color="auto" w:fill="CCEEFF"/>
          </w:tcPr>
          <w:p>
            <w:pPr>
              <w:spacing w:after="0" w:line="142" w:lineRule="exact"/>
              <w:rPr>
                <w:rFonts w:ascii="Arial" w:cs="Arial" w:eastAsia="Arial" w:hAnsi="Arial"/>
                <w:sz w:val="16"/>
                <w:szCs w:val="16"/>
                <w:color w:val="0000FF"/>
              </w:rPr>
            </w:pPr>
            <w:hyperlink r:id="rId102">
              <w:r>
                <w:rPr>
                  <w:rFonts w:ascii="Arial" w:cs="Arial" w:eastAsia="Arial" w:hAnsi="Arial"/>
                  <w:sz w:val="16"/>
                  <w:szCs w:val="16"/>
                  <w:color w:val="0000FF"/>
                </w:rPr>
                <w:t>001-35700, filed by the Company with the SEC on November 16, 2012).</w:t>
              </w:r>
            </w:hyperlink>
          </w:p>
        </w:tc>
        <w:tc>
          <w:tcPr>
            <w:tcW w:w="2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28"/>
        </w:trPr>
        <w:tc>
          <w:tcPr>
            <w:tcW w:w="5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580" w:type="dxa"/>
            <w:vAlign w:val="bottom"/>
            <w:tcBorders>
              <w:top w:val="single" w:sz="8" w:color="0000FF"/>
            </w:tcBorders>
            <w:shd w:val="clear" w:color="auto" w:fill="CCEEFF"/>
          </w:tcPr>
          <w:p>
            <w:pPr>
              <w:spacing w:after="0"/>
              <w:rPr>
                <w:sz w:val="11"/>
                <w:szCs w:val="11"/>
                <w:color w:val="auto"/>
              </w:rPr>
            </w:pPr>
          </w:p>
        </w:tc>
        <w:tc>
          <w:tcPr>
            <w:tcW w:w="420" w:type="dxa"/>
            <w:vAlign w:val="bottom"/>
            <w:tcBorders>
              <w:top w:val="single" w:sz="8" w:color="0000FF"/>
            </w:tcBorders>
            <w:shd w:val="clear" w:color="auto" w:fill="CCEEFF"/>
          </w:tcPr>
          <w:p>
            <w:pPr>
              <w:spacing w:after="0"/>
              <w:rPr>
                <w:sz w:val="11"/>
                <w:szCs w:val="11"/>
                <w:color w:val="auto"/>
              </w:rPr>
            </w:pPr>
          </w:p>
        </w:tc>
        <w:tc>
          <w:tcPr>
            <w:tcW w:w="3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12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75"/>
        </w:trPr>
        <w:tc>
          <w:tcPr>
            <w:tcW w:w="540" w:type="dxa"/>
            <w:vAlign w:val="bottom"/>
          </w:tcPr>
          <w:p>
            <w:pPr>
              <w:ind w:left="60"/>
              <w:spacing w:after="0" w:line="176" w:lineRule="exact"/>
              <w:rPr>
                <w:sz w:val="20"/>
                <w:szCs w:val="20"/>
                <w:color w:val="auto"/>
              </w:rPr>
            </w:pPr>
            <w:r>
              <w:rPr>
                <w:rFonts w:ascii="Arial" w:cs="Arial" w:eastAsia="Arial" w:hAnsi="Arial"/>
                <w:sz w:val="17"/>
                <w:szCs w:val="17"/>
                <w:color w:val="auto"/>
              </w:rPr>
              <w:t>3.2</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60" w:type="dxa"/>
            <w:vAlign w:val="bottom"/>
            <w:gridSpan w:val="33"/>
          </w:tcPr>
          <w:p>
            <w:pPr>
              <w:spacing w:after="0" w:line="176" w:lineRule="exact"/>
              <w:rPr>
                <w:rFonts w:ascii="Arial" w:cs="Arial" w:eastAsia="Arial" w:hAnsi="Arial"/>
                <w:sz w:val="17"/>
                <w:szCs w:val="17"/>
                <w:color w:val="0000FF"/>
                <w:w w:val="95"/>
              </w:rPr>
            </w:pPr>
            <w:hyperlink r:id="rId103">
              <w:r>
                <w:rPr>
                  <w:rFonts w:ascii="Arial" w:cs="Arial" w:eastAsia="Arial" w:hAnsi="Arial"/>
                  <w:sz w:val="17"/>
                  <w:szCs w:val="17"/>
                  <w:color w:val="0000FF"/>
                  <w:w w:val="95"/>
                </w:rPr>
                <w:t>Certificate of Amendment No. 1 of the Amended and Restated Certificate of Incorporation of the Company (incorporated by reference to</w:t>
              </w:r>
            </w:hyperlink>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1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03">
              <w:r>
                <w:rPr>
                  <w:rFonts w:ascii="Arial" w:cs="Arial" w:eastAsia="Arial" w:hAnsi="Arial"/>
                  <w:sz w:val="16"/>
                  <w:szCs w:val="16"/>
                  <w:color w:val="0000FF"/>
                </w:rPr>
                <w:t>Exhibit 3.1 to the Form 8-K, File No. 001-35700, filed by the Company with the SEC on December 12, 2016).</w:t>
              </w:r>
            </w:hyperlink>
          </w:p>
        </w:tc>
        <w:tc>
          <w:tcPr>
            <w:tcW w:w="2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6"/>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8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54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3.3</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60" w:type="dxa"/>
            <w:vAlign w:val="bottom"/>
            <w:gridSpan w:val="33"/>
            <w:shd w:val="clear" w:color="auto" w:fill="CCEEFF"/>
          </w:tcPr>
          <w:p>
            <w:pPr>
              <w:spacing w:after="0" w:line="176" w:lineRule="exact"/>
              <w:rPr>
                <w:rFonts w:ascii="Arial" w:cs="Arial" w:eastAsia="Arial" w:hAnsi="Arial"/>
                <w:sz w:val="17"/>
                <w:szCs w:val="17"/>
                <w:color w:val="0000FF"/>
                <w:w w:val="95"/>
              </w:rPr>
            </w:pPr>
            <w:hyperlink r:id="rId104">
              <w:r>
                <w:rPr>
                  <w:rFonts w:ascii="Arial" w:cs="Arial" w:eastAsia="Arial" w:hAnsi="Arial"/>
                  <w:sz w:val="17"/>
                  <w:szCs w:val="17"/>
                  <w:color w:val="0000FF"/>
                  <w:w w:val="95"/>
                </w:rPr>
                <w:t>Certificate of Amendment No. 2 to the Amended and Restated Certificate of Incorporation of the Company (incorporated by reference to</w:t>
              </w:r>
            </w:hyperlink>
          </w:p>
        </w:tc>
      </w:tr>
      <w:tr>
        <w:trPr>
          <w:trHeight w:val="163"/>
        </w:trPr>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080" w:type="dxa"/>
            <w:vAlign w:val="bottom"/>
            <w:tcBorders>
              <w:top w:val="single" w:sz="8" w:color="0000FF"/>
              <w:bottom w:val="single" w:sz="8" w:color="0000FF"/>
            </w:tcBorders>
            <w:gridSpan w:val="16"/>
            <w:shd w:val="clear" w:color="auto" w:fill="CCEEFF"/>
          </w:tcPr>
          <w:p>
            <w:pPr>
              <w:spacing w:after="0" w:line="142" w:lineRule="exact"/>
              <w:rPr>
                <w:rFonts w:ascii="Arial" w:cs="Arial" w:eastAsia="Arial" w:hAnsi="Arial"/>
                <w:sz w:val="16"/>
                <w:szCs w:val="16"/>
                <w:color w:val="0000FF"/>
                <w:w w:val="98"/>
              </w:rPr>
            </w:pPr>
            <w:hyperlink r:id="rId104">
              <w:r>
                <w:rPr>
                  <w:rFonts w:ascii="Arial" w:cs="Arial" w:eastAsia="Arial" w:hAnsi="Arial"/>
                  <w:sz w:val="16"/>
                  <w:szCs w:val="16"/>
                  <w:color w:val="0000FF"/>
                  <w:w w:val="98"/>
                </w:rPr>
                <w:t>Exhibit 3.1 to the Form 8-K, File No. 001-35700, filed by the Company with the SEC on June 8, 2021).</w:t>
              </w:r>
            </w:hyperlink>
          </w:p>
        </w:tc>
        <w:tc>
          <w:tcPr>
            <w:tcW w:w="202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540" w:type="dxa"/>
            <w:vAlign w:val="bottom"/>
          </w:tcPr>
          <w:p>
            <w:pPr>
              <w:ind w:left="60"/>
              <w:spacing w:after="0" w:line="176" w:lineRule="exact"/>
              <w:rPr>
                <w:sz w:val="20"/>
                <w:szCs w:val="20"/>
                <w:color w:val="auto"/>
              </w:rPr>
            </w:pPr>
            <w:r>
              <w:rPr>
                <w:rFonts w:ascii="Arial" w:cs="Arial" w:eastAsia="Arial" w:hAnsi="Arial"/>
                <w:sz w:val="17"/>
                <w:szCs w:val="17"/>
                <w:color w:val="auto"/>
              </w:rPr>
              <w:t>3.4</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60" w:type="dxa"/>
            <w:vAlign w:val="bottom"/>
            <w:gridSpan w:val="33"/>
          </w:tcPr>
          <w:p>
            <w:pPr>
              <w:spacing w:after="0" w:line="176" w:lineRule="exact"/>
              <w:rPr>
                <w:rFonts w:ascii="Arial" w:cs="Arial" w:eastAsia="Arial" w:hAnsi="Arial"/>
                <w:sz w:val="17"/>
                <w:szCs w:val="17"/>
                <w:color w:val="0000FF"/>
                <w:w w:val="96"/>
              </w:rPr>
            </w:pPr>
            <w:hyperlink r:id="rId105">
              <w:r>
                <w:rPr>
                  <w:rFonts w:ascii="Arial" w:cs="Arial" w:eastAsia="Arial" w:hAnsi="Arial"/>
                  <w:sz w:val="17"/>
                  <w:szCs w:val="17"/>
                  <w:color w:val="0000FF"/>
                  <w:w w:val="96"/>
                </w:rPr>
                <w:t>Second Amended and Restated Bylaws of the Company (incorporated by reference to Exhibit 3.1 to the Form 8-K, File No. 001-35700,</w:t>
              </w:r>
            </w:hyperlink>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1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filed by the Company with the SEC on November 19, 2019).</w:t>
              </w:r>
            </w:hyperlink>
          </w:p>
        </w:tc>
        <w:tc>
          <w:tcPr>
            <w:tcW w:w="2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54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4.1</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60" w:type="dxa"/>
            <w:vAlign w:val="bottom"/>
            <w:gridSpan w:val="33"/>
            <w:shd w:val="clear" w:color="auto" w:fill="CCEEFF"/>
          </w:tcPr>
          <w:p>
            <w:pPr>
              <w:spacing w:after="0" w:line="176" w:lineRule="exact"/>
              <w:rPr>
                <w:rFonts w:ascii="Arial" w:cs="Arial" w:eastAsia="Arial" w:hAnsi="Arial"/>
                <w:sz w:val="17"/>
                <w:szCs w:val="17"/>
                <w:color w:val="0000FF"/>
                <w:w w:val="93"/>
              </w:rPr>
            </w:pPr>
            <w:hyperlink r:id="rId106">
              <w:r>
                <w:rPr>
                  <w:rFonts w:ascii="Arial" w:cs="Arial" w:eastAsia="Arial" w:hAnsi="Arial"/>
                  <w:sz w:val="17"/>
                  <w:szCs w:val="17"/>
                  <w:color w:val="0000FF"/>
                  <w:w w:val="93"/>
                </w:rPr>
                <w:t xml:space="preserve">Description of the Company’s Securities (incorporated by reference to Exhibit </w:t>
              </w:r>
            </w:hyperlink>
            <w:r>
              <w:rPr>
                <w:rFonts w:ascii="Arial" w:cs="Arial" w:eastAsia="Arial" w:hAnsi="Arial"/>
                <w:sz w:val="17"/>
                <w:szCs w:val="17"/>
                <w:color w:val="0000FF"/>
                <w:w w:val="93"/>
              </w:rPr>
              <w:t xml:space="preserve">4.6 </w:t>
            </w:r>
            <w:hyperlink r:id="rId106">
              <w:r>
                <w:rPr>
                  <w:rFonts w:ascii="Arial" w:cs="Arial" w:eastAsia="Arial" w:hAnsi="Arial"/>
                  <w:sz w:val="17"/>
                  <w:szCs w:val="17"/>
                  <w:color w:val="0000FF"/>
                  <w:w w:val="93"/>
                </w:rPr>
                <w:t>to the Registration Statement on Form S-8, File No. 333-</w:t>
              </w:r>
            </w:hyperlink>
          </w:p>
        </w:tc>
      </w:tr>
      <w:tr>
        <w:trPr>
          <w:trHeight w:val="142"/>
        </w:trPr>
        <w:tc>
          <w:tcPr>
            <w:tcW w:w="5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100" w:type="dxa"/>
            <w:vAlign w:val="bottom"/>
            <w:tcBorders>
              <w:top w:val="single" w:sz="8" w:color="0000FF"/>
            </w:tcBorders>
            <w:gridSpan w:val="20"/>
            <w:shd w:val="clear" w:color="auto" w:fill="CCEEFF"/>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257561, filed by the Company with the SEC on June 30, 2021).</w:t>
              </w:r>
            </w:hyperlink>
          </w:p>
        </w:tc>
        <w:tc>
          <w:tcPr>
            <w:tcW w:w="2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29"/>
        </w:trPr>
        <w:tc>
          <w:tcPr>
            <w:tcW w:w="5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580" w:type="dxa"/>
            <w:vAlign w:val="bottom"/>
            <w:tcBorders>
              <w:top w:val="single" w:sz="8" w:color="0000FF"/>
            </w:tcBorders>
            <w:shd w:val="clear" w:color="auto" w:fill="CCEEFF"/>
          </w:tcPr>
          <w:p>
            <w:pPr>
              <w:spacing w:after="0"/>
              <w:rPr>
                <w:sz w:val="11"/>
                <w:szCs w:val="11"/>
                <w:color w:val="auto"/>
              </w:rPr>
            </w:pPr>
          </w:p>
        </w:tc>
        <w:tc>
          <w:tcPr>
            <w:tcW w:w="420" w:type="dxa"/>
            <w:vAlign w:val="bottom"/>
            <w:tcBorders>
              <w:top w:val="single" w:sz="8" w:color="0000FF"/>
            </w:tcBorders>
            <w:shd w:val="clear" w:color="auto" w:fill="CCEEFF"/>
          </w:tcPr>
          <w:p>
            <w:pPr>
              <w:spacing w:after="0"/>
              <w:rPr>
                <w:sz w:val="11"/>
                <w:szCs w:val="11"/>
                <w:color w:val="auto"/>
              </w:rPr>
            </w:pPr>
          </w:p>
        </w:tc>
        <w:tc>
          <w:tcPr>
            <w:tcW w:w="3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8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12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75"/>
        </w:trPr>
        <w:tc>
          <w:tcPr>
            <w:tcW w:w="540" w:type="dxa"/>
            <w:vAlign w:val="bottom"/>
          </w:tcPr>
          <w:p>
            <w:pPr>
              <w:ind w:left="60"/>
              <w:spacing w:after="0" w:line="176" w:lineRule="exact"/>
              <w:rPr>
                <w:sz w:val="20"/>
                <w:szCs w:val="20"/>
                <w:color w:val="auto"/>
              </w:rPr>
            </w:pPr>
            <w:r>
              <w:rPr>
                <w:rFonts w:ascii="Arial" w:cs="Arial" w:eastAsia="Arial" w:hAnsi="Arial"/>
                <w:sz w:val="17"/>
                <w:szCs w:val="17"/>
                <w:color w:val="auto"/>
              </w:rPr>
              <w:t>4.2</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60" w:type="dxa"/>
            <w:vAlign w:val="bottom"/>
            <w:gridSpan w:val="33"/>
          </w:tcPr>
          <w:p>
            <w:pPr>
              <w:spacing w:after="0" w:line="176" w:lineRule="exact"/>
              <w:rPr>
                <w:rFonts w:ascii="Arial" w:cs="Arial" w:eastAsia="Arial" w:hAnsi="Arial"/>
                <w:sz w:val="17"/>
                <w:szCs w:val="17"/>
                <w:color w:val="0000FF"/>
                <w:w w:val="95"/>
              </w:rPr>
            </w:pPr>
            <w:hyperlink r:id="rId107">
              <w:r>
                <w:rPr>
                  <w:rFonts w:ascii="Arial" w:cs="Arial" w:eastAsia="Arial" w:hAnsi="Arial"/>
                  <w:sz w:val="17"/>
                  <w:szCs w:val="17"/>
                  <w:color w:val="0000FF"/>
                  <w:w w:val="95"/>
                </w:rPr>
                <w:t xml:space="preserve">Specimen certificate for shares of common stock, par value </w:t>
              </w:r>
              <w:r>
                <w:rPr>
                  <w:rFonts w:ascii="Arial" w:cs="Arial" w:eastAsia="Arial" w:hAnsi="Arial"/>
                  <w:sz w:val="17"/>
                  <w:szCs w:val="17"/>
                  <w:u w:val="single" w:color="auto"/>
                  <w:color w:val="0000FF"/>
                  <w:w w:val="95"/>
                </w:rPr>
                <w:t>$</w:t>
              </w:r>
              <w:r>
                <w:rPr>
                  <w:rFonts w:ascii="Arial" w:cs="Arial" w:eastAsia="Arial" w:hAnsi="Arial"/>
                  <w:sz w:val="17"/>
                  <w:szCs w:val="17"/>
                  <w:color w:val="0000FF"/>
                  <w:w w:val="95"/>
                </w:rPr>
                <w:t>0.01 per share, of the Company (incorporated by reference to Exhibit 4.1 to</w:t>
              </w:r>
            </w:hyperlink>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58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Amendment No. 4 to the Registration Statement on Form S-1, File No. 333-179502, filed by the Company with the SEC on August 20,</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0000FF"/>
            </w:tcBorders>
          </w:tcPr>
          <w:p>
            <w:pPr>
              <w:spacing w:after="0" w:line="142" w:lineRule="exact"/>
              <w:rPr>
                <w:rFonts w:ascii="Arial" w:cs="Arial" w:eastAsia="Arial" w:hAnsi="Arial"/>
                <w:sz w:val="16"/>
                <w:szCs w:val="16"/>
                <w:color w:val="0000FF"/>
                <w:w w:val="92"/>
              </w:rPr>
            </w:pPr>
            <w:hyperlink r:id="rId107">
              <w:r>
                <w:rPr>
                  <w:rFonts w:ascii="Arial" w:cs="Arial" w:eastAsia="Arial" w:hAnsi="Arial"/>
                  <w:sz w:val="16"/>
                  <w:szCs w:val="16"/>
                  <w:color w:val="0000FF"/>
                  <w:w w:val="92"/>
                </w:rPr>
                <w:t>2012).</w:t>
              </w:r>
            </w:hyperlink>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54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4.3</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60" w:type="dxa"/>
            <w:vAlign w:val="bottom"/>
            <w:gridSpan w:val="33"/>
            <w:shd w:val="clear" w:color="auto" w:fill="CCEEFF"/>
          </w:tcPr>
          <w:p>
            <w:pPr>
              <w:spacing w:after="0" w:line="176" w:lineRule="exact"/>
              <w:rPr>
                <w:rFonts w:ascii="Arial" w:cs="Arial" w:eastAsia="Arial" w:hAnsi="Arial"/>
                <w:sz w:val="17"/>
                <w:szCs w:val="17"/>
                <w:color w:val="0000FF"/>
                <w:w w:val="95"/>
              </w:rPr>
            </w:pPr>
            <w:hyperlink r:id="rId108">
              <w:r>
                <w:rPr>
                  <w:rFonts w:ascii="Arial" w:cs="Arial" w:eastAsia="Arial" w:hAnsi="Arial"/>
                  <w:sz w:val="17"/>
                  <w:szCs w:val="17"/>
                  <w:color w:val="0000FF"/>
                  <w:w w:val="95"/>
                </w:rPr>
                <w:t>Registration Rights Agreement, dated as of February 26, 2021, by and among the Company, Guidon Operating LLC and Guidon Energy</w:t>
              </w:r>
            </w:hyperlink>
          </w:p>
        </w:tc>
      </w:tr>
      <w:tr>
        <w:trPr>
          <w:trHeight w:val="142"/>
        </w:trPr>
        <w:tc>
          <w:tcPr>
            <w:tcW w:w="5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32"/>
            <w:shd w:val="clear" w:color="auto" w:fill="CCEEFF"/>
          </w:tcPr>
          <w:p>
            <w:pPr>
              <w:spacing w:after="0" w:line="142" w:lineRule="exact"/>
              <w:rPr>
                <w:rFonts w:ascii="Arial" w:cs="Arial" w:eastAsia="Arial" w:hAnsi="Arial"/>
                <w:sz w:val="16"/>
                <w:szCs w:val="16"/>
                <w:color w:val="0000FF"/>
                <w:w w:val="99"/>
              </w:rPr>
            </w:pPr>
            <w:hyperlink r:id="rId108">
              <w:r>
                <w:rPr>
                  <w:rFonts w:ascii="Arial" w:cs="Arial" w:eastAsia="Arial" w:hAnsi="Arial"/>
                  <w:sz w:val="16"/>
                  <w:szCs w:val="16"/>
                  <w:color w:val="0000FF"/>
                  <w:w w:val="99"/>
                </w:rPr>
                <w:t>Holdings LP (incorporated by reference to Exhibit 4.3 to the Company’s Registration Statement on Form S-3, File No. 333-255731, filed by</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5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100" w:type="dxa"/>
            <w:vAlign w:val="bottom"/>
            <w:tcBorders>
              <w:top w:val="single" w:sz="8" w:color="0000FF"/>
            </w:tcBorders>
            <w:gridSpan w:val="20"/>
            <w:shd w:val="clear" w:color="auto" w:fill="CCEEFF"/>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the Company with the SEC on May 3, 2021.</w:t>
              </w:r>
            </w:hyperlink>
          </w:p>
        </w:tc>
        <w:tc>
          <w:tcPr>
            <w:tcW w:w="26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ind w:left="60"/>
              <w:spacing w:after="0" w:line="176" w:lineRule="exact"/>
              <w:rPr>
                <w:sz w:val="20"/>
                <w:szCs w:val="20"/>
                <w:color w:val="auto"/>
              </w:rPr>
            </w:pPr>
            <w:r>
              <w:rPr>
                <w:rFonts w:ascii="Arial" w:cs="Arial" w:eastAsia="Arial" w:hAnsi="Arial"/>
                <w:sz w:val="17"/>
                <w:szCs w:val="17"/>
                <w:color w:val="auto"/>
              </w:rPr>
              <w:t>4.4</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60" w:type="dxa"/>
            <w:vAlign w:val="bottom"/>
            <w:gridSpan w:val="33"/>
          </w:tcPr>
          <w:p>
            <w:pPr>
              <w:spacing w:after="0" w:line="176" w:lineRule="exact"/>
              <w:rPr>
                <w:rFonts w:ascii="Arial" w:cs="Arial" w:eastAsia="Arial" w:hAnsi="Arial"/>
                <w:sz w:val="17"/>
                <w:szCs w:val="17"/>
                <w:color w:val="0000FF"/>
                <w:w w:val="93"/>
              </w:rPr>
            </w:pPr>
            <w:hyperlink r:id="rId109">
              <w:r>
                <w:rPr>
                  <w:rFonts w:ascii="Arial" w:cs="Arial" w:eastAsia="Arial" w:hAnsi="Arial"/>
                  <w:sz w:val="17"/>
                  <w:szCs w:val="17"/>
                  <w:color w:val="0000FF"/>
                  <w:w w:val="93"/>
                </w:rPr>
                <w:t>Letter Agreement, dated as of April 27, 2021, by and among the Company, Guidon Operating LLC and Guidon Energy Holdings LP relating</w:t>
              </w:r>
            </w:hyperlink>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to the Registration Rights Agreement referenced as Exhibit 4.2 hereto (incorporated by reference to Exhibit 4.4 to the Company’s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100" w:type="dxa"/>
            <w:vAlign w:val="bottom"/>
            <w:gridSpan w:val="20"/>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Registration Statement on Form S-3, File No. 333-255731, filed by the Company with the SEC on May 3, 2021.</w:t>
              </w:r>
            </w:hyperlink>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4.5</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60" w:type="dxa"/>
            <w:vAlign w:val="bottom"/>
            <w:gridSpan w:val="33"/>
            <w:shd w:val="clear" w:color="auto" w:fill="CCEEFF"/>
          </w:tcPr>
          <w:p>
            <w:pPr>
              <w:spacing w:after="0" w:line="176" w:lineRule="exact"/>
              <w:rPr>
                <w:rFonts w:ascii="Arial" w:cs="Arial" w:eastAsia="Arial" w:hAnsi="Arial"/>
                <w:sz w:val="17"/>
                <w:szCs w:val="17"/>
                <w:color w:val="0000FF"/>
                <w:w w:val="96"/>
              </w:rPr>
            </w:pPr>
            <w:hyperlink r:id="rId110">
              <w:r>
                <w:rPr>
                  <w:rFonts w:ascii="Arial" w:cs="Arial" w:eastAsia="Arial" w:hAnsi="Arial"/>
                  <w:sz w:val="17"/>
                  <w:szCs w:val="17"/>
                  <w:color w:val="0000FF"/>
                  <w:w w:val="96"/>
                </w:rPr>
                <w:t>Indenture, dated as of December 5, 2019, between Diamondback Energy, Inc. and Wells Fargo Bank, National Association, as trustee</w:t>
              </w:r>
            </w:hyperlink>
          </w:p>
        </w:tc>
      </w:tr>
      <w:tr>
        <w:trPr>
          <w:trHeight w:val="142"/>
        </w:trPr>
        <w:tc>
          <w:tcPr>
            <w:tcW w:w="5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680" w:type="dxa"/>
            <w:vAlign w:val="bottom"/>
            <w:tcBorders>
              <w:top w:val="single" w:sz="8" w:color="0000FF"/>
            </w:tcBorders>
            <w:gridSpan w:val="29"/>
            <w:shd w:val="clear" w:color="auto" w:fill="CCEEFF"/>
          </w:tcPr>
          <w:p>
            <w:pPr>
              <w:spacing w:after="0" w:line="142" w:lineRule="exact"/>
              <w:rPr>
                <w:rFonts w:ascii="Arial" w:cs="Arial" w:eastAsia="Arial" w:hAnsi="Arial"/>
                <w:sz w:val="16"/>
                <w:szCs w:val="16"/>
                <w:color w:val="0000FF"/>
                <w:w w:val="99"/>
              </w:rPr>
            </w:pPr>
            <w:hyperlink r:id="rId110">
              <w:r>
                <w:rPr>
                  <w:rFonts w:ascii="Arial" w:cs="Arial" w:eastAsia="Arial" w:hAnsi="Arial"/>
                  <w:sz w:val="16"/>
                  <w:szCs w:val="16"/>
                  <w:color w:val="0000FF"/>
                  <w:w w:val="99"/>
                </w:rPr>
                <w:t>(incorporated by reference to Exhibit 4.1 to the Form 8-K, File No. 001-35700, filed by the Company with the SEC on December 5, 2019).</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36"/>
        </w:trPr>
        <w:tc>
          <w:tcPr>
            <w:tcW w:w="54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58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40" w:type="dxa"/>
            <w:vAlign w:val="bottom"/>
            <w:tcBorders>
              <w:top w:val="single" w:sz="8" w:color="0000FF"/>
            </w:tcBorders>
            <w:shd w:val="clear" w:color="auto" w:fill="CCEEFF"/>
          </w:tcPr>
          <w:p>
            <w:pPr>
              <w:spacing w:after="0"/>
              <w:rPr>
                <w:sz w:val="20"/>
                <w:szCs w:val="20"/>
                <w:color w:val="auto"/>
              </w:rPr>
            </w:pPr>
          </w:p>
        </w:tc>
        <w:tc>
          <w:tcPr>
            <w:tcW w:w="280" w:type="dxa"/>
            <w:vAlign w:val="bottom"/>
            <w:tcBorders>
              <w:top w:val="single" w:sz="8" w:color="0000FF"/>
            </w:tcBorders>
            <w:shd w:val="clear" w:color="auto" w:fill="CCEEFF"/>
          </w:tcPr>
          <w:p>
            <w:pPr>
              <w:spacing w:after="0"/>
              <w:rPr>
                <w:sz w:val="20"/>
                <w:szCs w:val="20"/>
                <w:color w:val="auto"/>
              </w:rPr>
            </w:pPr>
          </w:p>
        </w:tc>
        <w:tc>
          <w:tcPr>
            <w:tcW w:w="300" w:type="dxa"/>
            <w:vAlign w:val="bottom"/>
            <w:tcBorders>
              <w:top w:val="single" w:sz="8" w:color="0000FF"/>
            </w:tcBorders>
            <w:shd w:val="clear" w:color="auto" w:fill="CCEEFF"/>
          </w:tcPr>
          <w:p>
            <w:pPr>
              <w:spacing w:after="0"/>
              <w:rPr>
                <w:sz w:val="20"/>
                <w:szCs w:val="20"/>
                <w:color w:val="auto"/>
              </w:rPr>
            </w:pPr>
          </w:p>
        </w:tc>
        <w:tc>
          <w:tcPr>
            <w:tcW w:w="640" w:type="dxa"/>
            <w:vAlign w:val="bottom"/>
            <w:tcBorders>
              <w:top w:val="single" w:sz="8" w:color="0000FF"/>
            </w:tcBorders>
            <w:shd w:val="clear" w:color="auto" w:fill="CCEEFF"/>
          </w:tcPr>
          <w:p>
            <w:pPr>
              <w:spacing w:after="0"/>
              <w:rPr>
                <w:sz w:val="20"/>
                <w:szCs w:val="20"/>
                <w:color w:val="auto"/>
              </w:rPr>
            </w:pPr>
          </w:p>
        </w:tc>
        <w:tc>
          <w:tcPr>
            <w:tcW w:w="1120" w:type="dxa"/>
            <w:vAlign w:val="bottom"/>
            <w:tcBorders>
              <w:top w:val="single" w:sz="8" w:color="0000FF"/>
            </w:tcBorders>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182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144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175"/>
        </w:trPr>
        <w:tc>
          <w:tcPr>
            <w:tcW w:w="540" w:type="dxa"/>
            <w:vAlign w:val="bottom"/>
          </w:tcPr>
          <w:p>
            <w:pPr>
              <w:ind w:left="60"/>
              <w:spacing w:after="0" w:line="176" w:lineRule="exact"/>
              <w:rPr>
                <w:sz w:val="20"/>
                <w:szCs w:val="20"/>
                <w:color w:val="auto"/>
              </w:rPr>
            </w:pPr>
            <w:r>
              <w:rPr>
                <w:rFonts w:ascii="Arial" w:cs="Arial" w:eastAsia="Arial" w:hAnsi="Arial"/>
                <w:sz w:val="17"/>
                <w:szCs w:val="17"/>
                <w:color w:val="auto"/>
              </w:rPr>
              <w:t>4.6</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60" w:type="dxa"/>
            <w:vAlign w:val="bottom"/>
            <w:gridSpan w:val="33"/>
          </w:tcPr>
          <w:p>
            <w:pPr>
              <w:spacing w:after="0" w:line="176" w:lineRule="exact"/>
              <w:rPr>
                <w:rFonts w:ascii="Arial" w:cs="Arial" w:eastAsia="Arial" w:hAnsi="Arial"/>
                <w:sz w:val="17"/>
                <w:szCs w:val="17"/>
                <w:color w:val="0000FF"/>
                <w:w w:val="93"/>
              </w:rPr>
            </w:pPr>
            <w:hyperlink r:id="rId111">
              <w:r>
                <w:rPr>
                  <w:rFonts w:ascii="Arial" w:cs="Arial" w:eastAsia="Arial" w:hAnsi="Arial"/>
                  <w:sz w:val="17"/>
                  <w:szCs w:val="17"/>
                  <w:color w:val="0000FF"/>
                  <w:w w:val="93"/>
                </w:rPr>
                <w:t>First Supplemental Indenture, dated as of December 5, 2019, among Diamondback Energy, Inc., Diamondback O&amp;G LLC and Wells Fargo</w:t>
              </w:r>
            </w:hyperlink>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20" w:type="dxa"/>
            <w:vAlign w:val="bottom"/>
            <w:tcBorders>
              <w:top w:val="single" w:sz="8" w:color="0000FF"/>
            </w:tcBorders>
            <w:gridSpan w:val="26"/>
          </w:tcPr>
          <w:p>
            <w:pPr>
              <w:spacing w:after="0" w:line="142" w:lineRule="exact"/>
              <w:rPr>
                <w:rFonts w:ascii="Arial" w:cs="Arial" w:eastAsia="Arial" w:hAnsi="Arial"/>
                <w:sz w:val="16"/>
                <w:szCs w:val="16"/>
                <w:color w:val="0000FF"/>
                <w:w w:val="97"/>
              </w:rPr>
            </w:pPr>
            <w:hyperlink r:id="rId111">
              <w:r>
                <w:rPr>
                  <w:rFonts w:ascii="Arial" w:cs="Arial" w:eastAsia="Arial" w:hAnsi="Arial"/>
                  <w:sz w:val="16"/>
                  <w:szCs w:val="16"/>
                  <w:color w:val="0000FF"/>
                  <w:w w:val="97"/>
                </w:rPr>
                <w:t>Bank, National Association, as trustee (including the form of 2024 Notes, 2026 Notes and 2029 Notes) (incorporated by reference to Exhibit</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1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4.</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the Form 8-K, File No. 001-35700, filed by the Company with the SEC on December 5, 2019).</w:t>
              </w:r>
            </w:hyperlink>
          </w:p>
        </w:tc>
        <w:tc>
          <w:tcPr>
            <w:tcW w:w="2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6"/>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1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82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54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4.7</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760" w:type="dxa"/>
            <w:vAlign w:val="bottom"/>
            <w:gridSpan w:val="33"/>
            <w:shd w:val="clear" w:color="auto" w:fill="CCEEFF"/>
          </w:tcPr>
          <w:p>
            <w:pPr>
              <w:spacing w:after="0" w:line="176" w:lineRule="exact"/>
              <w:rPr>
                <w:rFonts w:ascii="Arial" w:cs="Arial" w:eastAsia="Arial" w:hAnsi="Arial"/>
                <w:sz w:val="17"/>
                <w:szCs w:val="17"/>
                <w:color w:val="0000FF"/>
                <w:w w:val="94"/>
              </w:rPr>
            </w:pPr>
            <w:hyperlink r:id="rId112">
              <w:r>
                <w:rPr>
                  <w:rFonts w:ascii="Arial" w:cs="Arial" w:eastAsia="Arial" w:hAnsi="Arial"/>
                  <w:sz w:val="17"/>
                  <w:szCs w:val="17"/>
                  <w:color w:val="0000FF"/>
                  <w:w w:val="94"/>
                </w:rPr>
                <w:t>Second Supplemental Indenture, dated as of May 26, 2020, among Diamondback Energy, Inc., Diamondback O&amp;G LLC and Wells Fargo</w:t>
              </w:r>
            </w:hyperlink>
          </w:p>
        </w:tc>
      </w:tr>
      <w:tr>
        <w:trPr>
          <w:trHeight w:val="142"/>
        </w:trPr>
        <w:tc>
          <w:tcPr>
            <w:tcW w:w="5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720" w:type="dxa"/>
            <w:vAlign w:val="bottom"/>
            <w:tcBorders>
              <w:top w:val="single" w:sz="8" w:color="0000FF"/>
            </w:tcBorders>
            <w:gridSpan w:val="31"/>
            <w:shd w:val="clear" w:color="auto" w:fill="CCEEFF"/>
          </w:tcPr>
          <w:p>
            <w:pPr>
              <w:spacing w:after="0" w:line="142" w:lineRule="exact"/>
              <w:rPr>
                <w:rFonts w:ascii="Arial" w:cs="Arial" w:eastAsia="Arial" w:hAnsi="Arial"/>
                <w:sz w:val="16"/>
                <w:szCs w:val="16"/>
                <w:color w:val="0000FF"/>
                <w:w w:val="99"/>
              </w:rPr>
            </w:pPr>
            <w:hyperlink r:id="rId112">
              <w:r>
                <w:rPr>
                  <w:rFonts w:ascii="Arial" w:cs="Arial" w:eastAsia="Arial" w:hAnsi="Arial"/>
                  <w:sz w:val="16"/>
                  <w:szCs w:val="16"/>
                  <w:color w:val="0000FF"/>
                  <w:w w:val="99"/>
                </w:rPr>
                <w:t>Bank, National Association, as trustee (including the form of Notes) (incorporated by reference to Exhibit 4.2 to the Form 8-K, File No 001-</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3"/>
        </w:trPr>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260" w:type="dxa"/>
            <w:vAlign w:val="bottom"/>
            <w:tcBorders>
              <w:top w:val="single" w:sz="8" w:color="0000FF"/>
              <w:bottom w:val="single" w:sz="8" w:color="0000FF"/>
            </w:tcBorders>
            <w:gridSpan w:val="10"/>
            <w:shd w:val="clear" w:color="auto" w:fill="CCEEFF"/>
          </w:tcPr>
          <w:p>
            <w:pPr>
              <w:spacing w:after="0" w:line="142" w:lineRule="exact"/>
              <w:rPr>
                <w:rFonts w:ascii="Arial" w:cs="Arial" w:eastAsia="Arial" w:hAnsi="Arial"/>
                <w:sz w:val="16"/>
                <w:szCs w:val="16"/>
                <w:color w:val="0000FF"/>
                <w:w w:val="97"/>
              </w:rPr>
            </w:pPr>
            <w:hyperlink r:id="rId112">
              <w:r>
                <w:rPr>
                  <w:rFonts w:ascii="Arial" w:cs="Arial" w:eastAsia="Arial" w:hAnsi="Arial"/>
                  <w:sz w:val="16"/>
                  <w:szCs w:val="16"/>
                  <w:color w:val="0000FF"/>
                  <w:w w:val="97"/>
                </w:rPr>
                <w:t>35700, filed by the Company with the SEC on May 26, 2020).</w:t>
              </w:r>
            </w:hyperlink>
          </w:p>
        </w:tc>
        <w:tc>
          <w:tcPr>
            <w:tcW w:w="484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540" w:type="dxa"/>
            <w:vAlign w:val="bottom"/>
          </w:tcPr>
          <w:p>
            <w:pPr>
              <w:ind w:left="60"/>
              <w:spacing w:after="0" w:line="176" w:lineRule="exact"/>
              <w:rPr>
                <w:sz w:val="20"/>
                <w:szCs w:val="20"/>
                <w:color w:val="auto"/>
              </w:rPr>
            </w:pPr>
            <w:r>
              <w:rPr>
                <w:rFonts w:ascii="Arial" w:cs="Arial" w:eastAsia="Arial" w:hAnsi="Arial"/>
                <w:sz w:val="17"/>
                <w:szCs w:val="17"/>
                <w:color w:val="auto"/>
              </w:rPr>
              <w:t>4.8</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760" w:type="dxa"/>
            <w:vAlign w:val="bottom"/>
            <w:gridSpan w:val="33"/>
          </w:tcPr>
          <w:p>
            <w:pPr>
              <w:spacing w:after="0" w:line="176" w:lineRule="exact"/>
              <w:rPr>
                <w:rFonts w:ascii="Arial" w:cs="Arial" w:eastAsia="Arial" w:hAnsi="Arial"/>
                <w:sz w:val="17"/>
                <w:szCs w:val="17"/>
                <w:color w:val="0000FF"/>
                <w:w w:val="94"/>
              </w:rPr>
            </w:pPr>
            <w:hyperlink r:id="rId113">
              <w:r>
                <w:rPr>
                  <w:rFonts w:ascii="Arial" w:cs="Arial" w:eastAsia="Arial" w:hAnsi="Arial"/>
                  <w:sz w:val="17"/>
                  <w:szCs w:val="17"/>
                  <w:color w:val="0000FF"/>
                  <w:w w:val="94"/>
                </w:rPr>
                <w:t>Third Supplemental Indenture, dated as of March 24, 2021, among Diamondback Energy, Inc., Diamondback O&amp;G LLC and Wells Fargo</w:t>
              </w:r>
            </w:hyperlink>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Bank, National Association, as trustee (including the forms of 2023 Notes, 2031 Notes and 2051 Notes) (incorporated by reference to</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30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w w:val="98"/>
              </w:rPr>
            </w:pPr>
            <w:hyperlink r:id="rId113">
              <w:r>
                <w:rPr>
                  <w:rFonts w:ascii="Arial" w:cs="Arial" w:eastAsia="Arial" w:hAnsi="Arial"/>
                  <w:sz w:val="16"/>
                  <w:szCs w:val="16"/>
                  <w:color w:val="0000FF"/>
                  <w:w w:val="98"/>
                </w:rPr>
                <w:t>Exhibit 4.2 to the Form 8-K, File No. 001-35700, filed by the Company with the SEC on March 24, 2021).</w:t>
              </w:r>
            </w:hyperlink>
          </w:p>
        </w:tc>
        <w:tc>
          <w:tcPr>
            <w:tcW w:w="1800" w:type="dxa"/>
            <w:vAlign w:val="bottom"/>
            <w:tcBorders>
              <w:top w:val="single" w:sz="8" w:color="0000FF"/>
            </w:tcBorders>
            <w:gridSpan w:val="3"/>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749"/>
        </w:trPr>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10"/>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60"/>
              <w:spacing w:after="0"/>
              <w:rPr>
                <w:sz w:val="20"/>
                <w:szCs w:val="20"/>
                <w:color w:val="auto"/>
              </w:rPr>
            </w:pPr>
            <w:r>
              <w:rPr>
                <w:rFonts w:ascii="Arial" w:cs="Arial" w:eastAsia="Arial" w:hAnsi="Arial"/>
                <w:sz w:val="17"/>
                <w:szCs w:val="17"/>
                <w:i w:val="1"/>
                <w:iCs w:val="1"/>
                <w:color w:val="auto"/>
              </w:rPr>
              <w:t>3. Exhibits</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4"/>
        </w:trPr>
        <w:tc>
          <w:tcPr>
            <w:tcW w:w="1600" w:type="dxa"/>
            <w:vAlign w:val="bottom"/>
          </w:tcPr>
          <w:p>
            <w:pPr>
              <w:ind w:left="60"/>
              <w:spacing w:after="0"/>
              <w:rPr>
                <w:sz w:val="20"/>
                <w:szCs w:val="20"/>
                <w:color w:val="auto"/>
              </w:rPr>
            </w:pPr>
            <w:r>
              <w:rPr>
                <w:rFonts w:ascii="Arial" w:cs="Arial" w:eastAsia="Arial" w:hAnsi="Arial"/>
                <w:sz w:val="17"/>
                <w:szCs w:val="17"/>
                <w:b w:val="1"/>
                <w:bCs w:val="1"/>
                <w:color w:val="auto"/>
              </w:rPr>
              <w:t>Exhibit Number</w:t>
            </w:r>
          </w:p>
        </w:tc>
        <w:tc>
          <w:tcPr>
            <w:tcW w:w="10060" w:type="dxa"/>
            <w:vAlign w:val="bottom"/>
            <w:gridSpan w:val="41"/>
          </w:tcPr>
          <w:p>
            <w:pPr>
              <w:spacing w:after="0"/>
              <w:rPr>
                <w:sz w:val="20"/>
                <w:szCs w:val="20"/>
                <w:color w:val="auto"/>
              </w:rPr>
            </w:pPr>
            <w:r>
              <w:rPr>
                <w:rFonts w:ascii="Arial" w:cs="Arial" w:eastAsia="Arial" w:hAnsi="Arial"/>
                <w:sz w:val="17"/>
                <w:szCs w:val="17"/>
                <w:b w:val="1"/>
                <w:bCs w:val="1"/>
                <w:color w:val="auto"/>
              </w:rPr>
              <w:t>Description</w:t>
            </w:r>
          </w:p>
        </w:tc>
      </w:tr>
      <w:tr>
        <w:trPr>
          <w:trHeight w:val="112"/>
        </w:trPr>
        <w:tc>
          <w:tcPr>
            <w:tcW w:w="1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4.9</w:t>
            </w:r>
          </w:p>
        </w:tc>
        <w:tc>
          <w:tcPr>
            <w:tcW w:w="10060" w:type="dxa"/>
            <w:vAlign w:val="bottom"/>
            <w:gridSpan w:val="41"/>
            <w:shd w:val="clear" w:color="auto" w:fill="CCEEFF"/>
          </w:tcPr>
          <w:p>
            <w:pPr>
              <w:spacing w:after="0" w:line="176" w:lineRule="exact"/>
              <w:rPr>
                <w:rFonts w:ascii="Arial" w:cs="Arial" w:eastAsia="Arial" w:hAnsi="Arial"/>
                <w:sz w:val="17"/>
                <w:szCs w:val="17"/>
                <w:color w:val="0000FF"/>
                <w:w w:val="96"/>
              </w:rPr>
            </w:pPr>
            <w:hyperlink r:id="rId116">
              <w:r>
                <w:rPr>
                  <w:rFonts w:ascii="Arial" w:cs="Arial" w:eastAsia="Arial" w:hAnsi="Arial"/>
                  <w:sz w:val="17"/>
                  <w:szCs w:val="17"/>
                  <w:color w:val="0000FF"/>
                  <w:w w:val="96"/>
                </w:rPr>
                <w:t>Indenture, dated as of October 16, 2019, among Viper Energy Partners LP, as issuer, Viper Energy Partners LLC, as guarantor, and Wells</w:t>
              </w:r>
            </w:hyperlink>
          </w:p>
        </w:tc>
      </w:tr>
      <w:tr>
        <w:trPr>
          <w:trHeight w:val="142"/>
        </w:trPr>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9800" w:type="dxa"/>
            <w:vAlign w:val="bottom"/>
            <w:tcBorders>
              <w:top w:val="single" w:sz="8" w:color="0000FF"/>
              <w:bottom w:val="single" w:sz="8" w:color="0000FF"/>
            </w:tcBorders>
            <w:gridSpan w:val="28"/>
            <w:shd w:val="clear" w:color="auto" w:fill="CCEEFF"/>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Fargo Bank, National Association, as trustee (including the form of Viper Energy Partners LP’s 5.375% Senior Notes due 2027)</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1600" w:type="dxa"/>
            <w:vAlign w:val="bottom"/>
            <w:tcBorders>
              <w:bottom w:val="single" w:sz="8" w:color="CCEEFF"/>
            </w:tcBorders>
            <w:shd w:val="clear" w:color="auto" w:fill="CCEEFF"/>
          </w:tcPr>
          <w:p>
            <w:pPr>
              <w:spacing w:after="0"/>
              <w:rPr>
                <w:sz w:val="12"/>
                <w:szCs w:val="12"/>
                <w:color w:val="auto"/>
              </w:rPr>
            </w:pPr>
          </w:p>
        </w:tc>
        <w:tc>
          <w:tcPr>
            <w:tcW w:w="9920" w:type="dxa"/>
            <w:vAlign w:val="bottom"/>
            <w:tcBorders>
              <w:bottom w:val="single" w:sz="8" w:color="0000FF"/>
            </w:tcBorders>
            <w:gridSpan w:val="34"/>
            <w:shd w:val="clear" w:color="auto" w:fill="CCEEFF"/>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(incorporated by reference to Exhibit 4.1 of Viper Energy Partners LP’s Current Report on Form 8-K (File 001-36505) filed on October 17,</w:t>
              </w:r>
            </w:hyperlink>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42"/>
        </w:trPr>
        <w:tc>
          <w:tcPr>
            <w:tcW w:w="16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0000FF"/>
            </w:tcBorders>
            <w:shd w:val="clear" w:color="auto" w:fill="CCEEFF"/>
          </w:tcPr>
          <w:p>
            <w:pPr>
              <w:spacing w:after="0" w:line="142" w:lineRule="exact"/>
              <w:rPr>
                <w:rFonts w:ascii="Arial" w:cs="Arial" w:eastAsia="Arial" w:hAnsi="Arial"/>
                <w:sz w:val="16"/>
                <w:szCs w:val="16"/>
                <w:color w:val="0000FF"/>
                <w:w w:val="92"/>
              </w:rPr>
            </w:pPr>
            <w:hyperlink r:id="rId116">
              <w:r>
                <w:rPr>
                  <w:rFonts w:ascii="Arial" w:cs="Arial" w:eastAsia="Arial" w:hAnsi="Arial"/>
                  <w:sz w:val="16"/>
                  <w:szCs w:val="16"/>
                  <w:color w:val="0000FF"/>
                  <w:w w:val="92"/>
                </w:rPr>
                <w:t>2019).</w:t>
              </w:r>
            </w:hyperlink>
          </w:p>
        </w:tc>
        <w:tc>
          <w:tcPr>
            <w:tcW w:w="7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1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237"/>
        </w:trPr>
        <w:tc>
          <w:tcPr>
            <w:tcW w:w="1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4.10</w:t>
            </w:r>
          </w:p>
        </w:tc>
        <w:tc>
          <w:tcPr>
            <w:tcW w:w="10060" w:type="dxa"/>
            <w:vAlign w:val="bottom"/>
            <w:gridSpan w:val="41"/>
          </w:tcPr>
          <w:p>
            <w:pPr>
              <w:spacing w:after="0" w:line="176" w:lineRule="exact"/>
              <w:rPr>
                <w:rFonts w:ascii="Arial" w:cs="Arial" w:eastAsia="Arial" w:hAnsi="Arial"/>
                <w:sz w:val="17"/>
                <w:szCs w:val="17"/>
                <w:color w:val="0000FF"/>
                <w:w w:val="98"/>
              </w:rPr>
            </w:pPr>
            <w:hyperlink r:id="rId117">
              <w:r>
                <w:rPr>
                  <w:rFonts w:ascii="Arial" w:cs="Arial" w:eastAsia="Arial" w:hAnsi="Arial"/>
                  <w:sz w:val="17"/>
                  <w:szCs w:val="17"/>
                  <w:color w:val="0000FF"/>
                  <w:w w:val="98"/>
                </w:rPr>
                <w:t>Consent Letter, dated August 28, 2019, between Diamondback Energy, Inc., as parent guarantor, Diamondback O&amp;G LLC, as borrower,</w:t>
              </w:r>
            </w:hyperlink>
          </w:p>
        </w:tc>
      </w:tr>
      <w:tr>
        <w:trPr>
          <w:trHeight w:val="142"/>
        </w:trPr>
        <w:tc>
          <w:tcPr>
            <w:tcW w:w="1600" w:type="dxa"/>
            <w:vAlign w:val="bottom"/>
          </w:tcPr>
          <w:p>
            <w:pPr>
              <w:spacing w:after="0"/>
              <w:rPr>
                <w:sz w:val="12"/>
                <w:szCs w:val="12"/>
                <w:color w:val="auto"/>
              </w:rPr>
            </w:pPr>
          </w:p>
        </w:tc>
        <w:tc>
          <w:tcPr>
            <w:tcW w:w="9840" w:type="dxa"/>
            <w:vAlign w:val="bottom"/>
            <w:tcBorders>
              <w:top w:val="single" w:sz="8" w:color="0000FF"/>
            </w:tcBorders>
            <w:gridSpan w:val="30"/>
          </w:tcPr>
          <w:p>
            <w:pPr>
              <w:spacing w:after="0" w:line="142" w:lineRule="exact"/>
              <w:rPr>
                <w:rFonts w:ascii="Arial" w:cs="Arial" w:eastAsia="Arial" w:hAnsi="Arial"/>
                <w:sz w:val="16"/>
                <w:szCs w:val="16"/>
                <w:color w:val="0000FF"/>
                <w:w w:val="99"/>
              </w:rPr>
            </w:pPr>
            <w:hyperlink r:id="rId117">
              <w:r>
                <w:rPr>
                  <w:rFonts w:ascii="Arial" w:cs="Arial" w:eastAsia="Arial" w:hAnsi="Arial"/>
                  <w:sz w:val="16"/>
                  <w:szCs w:val="16"/>
                  <w:color w:val="0000FF"/>
                  <w:w w:val="99"/>
                </w:rPr>
                <w:t>certain other subsidiaries of Diamondback Energy, Inc. as guarantors, Wells Fargo Bank, National Association, as administrative agent,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7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the lenders party thereto. (incorporated by reference to Exhibit 10.1 of the Company’s Current Report on Form 8-K (File 001-35700) filed</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6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on September 4,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4.11</w:t>
            </w:r>
          </w:p>
        </w:tc>
        <w:tc>
          <w:tcPr>
            <w:tcW w:w="10060" w:type="dxa"/>
            <w:vAlign w:val="bottom"/>
            <w:gridSpan w:val="41"/>
            <w:shd w:val="clear" w:color="auto" w:fill="CCEEFF"/>
          </w:tcPr>
          <w:p>
            <w:pPr>
              <w:spacing w:after="0" w:line="176" w:lineRule="exact"/>
              <w:rPr>
                <w:rFonts w:ascii="Arial" w:cs="Arial" w:eastAsia="Arial" w:hAnsi="Arial"/>
                <w:sz w:val="17"/>
                <w:szCs w:val="17"/>
                <w:color w:val="0000FF"/>
              </w:rPr>
            </w:pPr>
            <w:hyperlink r:id="rId118">
              <w:r>
                <w:rPr>
                  <w:rFonts w:ascii="Arial" w:cs="Arial" w:eastAsia="Arial" w:hAnsi="Arial"/>
                  <w:sz w:val="17"/>
                  <w:szCs w:val="17"/>
                  <w:color w:val="0000FF"/>
                </w:rPr>
                <w:t>Subordinated Promissory Note, dated as of October 16, 2019, by Viper Energy Partners LLC in favor of Viper Energy Partners LP</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31"/>
            <w:shd w:val="clear" w:color="auto" w:fill="CCEEFF"/>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(incorporated by reference to Exhibit 10.2 of Viper Energy Partners LP’s Current Report on Form 8-K (File 001-36505) filed on October 17,</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8"/>
        </w:trPr>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6"/>
                <w:szCs w:val="16"/>
                <w:color w:val="0000FF"/>
                <w:w w:val="92"/>
              </w:rPr>
            </w:pPr>
            <w:hyperlink r:id="rId118">
              <w:r>
                <w:rPr>
                  <w:rFonts w:ascii="Arial" w:cs="Arial" w:eastAsia="Arial" w:hAnsi="Arial"/>
                  <w:sz w:val="16"/>
                  <w:szCs w:val="16"/>
                  <w:color w:val="0000FF"/>
                  <w:w w:val="92"/>
                </w:rPr>
                <w:t>2019).</w:t>
              </w:r>
            </w:hyperlink>
          </w:p>
        </w:tc>
        <w:tc>
          <w:tcPr>
            <w:tcW w:w="780" w:type="dxa"/>
            <w:vAlign w:val="bottom"/>
            <w:tcBorders>
              <w:top w:val="single" w:sz="8" w:color="0000FF"/>
              <w:bottom w:val="single" w:sz="8" w:color="CCEEFF"/>
            </w:tcBorders>
            <w:shd w:val="clear" w:color="auto" w:fill="CCEEFF"/>
          </w:tcPr>
          <w:p>
            <w:pPr>
              <w:spacing w:after="0"/>
              <w:rPr>
                <w:sz w:val="14"/>
                <w:szCs w:val="14"/>
                <w:color w:val="auto"/>
              </w:rPr>
            </w:pPr>
          </w:p>
        </w:tc>
        <w:tc>
          <w:tcPr>
            <w:tcW w:w="380" w:type="dxa"/>
            <w:vAlign w:val="bottom"/>
            <w:tcBorders>
              <w:top w:val="single" w:sz="8" w:color="0000FF"/>
              <w:bottom w:val="single" w:sz="8" w:color="CCEEFF"/>
            </w:tcBorders>
            <w:shd w:val="clear" w:color="auto" w:fill="CCEEFF"/>
          </w:tcPr>
          <w:p>
            <w:pPr>
              <w:spacing w:after="0"/>
              <w:rPr>
                <w:sz w:val="14"/>
                <w:szCs w:val="14"/>
                <w:color w:val="auto"/>
              </w:rPr>
            </w:pPr>
          </w:p>
        </w:tc>
        <w:tc>
          <w:tcPr>
            <w:tcW w:w="2160" w:type="dxa"/>
            <w:vAlign w:val="bottom"/>
            <w:tcBorders>
              <w:top w:val="single" w:sz="8" w:color="0000FF"/>
              <w:bottom w:val="single" w:sz="8" w:color="CCEEFF"/>
            </w:tcBorders>
            <w:shd w:val="clear" w:color="auto" w:fill="CCEEFF"/>
          </w:tcPr>
          <w:p>
            <w:pPr>
              <w:spacing w:after="0"/>
              <w:rPr>
                <w:sz w:val="14"/>
                <w:szCs w:val="14"/>
                <w:color w:val="auto"/>
              </w:rPr>
            </w:pPr>
          </w:p>
        </w:tc>
        <w:tc>
          <w:tcPr>
            <w:tcW w:w="36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30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860" w:type="dxa"/>
            <w:vAlign w:val="bottom"/>
            <w:tcBorders>
              <w:top w:val="single" w:sz="8" w:color="0000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1300" w:type="dxa"/>
            <w:vAlign w:val="bottom"/>
            <w:tcBorders>
              <w:top w:val="single" w:sz="8" w:color="0000FF"/>
              <w:bottom w:val="single" w:sz="8" w:color="CCEEFF"/>
            </w:tcBorders>
            <w:shd w:val="clear" w:color="auto" w:fill="CCEEFF"/>
          </w:tcPr>
          <w:p>
            <w:pPr>
              <w:spacing w:after="0"/>
              <w:rPr>
                <w:sz w:val="14"/>
                <w:szCs w:val="14"/>
                <w:color w:val="auto"/>
              </w:rPr>
            </w:pPr>
          </w:p>
        </w:tc>
        <w:tc>
          <w:tcPr>
            <w:tcW w:w="2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5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600" w:type="dxa"/>
            <w:vAlign w:val="bottom"/>
            <w:tcBorders>
              <w:top w:val="single" w:sz="8" w:color="CCEEFF"/>
            </w:tcBorders>
          </w:tcPr>
          <w:p>
            <w:pPr>
              <w:ind w:left="60"/>
              <w:spacing w:after="0" w:line="176" w:lineRule="exact"/>
              <w:rPr>
                <w:sz w:val="20"/>
                <w:szCs w:val="20"/>
                <w:color w:val="auto"/>
              </w:rPr>
            </w:pPr>
            <w:r>
              <w:rPr>
                <w:rFonts w:ascii="Arial" w:cs="Arial" w:eastAsia="Arial" w:hAnsi="Arial"/>
                <w:sz w:val="17"/>
                <w:szCs w:val="17"/>
                <w:color w:val="auto"/>
              </w:rPr>
              <w:t>4.12</w:t>
            </w:r>
          </w:p>
        </w:tc>
        <w:tc>
          <w:tcPr>
            <w:tcW w:w="10060" w:type="dxa"/>
            <w:vAlign w:val="bottom"/>
            <w:tcBorders>
              <w:top w:val="single" w:sz="8" w:color="CCEEFF"/>
            </w:tcBorders>
            <w:gridSpan w:val="41"/>
          </w:tcPr>
          <w:p>
            <w:pPr>
              <w:spacing w:after="0" w:line="176" w:lineRule="exact"/>
              <w:rPr>
                <w:rFonts w:ascii="Arial" w:cs="Arial" w:eastAsia="Arial" w:hAnsi="Arial"/>
                <w:sz w:val="17"/>
                <w:szCs w:val="17"/>
                <w:color w:val="0000FF"/>
                <w:w w:val="99"/>
              </w:rPr>
            </w:pPr>
            <w:hyperlink r:id="rId119">
              <w:r>
                <w:rPr>
                  <w:rFonts w:ascii="Arial" w:cs="Arial" w:eastAsia="Arial" w:hAnsi="Arial"/>
                  <w:sz w:val="17"/>
                  <w:szCs w:val="17"/>
                  <w:color w:val="0000FF"/>
                  <w:w w:val="99"/>
                </w:rPr>
                <w:t>Indenture, dated as of July 14, 2020, among Rattler Midstream LP, as issuer, Rattler Midstream Operating LLC, Tall City Towers LLC,</w:t>
              </w:r>
            </w:hyperlink>
          </w:p>
        </w:tc>
      </w:tr>
      <w:tr>
        <w:trPr>
          <w:trHeight w:val="142"/>
        </w:trPr>
        <w:tc>
          <w:tcPr>
            <w:tcW w:w="1600" w:type="dxa"/>
            <w:vAlign w:val="bottom"/>
          </w:tcPr>
          <w:p>
            <w:pPr>
              <w:spacing w:after="0"/>
              <w:rPr>
                <w:sz w:val="12"/>
                <w:szCs w:val="12"/>
                <w:color w:val="auto"/>
              </w:rPr>
            </w:pPr>
          </w:p>
        </w:tc>
        <w:tc>
          <w:tcPr>
            <w:tcW w:w="1002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Rattler Ajax Processing LLC, and Rattler OMOG LLC, as guarantors, and Wells Fargo Bank, National Association, as trustee (including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8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form of Rattler Midstream LP’s 5.625% Senior Notes due 2025) (incorporated by reference to Exhibit 4.1 to the Form 8-K,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7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38919, filed by Rattler Midstream LP with the SEC on July 14, 2020).</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4.13*</w:t>
            </w:r>
          </w:p>
        </w:tc>
        <w:tc>
          <w:tcPr>
            <w:tcW w:w="10060" w:type="dxa"/>
            <w:vAlign w:val="bottom"/>
            <w:gridSpan w:val="41"/>
            <w:shd w:val="clear" w:color="auto" w:fill="CCEEFF"/>
          </w:tcPr>
          <w:p>
            <w:pPr>
              <w:spacing w:after="0" w:line="176" w:lineRule="exact"/>
              <w:rPr>
                <w:rFonts w:ascii="Arial" w:cs="Arial" w:eastAsia="Arial" w:hAnsi="Arial"/>
                <w:sz w:val="17"/>
                <w:szCs w:val="17"/>
                <w:color w:val="0000FF"/>
                <w:w w:val="98"/>
              </w:rPr>
            </w:pPr>
            <w:hyperlink w:anchor="page137">
              <w:r>
                <w:rPr>
                  <w:rFonts w:ascii="Arial" w:cs="Arial" w:eastAsia="Arial" w:hAnsi="Arial"/>
                  <w:sz w:val="17"/>
                  <w:szCs w:val="17"/>
                  <w:color w:val="0000FF"/>
                  <w:w w:val="98"/>
                </w:rPr>
                <w:t>Supplemental Indenture, dated as of December 8, 2021, among Rattler WTG LLC, as guaranteeing subsidiary, Rattler Midstream LP, as</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940" w:type="dxa"/>
            <w:vAlign w:val="bottom"/>
            <w:tcBorders>
              <w:top w:val="single" w:sz="8" w:color="0000FF"/>
            </w:tcBorders>
            <w:gridSpan w:val="35"/>
            <w:shd w:val="clear" w:color="auto" w:fill="CCEEFF"/>
          </w:tcPr>
          <w:p>
            <w:pPr>
              <w:spacing w:after="0" w:line="142" w:lineRule="exact"/>
              <w:rPr>
                <w:rFonts w:ascii="Arial" w:cs="Arial" w:eastAsia="Arial" w:hAnsi="Arial"/>
                <w:sz w:val="16"/>
                <w:szCs w:val="16"/>
                <w:color w:val="0000FF"/>
              </w:rPr>
            </w:pPr>
            <w:hyperlink w:anchor="page137">
              <w:r>
                <w:rPr>
                  <w:rFonts w:ascii="Arial" w:cs="Arial" w:eastAsia="Arial" w:hAnsi="Arial"/>
                  <w:sz w:val="16"/>
                  <w:szCs w:val="16"/>
                  <w:color w:val="0000FF"/>
                </w:rPr>
                <w:t>issuer, Rattler Midstream Operating LLC, Tall City Towers LLC, Rattler OMOG LLC and Rattler Ajax Processing LLC, as the other</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880" w:type="dxa"/>
            <w:vAlign w:val="bottom"/>
            <w:tcBorders>
              <w:top w:val="single" w:sz="8" w:color="0000FF"/>
            </w:tcBorders>
            <w:gridSpan w:val="32"/>
            <w:shd w:val="clear" w:color="auto" w:fill="CCEEFF"/>
          </w:tcPr>
          <w:p>
            <w:pPr>
              <w:spacing w:after="0" w:line="142" w:lineRule="exact"/>
              <w:rPr>
                <w:rFonts w:ascii="Arial" w:cs="Arial" w:eastAsia="Arial" w:hAnsi="Arial"/>
                <w:sz w:val="16"/>
                <w:szCs w:val="16"/>
                <w:color w:val="0000FF"/>
              </w:rPr>
            </w:pPr>
            <w:hyperlink w:anchor="page137">
              <w:r>
                <w:rPr>
                  <w:rFonts w:ascii="Arial" w:cs="Arial" w:eastAsia="Arial" w:hAnsi="Arial"/>
                  <w:sz w:val="16"/>
                  <w:szCs w:val="16"/>
                  <w:color w:val="0000FF"/>
                </w:rPr>
                <w:t>guarantors, and Wells Fargo Bank, National Association, as trustee.</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4.14*</w:t>
            </w:r>
          </w:p>
        </w:tc>
        <w:tc>
          <w:tcPr>
            <w:tcW w:w="10060" w:type="dxa"/>
            <w:vAlign w:val="bottom"/>
            <w:gridSpan w:val="41"/>
          </w:tcPr>
          <w:p>
            <w:pPr>
              <w:spacing w:after="0" w:line="176" w:lineRule="exact"/>
              <w:rPr>
                <w:rFonts w:ascii="Arial" w:cs="Arial" w:eastAsia="Arial" w:hAnsi="Arial"/>
                <w:sz w:val="17"/>
                <w:szCs w:val="17"/>
                <w:color w:val="0000FF"/>
                <w:w w:val="94"/>
              </w:rPr>
            </w:pPr>
            <w:hyperlink w:anchor="page142">
              <w:r>
                <w:rPr>
                  <w:rFonts w:ascii="Arial" w:cs="Arial" w:eastAsia="Arial" w:hAnsi="Arial"/>
                  <w:sz w:val="17"/>
                  <w:szCs w:val="17"/>
                  <w:color w:val="0000FF"/>
                  <w:w w:val="94"/>
                </w:rPr>
                <w:t>Supplemental Indenture, dated as of December 22, 2021, among Rattler Holdings LLC, as guaranteeing subsidiary, Rattler Midstream LP, as</w:t>
              </w:r>
            </w:hyperlink>
          </w:p>
        </w:tc>
      </w:tr>
      <w:tr>
        <w:trPr>
          <w:trHeight w:val="142"/>
        </w:trPr>
        <w:tc>
          <w:tcPr>
            <w:tcW w:w="1600" w:type="dxa"/>
            <w:vAlign w:val="bottom"/>
          </w:tcPr>
          <w:p>
            <w:pPr>
              <w:spacing w:after="0"/>
              <w:rPr>
                <w:sz w:val="12"/>
                <w:szCs w:val="12"/>
                <w:color w:val="auto"/>
              </w:rPr>
            </w:pPr>
          </w:p>
        </w:tc>
        <w:tc>
          <w:tcPr>
            <w:tcW w:w="990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w:anchor="page142">
              <w:r>
                <w:rPr>
                  <w:rFonts w:ascii="Arial" w:cs="Arial" w:eastAsia="Arial" w:hAnsi="Arial"/>
                  <w:sz w:val="16"/>
                  <w:szCs w:val="16"/>
                  <w:color w:val="0000FF"/>
                </w:rPr>
                <w:t>issuer, Rattler Midstream Operating LLC, Tall City Towers LLC, Rattler OMOG LLC and Rattler Ajax Processing LLC, as the other</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88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w:anchor="page142">
              <w:r>
                <w:rPr>
                  <w:rFonts w:ascii="Arial" w:cs="Arial" w:eastAsia="Arial" w:hAnsi="Arial"/>
                  <w:sz w:val="16"/>
                  <w:szCs w:val="16"/>
                  <w:color w:val="0000FF"/>
                </w:rPr>
                <w:t>guarantors, and Wells Fargo Bank, National Association, as trustee.</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4.15</w:t>
            </w:r>
          </w:p>
        </w:tc>
        <w:tc>
          <w:tcPr>
            <w:tcW w:w="10060" w:type="dxa"/>
            <w:vAlign w:val="bottom"/>
            <w:gridSpan w:val="41"/>
            <w:shd w:val="clear" w:color="auto" w:fill="CCEEFF"/>
          </w:tcPr>
          <w:p>
            <w:pPr>
              <w:spacing w:after="0" w:line="176" w:lineRule="exact"/>
              <w:rPr>
                <w:rFonts w:ascii="Arial" w:cs="Arial" w:eastAsia="Arial" w:hAnsi="Arial"/>
                <w:sz w:val="17"/>
                <w:szCs w:val="17"/>
                <w:color w:val="0000FF"/>
              </w:rPr>
            </w:pPr>
            <w:hyperlink r:id="rId120">
              <w:r>
                <w:rPr>
                  <w:rFonts w:ascii="Arial" w:cs="Arial" w:eastAsia="Arial" w:hAnsi="Arial"/>
                  <w:sz w:val="17"/>
                  <w:szCs w:val="17"/>
                  <w:color w:val="0000FF"/>
                </w:rPr>
                <w:t>Form of Indenture, dated September  1, 1996, between Energen Corporation and The Bank of New York as trustee (incorporated by</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29"/>
            <w:shd w:val="clear" w:color="auto" w:fill="CCEEFF"/>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reference to Exhibit 4(i) to Energen Corporation’s Registration Statement on Form S-3 (Registration No. 333-11239), filed with the SEC on</w:t>
              </w:r>
            </w:hyperlink>
          </w:p>
        </w:tc>
        <w:tc>
          <w:tcPr>
            <w:tcW w:w="140" w:type="dxa"/>
            <w:vAlign w:val="bottom"/>
            <w:tcBorders>
              <w:top w:val="single" w:sz="8" w:color="CCEEFF"/>
            </w:tcBorders>
            <w:gridSpan w:val="7"/>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60" w:type="dxa"/>
            <w:vAlign w:val="bottom"/>
            <w:tcBorders>
              <w:top w:val="single" w:sz="8" w:color="0000FF"/>
            </w:tcBorders>
            <w:gridSpan w:val="26"/>
            <w:shd w:val="clear" w:color="auto" w:fill="CCEEFF"/>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August 30, 1996).</w:t>
              </w:r>
            </w:hyperlink>
          </w:p>
        </w:tc>
        <w:tc>
          <w:tcPr>
            <w:tcW w:w="200" w:type="dxa"/>
            <w:vAlign w:val="bottom"/>
            <w:tcBorders>
              <w:top w:val="single" w:sz="8" w:color="CCEEFF"/>
            </w:tcBorders>
            <w:gridSpan w:val="10"/>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4.16</w:t>
            </w:r>
          </w:p>
        </w:tc>
        <w:tc>
          <w:tcPr>
            <w:tcW w:w="10060" w:type="dxa"/>
            <w:vAlign w:val="bottom"/>
            <w:gridSpan w:val="41"/>
          </w:tcPr>
          <w:p>
            <w:pPr>
              <w:spacing w:after="0" w:line="176" w:lineRule="exact"/>
              <w:rPr>
                <w:rFonts w:ascii="Arial" w:cs="Arial" w:eastAsia="Arial" w:hAnsi="Arial"/>
                <w:sz w:val="17"/>
                <w:szCs w:val="17"/>
                <w:color w:val="0000FF"/>
                <w:w w:val="94"/>
              </w:rPr>
            </w:pPr>
            <w:hyperlink r:id="rId121">
              <w:r>
                <w:rPr>
                  <w:rFonts w:ascii="Arial" w:cs="Arial" w:eastAsia="Arial" w:hAnsi="Arial"/>
                  <w:sz w:val="17"/>
                  <w:szCs w:val="17"/>
                  <w:color w:val="0000FF"/>
                  <w:w w:val="94"/>
                </w:rPr>
                <w:t>Indenture, dated as of March 1, 2012, between QEP Resources, Inc. and Wells Fargo Bank, National Association as trustee (incorporated by</w:t>
              </w:r>
            </w:hyperlink>
          </w:p>
        </w:tc>
      </w:tr>
      <w:tr>
        <w:trPr>
          <w:trHeight w:val="142"/>
        </w:trPr>
        <w:tc>
          <w:tcPr>
            <w:tcW w:w="1600" w:type="dxa"/>
            <w:vAlign w:val="bottom"/>
          </w:tcPr>
          <w:p>
            <w:pPr>
              <w:spacing w:after="0"/>
              <w:rPr>
                <w:sz w:val="12"/>
                <w:szCs w:val="12"/>
                <w:color w:val="auto"/>
              </w:rPr>
            </w:pPr>
          </w:p>
        </w:tc>
        <w:tc>
          <w:tcPr>
            <w:tcW w:w="966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reference to Exhibit 4.1 to QEP Resources Inc.’s Current Report on Form 8-K, filed with the SEC on March 1, 2012).</w:t>
              </w:r>
            </w:hyperlink>
          </w:p>
        </w:tc>
        <w:tc>
          <w:tcPr>
            <w:tcW w:w="60" w:type="dxa"/>
            <w:vAlign w:val="bottom"/>
            <w:gridSpan w:val="3"/>
          </w:tcPr>
          <w:p>
            <w:pPr>
              <w:spacing w:after="0"/>
              <w:rPr>
                <w:sz w:val="12"/>
                <w:szCs w:val="12"/>
                <w:color w:val="auto"/>
              </w:rPr>
            </w:pPr>
          </w:p>
        </w:tc>
        <w:tc>
          <w:tcPr>
            <w:tcW w:w="24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4.17</w:t>
            </w:r>
          </w:p>
        </w:tc>
        <w:tc>
          <w:tcPr>
            <w:tcW w:w="10060" w:type="dxa"/>
            <w:vAlign w:val="bottom"/>
            <w:gridSpan w:val="41"/>
            <w:shd w:val="clear" w:color="auto" w:fill="CCEEFF"/>
          </w:tcPr>
          <w:p>
            <w:pPr>
              <w:spacing w:after="0" w:line="176" w:lineRule="exact"/>
              <w:rPr>
                <w:rFonts w:ascii="Arial" w:cs="Arial" w:eastAsia="Arial" w:hAnsi="Arial"/>
                <w:sz w:val="17"/>
                <w:szCs w:val="17"/>
                <w:color w:val="0000FF"/>
                <w:w w:val="96"/>
              </w:rPr>
            </w:pPr>
            <w:hyperlink r:id="rId122">
              <w:r>
                <w:rPr>
                  <w:rFonts w:ascii="Arial" w:cs="Arial" w:eastAsia="Arial" w:hAnsi="Arial"/>
                  <w:sz w:val="17"/>
                  <w:szCs w:val="17"/>
                  <w:color w:val="0000FF"/>
                  <w:w w:val="96"/>
                </w:rPr>
                <w:t>Officer’s Certificate, dated as of March 1, 2012 (including the form of the 5.375% Notes due 2022) (incorporated by reference to Exhibit 4.2</w:t>
              </w:r>
            </w:hyperlink>
          </w:p>
        </w:tc>
      </w:tr>
      <w:tr>
        <w:trPr>
          <w:trHeight w:val="163"/>
        </w:trPr>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6460" w:type="dxa"/>
            <w:vAlign w:val="bottom"/>
            <w:tcBorders>
              <w:top w:val="single" w:sz="8" w:color="0000FF"/>
              <w:bottom w:val="single" w:sz="8" w:color="0000FF"/>
            </w:tcBorders>
            <w:gridSpan w:val="13"/>
            <w:shd w:val="clear" w:color="auto" w:fill="CCEEFF"/>
          </w:tcPr>
          <w:p>
            <w:pPr>
              <w:spacing w:after="0" w:line="142" w:lineRule="exact"/>
              <w:rPr>
                <w:rFonts w:ascii="Arial" w:cs="Arial" w:eastAsia="Arial" w:hAnsi="Arial"/>
                <w:sz w:val="16"/>
                <w:szCs w:val="16"/>
                <w:color w:val="0000FF"/>
                <w:w w:val="97"/>
              </w:rPr>
            </w:pPr>
            <w:hyperlink r:id="rId122">
              <w:r>
                <w:rPr>
                  <w:rFonts w:ascii="Arial" w:cs="Arial" w:eastAsia="Arial" w:hAnsi="Arial"/>
                  <w:sz w:val="16"/>
                  <w:szCs w:val="16"/>
                  <w:color w:val="0000FF"/>
                  <w:w w:val="97"/>
                </w:rPr>
                <w:t>to QEP Resources, Inc.’s. Current Report on Form 8-K, filed with the SEC on March 1, 2012).</w:t>
              </w:r>
            </w:hyperlink>
          </w:p>
        </w:tc>
        <w:tc>
          <w:tcPr>
            <w:tcW w:w="3440" w:type="dxa"/>
            <w:vAlign w:val="bottom"/>
            <w:tcBorders>
              <w:top w:val="single" w:sz="8" w:color="0000FF"/>
              <w:bottom w:val="single" w:sz="8" w:color="CCEEFF"/>
            </w:tcBorders>
            <w:gridSpan w:val="20"/>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4.18</w:t>
            </w:r>
          </w:p>
        </w:tc>
        <w:tc>
          <w:tcPr>
            <w:tcW w:w="10060" w:type="dxa"/>
            <w:vAlign w:val="bottom"/>
            <w:gridSpan w:val="41"/>
          </w:tcPr>
          <w:p>
            <w:pPr>
              <w:spacing w:after="0" w:line="176" w:lineRule="exact"/>
              <w:rPr>
                <w:rFonts w:ascii="Arial" w:cs="Arial" w:eastAsia="Arial" w:hAnsi="Arial"/>
                <w:sz w:val="17"/>
                <w:szCs w:val="17"/>
                <w:color w:val="0000FF"/>
                <w:w w:val="96"/>
              </w:rPr>
            </w:pPr>
            <w:hyperlink r:id="rId123">
              <w:r>
                <w:rPr>
                  <w:rFonts w:ascii="Arial" w:cs="Arial" w:eastAsia="Arial" w:hAnsi="Arial"/>
                  <w:sz w:val="17"/>
                  <w:szCs w:val="17"/>
                  <w:color w:val="0000FF"/>
                  <w:w w:val="96"/>
                </w:rPr>
                <w:t>Officer’s Certificate, dated as of September 12, 2012 (incorporated by reference to Exhibit 4.1 to QEP Resources, Inc.’s Current Report on</w:t>
              </w:r>
            </w:hyperlink>
          </w:p>
        </w:tc>
      </w:tr>
      <w:tr>
        <w:trPr>
          <w:trHeight w:val="142"/>
        </w:trPr>
        <w:tc>
          <w:tcPr>
            <w:tcW w:w="1600" w:type="dxa"/>
            <w:vAlign w:val="bottom"/>
          </w:tcPr>
          <w:p>
            <w:pPr>
              <w:spacing w:after="0"/>
              <w:rPr>
                <w:sz w:val="12"/>
                <w:szCs w:val="12"/>
                <w:color w:val="auto"/>
              </w:rPr>
            </w:pPr>
          </w:p>
        </w:tc>
        <w:tc>
          <w:tcPr>
            <w:tcW w:w="100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Form 8-K, filed with the SEC on September 14, 2012).</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4.19</w:t>
            </w:r>
          </w:p>
        </w:tc>
        <w:tc>
          <w:tcPr>
            <w:tcW w:w="10060" w:type="dxa"/>
            <w:vAlign w:val="bottom"/>
            <w:gridSpan w:val="41"/>
            <w:shd w:val="clear" w:color="auto" w:fill="CCEEFF"/>
          </w:tcPr>
          <w:p>
            <w:pPr>
              <w:spacing w:after="0" w:line="176" w:lineRule="exact"/>
              <w:rPr>
                <w:rFonts w:ascii="Arial" w:cs="Arial" w:eastAsia="Arial" w:hAnsi="Arial"/>
                <w:sz w:val="17"/>
                <w:szCs w:val="17"/>
                <w:color w:val="0000FF"/>
                <w:w w:val="97"/>
              </w:rPr>
            </w:pPr>
            <w:hyperlink r:id="rId124">
              <w:r>
                <w:rPr>
                  <w:rFonts w:ascii="Arial" w:cs="Arial" w:eastAsia="Arial" w:hAnsi="Arial"/>
                  <w:sz w:val="17"/>
                  <w:szCs w:val="17"/>
                  <w:color w:val="0000FF"/>
                  <w:w w:val="97"/>
                </w:rPr>
                <w:t>Officer’s Certificate, dated as of November 21, 2017 (including the form of the 5.625% Senior Notes due 2026) (incorporated by reference</w:t>
              </w:r>
            </w:hyperlink>
          </w:p>
        </w:tc>
      </w:tr>
      <w:tr>
        <w:trPr>
          <w:trHeight w:val="163"/>
        </w:trPr>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7760" w:type="dxa"/>
            <w:vAlign w:val="bottom"/>
            <w:tcBorders>
              <w:top w:val="single" w:sz="8" w:color="0000FF"/>
              <w:bottom w:val="single" w:sz="8" w:color="0000FF"/>
            </w:tcBorders>
            <w:gridSpan w:val="14"/>
            <w:shd w:val="clear" w:color="auto" w:fill="CCEEFF"/>
          </w:tcPr>
          <w:p>
            <w:pPr>
              <w:spacing w:after="0" w:line="142" w:lineRule="exact"/>
              <w:rPr>
                <w:rFonts w:ascii="Arial" w:cs="Arial" w:eastAsia="Arial" w:hAnsi="Arial"/>
                <w:sz w:val="16"/>
                <w:szCs w:val="16"/>
                <w:color w:val="0000FF"/>
                <w:w w:val="97"/>
              </w:rPr>
            </w:pPr>
            <w:hyperlink r:id="rId124">
              <w:r>
                <w:rPr>
                  <w:rFonts w:ascii="Arial" w:cs="Arial" w:eastAsia="Arial" w:hAnsi="Arial"/>
                  <w:sz w:val="16"/>
                  <w:szCs w:val="16"/>
                  <w:color w:val="0000FF"/>
                  <w:w w:val="97"/>
                </w:rPr>
                <w:t>to Exhibit 4.2 to QEP Resources, Inc.’s Current Report on Form 8-K, filed with the SEC on November 21, 2017).</w:t>
              </w:r>
            </w:hyperlink>
          </w:p>
        </w:tc>
        <w:tc>
          <w:tcPr>
            <w:tcW w:w="196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240" w:type="dxa"/>
            <w:vAlign w:val="bottom"/>
            <w:tcBorders>
              <w:top w:val="single" w:sz="8" w:color="CCEEFF"/>
              <w:bottom w:val="single" w:sz="8" w:color="CCEEFF"/>
            </w:tcBorders>
            <w:gridSpan w:val="1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4.20</w:t>
            </w:r>
          </w:p>
        </w:tc>
        <w:tc>
          <w:tcPr>
            <w:tcW w:w="10060" w:type="dxa"/>
            <w:vAlign w:val="bottom"/>
            <w:gridSpan w:val="41"/>
          </w:tcPr>
          <w:p>
            <w:pPr>
              <w:spacing w:after="0" w:line="176" w:lineRule="exact"/>
              <w:rPr>
                <w:rFonts w:ascii="Arial" w:cs="Arial" w:eastAsia="Arial" w:hAnsi="Arial"/>
                <w:sz w:val="17"/>
                <w:szCs w:val="17"/>
                <w:color w:val="0000FF"/>
                <w:w w:val="98"/>
              </w:rPr>
            </w:pPr>
            <w:hyperlink r:id="rId125">
              <w:r>
                <w:rPr>
                  <w:rFonts w:ascii="Arial" w:cs="Arial" w:eastAsia="Arial" w:hAnsi="Arial"/>
                  <w:sz w:val="17"/>
                  <w:szCs w:val="17"/>
                  <w:color w:val="0000FF"/>
                  <w:w w:val="98"/>
                </w:rPr>
                <w:t>First Supplemental Indenture, dated as of March 23, 2021, among QEP Resources, Inc. and Wells Fargo Bank, National Association, as</w:t>
              </w:r>
            </w:hyperlink>
          </w:p>
        </w:tc>
      </w:tr>
      <w:tr>
        <w:trPr>
          <w:trHeight w:val="142"/>
        </w:trPr>
        <w:tc>
          <w:tcPr>
            <w:tcW w:w="1600" w:type="dxa"/>
            <w:vAlign w:val="bottom"/>
          </w:tcPr>
          <w:p>
            <w:pPr>
              <w:spacing w:after="0"/>
              <w:rPr>
                <w:sz w:val="12"/>
                <w:szCs w:val="12"/>
                <w:color w:val="auto"/>
              </w:rPr>
            </w:pPr>
          </w:p>
        </w:tc>
        <w:tc>
          <w:tcPr>
            <w:tcW w:w="100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trustee (incorporated by reference to Exhibit 4.3 to the Form 8-K, File No. 001-35700, filed by the Company with the SEC on March 24,</w:t>
              </w:r>
            </w:hyperlink>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2"/>
              </w:rPr>
            </w:pPr>
            <w:hyperlink r:id="rId125">
              <w:r>
                <w:rPr>
                  <w:rFonts w:ascii="Arial" w:cs="Arial" w:eastAsia="Arial" w:hAnsi="Arial"/>
                  <w:sz w:val="16"/>
                  <w:szCs w:val="16"/>
                  <w:color w:val="0000FF"/>
                  <w:w w:val="92"/>
                </w:rPr>
                <w:t>2021).</w:t>
              </w:r>
            </w:hyperlink>
          </w:p>
        </w:tc>
        <w:tc>
          <w:tcPr>
            <w:tcW w:w="78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1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10.1+</w:t>
            </w:r>
          </w:p>
        </w:tc>
        <w:tc>
          <w:tcPr>
            <w:tcW w:w="10060" w:type="dxa"/>
            <w:vAlign w:val="bottom"/>
            <w:gridSpan w:val="41"/>
            <w:shd w:val="clear" w:color="auto" w:fill="CCEEFF"/>
          </w:tcPr>
          <w:p>
            <w:pPr>
              <w:spacing w:after="0" w:line="176" w:lineRule="exact"/>
              <w:rPr>
                <w:rFonts w:ascii="Arial" w:cs="Arial" w:eastAsia="Arial" w:hAnsi="Arial"/>
                <w:sz w:val="17"/>
                <w:szCs w:val="17"/>
                <w:color w:val="0000FF"/>
                <w:w w:val="98"/>
              </w:rPr>
            </w:pPr>
            <w:hyperlink r:id="rId126">
              <w:r>
                <w:rPr>
                  <w:rFonts w:ascii="Arial" w:cs="Arial" w:eastAsia="Arial" w:hAnsi="Arial"/>
                  <w:sz w:val="17"/>
                  <w:szCs w:val="17"/>
                  <w:color w:val="0000FF"/>
                  <w:w w:val="98"/>
                </w:rPr>
                <w:t>2020 Form of Time Vesting Restricted Stock Unit Award Agreement (incorporated by reference to Exhibit 10.2 of the Company’s Annual</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600" w:type="dxa"/>
            <w:vAlign w:val="bottom"/>
            <w:tcBorders>
              <w:top w:val="single" w:sz="8" w:color="0000FF"/>
            </w:tcBorders>
            <w:gridSpan w:val="18"/>
            <w:shd w:val="clear" w:color="auto" w:fill="CCEEFF"/>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Report on Form 10-K (File 001-35700) filed on February 27, 2020).</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gridSpan w:val="16"/>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780" w:type="dxa"/>
            <w:vAlign w:val="bottom"/>
            <w:tcBorders>
              <w:top w:val="single" w:sz="8" w:color="0000FF"/>
            </w:tcBorders>
            <w:shd w:val="clear" w:color="auto" w:fill="CCEEFF"/>
          </w:tcPr>
          <w:p>
            <w:pPr>
              <w:spacing w:after="0"/>
              <w:rPr>
                <w:sz w:val="11"/>
                <w:szCs w:val="11"/>
                <w:color w:val="auto"/>
              </w:rPr>
            </w:pPr>
          </w:p>
        </w:tc>
        <w:tc>
          <w:tcPr>
            <w:tcW w:w="380" w:type="dxa"/>
            <w:vAlign w:val="bottom"/>
            <w:tcBorders>
              <w:top w:val="single" w:sz="8" w:color="0000FF"/>
            </w:tcBorders>
            <w:shd w:val="clear" w:color="auto" w:fill="CCEEFF"/>
          </w:tcPr>
          <w:p>
            <w:pPr>
              <w:spacing w:after="0"/>
              <w:rPr>
                <w:sz w:val="11"/>
                <w:szCs w:val="11"/>
                <w:color w:val="auto"/>
              </w:rPr>
            </w:pPr>
          </w:p>
        </w:tc>
        <w:tc>
          <w:tcPr>
            <w:tcW w:w="2160" w:type="dxa"/>
            <w:vAlign w:val="bottom"/>
            <w:tcBorders>
              <w:top w:val="single" w:sz="8" w:color="0000FF"/>
            </w:tcBorders>
            <w:shd w:val="clear" w:color="auto" w:fill="CCEEFF"/>
          </w:tcPr>
          <w:p>
            <w:pPr>
              <w:spacing w:after="0"/>
              <w:rPr>
                <w:sz w:val="11"/>
                <w:szCs w:val="11"/>
                <w:color w:val="auto"/>
              </w:rPr>
            </w:pPr>
          </w:p>
        </w:tc>
        <w:tc>
          <w:tcPr>
            <w:tcW w:w="360" w:type="dxa"/>
            <w:vAlign w:val="bottom"/>
            <w:tcBorders>
              <w:top w:val="single" w:sz="8" w:color="0000FF"/>
            </w:tcBorders>
            <w:shd w:val="clear" w:color="auto" w:fill="CCEEFF"/>
          </w:tcPr>
          <w:p>
            <w:pPr>
              <w:spacing w:after="0"/>
              <w:rPr>
                <w:sz w:val="11"/>
                <w:szCs w:val="11"/>
                <w:color w:val="auto"/>
              </w:rPr>
            </w:pPr>
          </w:p>
        </w:tc>
        <w:tc>
          <w:tcPr>
            <w:tcW w:w="18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5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10.2+</w:t>
            </w:r>
          </w:p>
        </w:tc>
        <w:tc>
          <w:tcPr>
            <w:tcW w:w="10060" w:type="dxa"/>
            <w:vAlign w:val="bottom"/>
            <w:gridSpan w:val="41"/>
          </w:tcPr>
          <w:p>
            <w:pPr>
              <w:spacing w:after="0" w:line="176" w:lineRule="exact"/>
              <w:rPr>
                <w:rFonts w:ascii="Arial" w:cs="Arial" w:eastAsia="Arial" w:hAnsi="Arial"/>
                <w:sz w:val="17"/>
                <w:szCs w:val="17"/>
                <w:color w:val="0000FF"/>
                <w:w w:val="98"/>
              </w:rPr>
            </w:pPr>
            <w:hyperlink r:id="rId127">
              <w:r>
                <w:rPr>
                  <w:rFonts w:ascii="Arial" w:cs="Arial" w:eastAsia="Arial" w:hAnsi="Arial"/>
                  <w:sz w:val="17"/>
                  <w:szCs w:val="17"/>
                  <w:color w:val="0000FF"/>
                  <w:w w:val="98"/>
                </w:rPr>
                <w:t>2020 Form of Performance Vesting Restricted Stock Unit Award Agreement (incorporated by reference to Exhibit 10.3 of the Company’s</w:t>
              </w:r>
            </w:hyperlink>
          </w:p>
        </w:tc>
      </w:tr>
      <w:tr>
        <w:trPr>
          <w:trHeight w:val="142"/>
        </w:trPr>
        <w:tc>
          <w:tcPr>
            <w:tcW w:w="1600" w:type="dxa"/>
            <w:vAlign w:val="bottom"/>
          </w:tcPr>
          <w:p>
            <w:pPr>
              <w:spacing w:after="0"/>
              <w:rPr>
                <w:sz w:val="12"/>
                <w:szCs w:val="12"/>
                <w:color w:val="auto"/>
              </w:rPr>
            </w:pPr>
          </w:p>
        </w:tc>
        <w:tc>
          <w:tcPr>
            <w:tcW w:w="95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Annual Report on Form 10-K (File 001-35700) filed on February 27,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1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29"/>
        </w:trPr>
        <w:tc>
          <w:tcPr>
            <w:tcW w:w="1600" w:type="dxa"/>
            <w:vAlign w:val="bottom"/>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16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10.3+</w:t>
            </w:r>
          </w:p>
        </w:tc>
        <w:tc>
          <w:tcPr>
            <w:tcW w:w="10060" w:type="dxa"/>
            <w:vAlign w:val="bottom"/>
            <w:gridSpan w:val="41"/>
            <w:shd w:val="clear" w:color="auto" w:fill="CCEEFF"/>
          </w:tcPr>
          <w:p>
            <w:pPr>
              <w:spacing w:after="0" w:line="176" w:lineRule="exact"/>
              <w:rPr>
                <w:rFonts w:ascii="Arial" w:cs="Arial" w:eastAsia="Arial" w:hAnsi="Arial"/>
                <w:sz w:val="17"/>
                <w:szCs w:val="17"/>
                <w:color w:val="0000FF"/>
                <w:w w:val="96"/>
              </w:rPr>
            </w:pPr>
            <w:hyperlink r:id="rId128">
              <w:r>
                <w:rPr>
                  <w:rFonts w:ascii="Arial" w:cs="Arial" w:eastAsia="Arial" w:hAnsi="Arial"/>
                  <w:sz w:val="17"/>
                  <w:szCs w:val="17"/>
                  <w:color w:val="0000FF"/>
                  <w:w w:val="96"/>
                </w:rPr>
                <w:t>2021 Amended and Restated Diamondback Energy, Inc. Equity Incentive Plan (incorporated by reference to Appendix B to Schedule DEF</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31"/>
            <w:shd w:val="clear" w:color="auto" w:fill="CCEEFF"/>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14A filed by the Company with the SEC on April 23, 2021).</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10.4+</w:t>
            </w:r>
          </w:p>
        </w:tc>
        <w:tc>
          <w:tcPr>
            <w:tcW w:w="10060" w:type="dxa"/>
            <w:vAlign w:val="bottom"/>
            <w:gridSpan w:val="41"/>
          </w:tcPr>
          <w:p>
            <w:pPr>
              <w:spacing w:after="0" w:line="176" w:lineRule="exact"/>
              <w:rPr>
                <w:rFonts w:ascii="Arial" w:cs="Arial" w:eastAsia="Arial" w:hAnsi="Arial"/>
                <w:sz w:val="17"/>
                <w:szCs w:val="17"/>
                <w:color w:val="0000FF"/>
                <w:w w:val="99"/>
              </w:rPr>
            </w:pPr>
            <w:hyperlink r:id="rId129">
              <w:r>
                <w:rPr>
                  <w:rFonts w:ascii="Arial" w:cs="Arial" w:eastAsia="Arial" w:hAnsi="Arial"/>
                  <w:sz w:val="17"/>
                  <w:szCs w:val="17"/>
                  <w:color w:val="0000FF"/>
                  <w:w w:val="99"/>
                </w:rPr>
                <w:t>2021 Form of Time Vesting Restricted Stock Unit Award Agreement (incorporated by reference to Exhibit 10.4 of the Annual Report on</w:t>
              </w:r>
            </w:hyperlink>
          </w:p>
        </w:tc>
      </w:tr>
      <w:tr>
        <w:trPr>
          <w:trHeight w:val="142"/>
        </w:trPr>
        <w:tc>
          <w:tcPr>
            <w:tcW w:w="1600" w:type="dxa"/>
            <w:vAlign w:val="bottom"/>
          </w:tcPr>
          <w:p>
            <w:pPr>
              <w:spacing w:after="0"/>
              <w:rPr>
                <w:sz w:val="12"/>
                <w:szCs w:val="12"/>
                <w:color w:val="auto"/>
              </w:rPr>
            </w:pPr>
          </w:p>
        </w:tc>
        <w:tc>
          <w:tcPr>
            <w:tcW w:w="97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Form 10-K (File 001-35700) filed by the Company with the SEC on February 25, 2021).</w:t>
              </w:r>
            </w:hyperlink>
          </w:p>
        </w:tc>
        <w:tc>
          <w:tcPr>
            <w:tcW w:w="260" w:type="dxa"/>
            <w:vAlign w:val="bottom"/>
            <w:gridSpan w:val="1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10.5+</w:t>
            </w:r>
          </w:p>
        </w:tc>
        <w:tc>
          <w:tcPr>
            <w:tcW w:w="10060" w:type="dxa"/>
            <w:vAlign w:val="bottom"/>
            <w:gridSpan w:val="41"/>
            <w:shd w:val="clear" w:color="auto" w:fill="CCEEFF"/>
          </w:tcPr>
          <w:p>
            <w:pPr>
              <w:spacing w:after="0" w:line="176" w:lineRule="exact"/>
              <w:rPr>
                <w:rFonts w:ascii="Arial" w:cs="Arial" w:eastAsia="Arial" w:hAnsi="Arial"/>
                <w:sz w:val="17"/>
                <w:szCs w:val="17"/>
                <w:color w:val="0000FF"/>
                <w:w w:val="98"/>
              </w:rPr>
            </w:pPr>
            <w:hyperlink r:id="rId130">
              <w:r>
                <w:rPr>
                  <w:rFonts w:ascii="Arial" w:cs="Arial" w:eastAsia="Arial" w:hAnsi="Arial"/>
                  <w:sz w:val="17"/>
                  <w:szCs w:val="17"/>
                  <w:color w:val="0000FF"/>
                  <w:w w:val="98"/>
                </w:rPr>
                <w:t>2021 Form of Performance Vesting Restricted Stock Unit Agreement (incorporated by reference to Exhibit 10.5 of the Annual Report on</w:t>
              </w:r>
            </w:hyperlink>
          </w:p>
        </w:tc>
      </w:tr>
      <w:tr>
        <w:trPr>
          <w:trHeight w:val="163"/>
        </w:trPr>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6060" w:type="dxa"/>
            <w:vAlign w:val="bottom"/>
            <w:tcBorders>
              <w:top w:val="single" w:sz="8" w:color="0000FF"/>
              <w:bottom w:val="single" w:sz="8" w:color="0000FF"/>
            </w:tcBorders>
            <w:gridSpan w:val="12"/>
            <w:shd w:val="clear" w:color="auto" w:fill="CCEEFF"/>
          </w:tcPr>
          <w:p>
            <w:pPr>
              <w:spacing w:after="0" w:line="142" w:lineRule="exact"/>
              <w:rPr>
                <w:rFonts w:ascii="Arial" w:cs="Arial" w:eastAsia="Arial" w:hAnsi="Arial"/>
                <w:sz w:val="16"/>
                <w:szCs w:val="16"/>
                <w:color w:val="0000FF"/>
                <w:w w:val="98"/>
              </w:rPr>
            </w:pPr>
            <w:hyperlink r:id="rId130">
              <w:r>
                <w:rPr>
                  <w:rFonts w:ascii="Arial" w:cs="Arial" w:eastAsia="Arial" w:hAnsi="Arial"/>
                  <w:sz w:val="16"/>
                  <w:szCs w:val="16"/>
                  <w:color w:val="0000FF"/>
                  <w:w w:val="98"/>
                </w:rPr>
                <w:t>Form 10-K (File 001-35700) filed by the Company with the SEC on February 25, 2021).</w:t>
              </w:r>
            </w:hyperlink>
          </w:p>
        </w:tc>
        <w:tc>
          <w:tcPr>
            <w:tcW w:w="358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320" w:type="dxa"/>
            <w:vAlign w:val="bottom"/>
            <w:tcBorders>
              <w:top w:val="single" w:sz="8" w:color="CCEEFF"/>
              <w:bottom w:val="single" w:sz="8" w:color="CCEEFF"/>
            </w:tcBorders>
            <w:gridSpan w:val="1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10.6+</w:t>
            </w:r>
          </w:p>
        </w:tc>
        <w:tc>
          <w:tcPr>
            <w:tcW w:w="10060" w:type="dxa"/>
            <w:vAlign w:val="bottom"/>
            <w:gridSpan w:val="41"/>
          </w:tcPr>
          <w:p>
            <w:pPr>
              <w:spacing w:after="0" w:line="176" w:lineRule="exact"/>
              <w:rPr>
                <w:rFonts w:ascii="Arial" w:cs="Arial" w:eastAsia="Arial" w:hAnsi="Arial"/>
                <w:sz w:val="17"/>
                <w:szCs w:val="17"/>
                <w:color w:val="0000FF"/>
                <w:w w:val="99"/>
              </w:rPr>
            </w:pPr>
            <w:hyperlink r:id="rId131">
              <w:r>
                <w:rPr>
                  <w:rFonts w:ascii="Arial" w:cs="Arial" w:eastAsia="Arial" w:hAnsi="Arial"/>
                  <w:sz w:val="17"/>
                  <w:szCs w:val="17"/>
                  <w:color w:val="0000FF"/>
                  <w:w w:val="99"/>
                </w:rPr>
                <w:t>Form of Time-Vesting Restricted Stock Unit Award Agreement (incorporated by reference to Exhibit 10.1 to the Form 8-K, File No. 001-</w:t>
              </w:r>
            </w:hyperlink>
          </w:p>
        </w:tc>
      </w:tr>
      <w:tr>
        <w:trPr>
          <w:trHeight w:val="142"/>
        </w:trPr>
        <w:tc>
          <w:tcPr>
            <w:tcW w:w="1600" w:type="dxa"/>
            <w:vAlign w:val="bottom"/>
          </w:tcPr>
          <w:p>
            <w:pPr>
              <w:spacing w:after="0"/>
              <w:rPr>
                <w:sz w:val="12"/>
                <w:szCs w:val="12"/>
                <w:color w:val="auto"/>
              </w:rPr>
            </w:pPr>
          </w:p>
        </w:tc>
        <w:tc>
          <w:tcPr>
            <w:tcW w:w="998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35700, filed by the Company with the SEC on March 5, 2014).</w:t>
              </w:r>
            </w:hyperlink>
          </w:p>
        </w:tc>
        <w:tc>
          <w:tcPr>
            <w:tcW w:w="80" w:type="dxa"/>
            <w:vAlign w:val="bottom"/>
            <w:gridSpan w:val="4"/>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10.7+</w:t>
            </w:r>
          </w:p>
        </w:tc>
        <w:tc>
          <w:tcPr>
            <w:tcW w:w="10060" w:type="dxa"/>
            <w:vAlign w:val="bottom"/>
            <w:gridSpan w:val="41"/>
            <w:shd w:val="clear" w:color="auto" w:fill="CCEEFF"/>
          </w:tcPr>
          <w:p>
            <w:pPr>
              <w:spacing w:after="0" w:line="176" w:lineRule="exact"/>
              <w:rPr>
                <w:rFonts w:ascii="Arial" w:cs="Arial" w:eastAsia="Arial" w:hAnsi="Arial"/>
                <w:sz w:val="17"/>
                <w:szCs w:val="17"/>
                <w:color w:val="0000FF"/>
                <w:w w:val="97"/>
              </w:rPr>
            </w:pPr>
            <w:hyperlink r:id="rId132">
              <w:r>
                <w:rPr>
                  <w:rFonts w:ascii="Arial" w:cs="Arial" w:eastAsia="Arial" w:hAnsi="Arial"/>
                  <w:sz w:val="17"/>
                  <w:szCs w:val="17"/>
                  <w:color w:val="0000FF"/>
                  <w:w w:val="97"/>
                </w:rPr>
                <w:t>Form of Performance-Based Restricted Stock Unit Award Agreement (incorporated by reference to Exhibit 10.2 to the Form 8-K, File No.</w:t>
              </w:r>
            </w:hyperlink>
          </w:p>
        </w:tc>
      </w:tr>
      <w:tr>
        <w:trPr>
          <w:trHeight w:val="162"/>
        </w:trPr>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462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7"/>
              </w:rPr>
            </w:pPr>
            <w:hyperlink r:id="rId132">
              <w:r>
                <w:rPr>
                  <w:rFonts w:ascii="Arial" w:cs="Arial" w:eastAsia="Arial" w:hAnsi="Arial"/>
                  <w:sz w:val="16"/>
                  <w:szCs w:val="16"/>
                  <w:color w:val="0000FF"/>
                  <w:w w:val="97"/>
                </w:rPr>
                <w:t>001-35700, filed by the Company with the SEC on March 5, 2014).</w:t>
              </w:r>
            </w:hyperlink>
          </w:p>
        </w:tc>
        <w:tc>
          <w:tcPr>
            <w:tcW w:w="5340" w:type="dxa"/>
            <w:vAlign w:val="bottom"/>
            <w:tcBorders>
              <w:top w:val="single" w:sz="8" w:color="0000FF"/>
              <w:bottom w:val="single" w:sz="8" w:color="CCEEFF"/>
            </w:tcBorders>
            <w:gridSpan w:val="28"/>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10.8+</w:t>
            </w:r>
          </w:p>
        </w:tc>
        <w:tc>
          <w:tcPr>
            <w:tcW w:w="10060" w:type="dxa"/>
            <w:vAlign w:val="bottom"/>
            <w:gridSpan w:val="41"/>
          </w:tcPr>
          <w:p>
            <w:pPr>
              <w:spacing w:after="0" w:line="176" w:lineRule="exact"/>
              <w:rPr>
                <w:rFonts w:ascii="Arial" w:cs="Arial" w:eastAsia="Arial" w:hAnsi="Arial"/>
                <w:sz w:val="17"/>
                <w:szCs w:val="17"/>
                <w:color w:val="0000FF"/>
              </w:rPr>
            </w:pPr>
            <w:hyperlink r:id="rId133">
              <w:r>
                <w:rPr>
                  <w:rFonts w:ascii="Arial" w:cs="Arial" w:eastAsia="Arial" w:hAnsi="Arial"/>
                  <w:sz w:val="17"/>
                  <w:szCs w:val="17"/>
                  <w:color w:val="0000FF"/>
                </w:rPr>
                <w:t>Form of Director and Officer Indemnification Agreement (incorporated by reference to Exhibit 10.15 to Amendment No. 4 to the</w:t>
              </w:r>
            </w:hyperlink>
          </w:p>
        </w:tc>
      </w:tr>
      <w:tr>
        <w:trPr>
          <w:trHeight w:val="142"/>
        </w:trPr>
        <w:tc>
          <w:tcPr>
            <w:tcW w:w="1600" w:type="dxa"/>
            <w:vAlign w:val="bottom"/>
          </w:tcPr>
          <w:p>
            <w:pPr>
              <w:spacing w:after="0"/>
              <w:rPr>
                <w:sz w:val="12"/>
                <w:szCs w:val="12"/>
                <w:color w:val="auto"/>
              </w:rPr>
            </w:pPr>
          </w:p>
        </w:tc>
        <w:tc>
          <w:tcPr>
            <w:tcW w:w="96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Registration Statement on Form S-1, File No. 333-179502, filed by the Company with the SEC on August 20, 2012).</w:t>
              </w:r>
            </w:hyperlink>
          </w:p>
        </w:tc>
        <w:tc>
          <w:tcPr>
            <w:tcW w:w="440" w:type="dxa"/>
            <w:vAlign w:val="bottom"/>
            <w:gridSpan w:val="22"/>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60"/>
              <w:spacing w:after="0"/>
              <w:rPr>
                <w:sz w:val="20"/>
                <w:szCs w:val="20"/>
                <w:color w:val="auto"/>
              </w:rPr>
            </w:pPr>
            <w:r>
              <w:rPr>
                <w:rFonts w:ascii="Arial" w:cs="Arial" w:eastAsia="Arial" w:hAnsi="Arial"/>
                <w:sz w:val="17"/>
                <w:szCs w:val="17"/>
                <w:i w:val="1"/>
                <w:iCs w:val="1"/>
                <w:color w:val="auto"/>
              </w:rPr>
              <w:t>3. Exhibits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4"/>
        </w:trPr>
        <w:tc>
          <w:tcPr>
            <w:tcW w:w="1600" w:type="dxa"/>
            <w:vAlign w:val="bottom"/>
          </w:tcPr>
          <w:p>
            <w:pPr>
              <w:ind w:left="60"/>
              <w:spacing w:after="0"/>
              <w:rPr>
                <w:sz w:val="20"/>
                <w:szCs w:val="20"/>
                <w:color w:val="auto"/>
              </w:rPr>
            </w:pPr>
            <w:r>
              <w:rPr>
                <w:rFonts w:ascii="Arial" w:cs="Arial" w:eastAsia="Arial" w:hAnsi="Arial"/>
                <w:sz w:val="17"/>
                <w:szCs w:val="17"/>
                <w:b w:val="1"/>
                <w:bCs w:val="1"/>
                <w:color w:val="auto"/>
              </w:rPr>
              <w:t>Exhibit Number</w:t>
            </w:r>
          </w:p>
        </w:tc>
        <w:tc>
          <w:tcPr>
            <w:tcW w:w="10160" w:type="dxa"/>
            <w:vAlign w:val="bottom"/>
            <w:gridSpan w:val="45"/>
          </w:tcPr>
          <w:p>
            <w:pPr>
              <w:spacing w:after="0"/>
              <w:rPr>
                <w:sz w:val="20"/>
                <w:szCs w:val="20"/>
                <w:color w:val="auto"/>
              </w:rPr>
            </w:pPr>
            <w:r>
              <w:rPr>
                <w:rFonts w:ascii="Arial" w:cs="Arial" w:eastAsia="Arial" w:hAnsi="Arial"/>
                <w:sz w:val="17"/>
                <w:szCs w:val="17"/>
                <w:b w:val="1"/>
                <w:bCs w:val="1"/>
                <w:color w:val="auto"/>
              </w:rPr>
              <w:t>Description</w:t>
            </w:r>
          </w:p>
        </w:tc>
      </w:tr>
      <w:tr>
        <w:trPr>
          <w:trHeight w:val="112"/>
        </w:trPr>
        <w:tc>
          <w:tcPr>
            <w:tcW w:w="1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10.9+*</w:t>
            </w:r>
          </w:p>
        </w:tc>
        <w:tc>
          <w:tcPr>
            <w:tcW w:w="10160" w:type="dxa"/>
            <w:vAlign w:val="bottom"/>
            <w:gridSpan w:val="45"/>
            <w:shd w:val="clear" w:color="auto" w:fill="CCEEFF"/>
          </w:tcPr>
          <w:p>
            <w:pPr>
              <w:spacing w:after="0" w:line="176" w:lineRule="exact"/>
              <w:rPr>
                <w:rFonts w:ascii="Arial" w:cs="Arial" w:eastAsia="Arial" w:hAnsi="Arial"/>
                <w:sz w:val="17"/>
                <w:szCs w:val="17"/>
                <w:color w:val="0000FF"/>
              </w:rPr>
            </w:pPr>
            <w:hyperlink w:anchor="page147">
              <w:r>
                <w:rPr>
                  <w:rFonts w:ascii="Arial" w:cs="Arial" w:eastAsia="Arial" w:hAnsi="Arial"/>
                  <w:sz w:val="17"/>
                  <w:szCs w:val="17"/>
                  <w:color w:val="0000FF"/>
                </w:rPr>
                <w:t>Diamondback Energy, Inc. Amended and Restated Senior Management Severance Plan, adopted effective as of February 21, 2022</w:t>
              </w:r>
            </w:hyperlink>
          </w:p>
        </w:tc>
      </w:tr>
      <w:tr>
        <w:trPr>
          <w:trHeight w:val="163"/>
        </w:trPr>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5280" w:type="dxa"/>
            <w:vAlign w:val="bottom"/>
            <w:tcBorders>
              <w:top w:val="single" w:sz="8" w:color="0000FF"/>
              <w:bottom w:val="single" w:sz="8" w:color="0000FF"/>
            </w:tcBorders>
            <w:gridSpan w:val="9"/>
            <w:shd w:val="clear" w:color="auto" w:fill="CCEEFF"/>
          </w:tcPr>
          <w:p>
            <w:pPr>
              <w:spacing w:after="0" w:line="142" w:lineRule="exact"/>
              <w:rPr>
                <w:rFonts w:ascii="Arial" w:cs="Arial" w:eastAsia="Arial" w:hAnsi="Arial"/>
                <w:sz w:val="16"/>
                <w:szCs w:val="16"/>
                <w:color w:val="0000FF"/>
                <w:w w:val="96"/>
              </w:rPr>
            </w:pPr>
            <w:hyperlink w:anchor="page147">
              <w:r>
                <w:rPr>
                  <w:rFonts w:ascii="Arial" w:cs="Arial" w:eastAsia="Arial" w:hAnsi="Arial"/>
                  <w:sz w:val="16"/>
                  <w:szCs w:val="16"/>
                  <w:color w:val="0000FF"/>
                  <w:w w:val="96"/>
                </w:rPr>
                <w:t>(including a form of participation agreement attached thereto as Schedule C).</w:t>
              </w:r>
            </w:hyperlink>
          </w:p>
        </w:tc>
        <w:tc>
          <w:tcPr>
            <w:tcW w:w="4600" w:type="dxa"/>
            <w:vAlign w:val="bottom"/>
            <w:tcBorders>
              <w:top w:val="single" w:sz="8" w:color="0000FF"/>
              <w:bottom w:val="single" w:sz="8" w:color="CCEEFF"/>
            </w:tcBorders>
            <w:gridSpan w:val="2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10.10+</w:t>
            </w:r>
          </w:p>
        </w:tc>
        <w:tc>
          <w:tcPr>
            <w:tcW w:w="10160" w:type="dxa"/>
            <w:vAlign w:val="bottom"/>
            <w:gridSpan w:val="45"/>
          </w:tcPr>
          <w:p>
            <w:pPr>
              <w:spacing w:after="0" w:line="176" w:lineRule="exact"/>
              <w:rPr>
                <w:rFonts w:ascii="Arial" w:cs="Arial" w:eastAsia="Arial" w:hAnsi="Arial"/>
                <w:sz w:val="17"/>
                <w:szCs w:val="17"/>
                <w:color w:val="0000FF"/>
              </w:rPr>
            </w:pPr>
            <w:hyperlink r:id="rId135">
              <w:r>
                <w:rPr>
                  <w:rFonts w:ascii="Arial" w:cs="Arial" w:eastAsia="Arial" w:hAnsi="Arial"/>
                  <w:sz w:val="17"/>
                  <w:szCs w:val="17"/>
                  <w:color w:val="0000FF"/>
                </w:rPr>
                <w:t>Form of Participation Agreement (incorporated by reference from Schedule C-2 to Diamondback Energy, Inc. Senior Management</w:t>
              </w:r>
            </w:hyperlink>
          </w:p>
        </w:tc>
      </w:tr>
      <w:tr>
        <w:trPr>
          <w:trHeight w:val="142"/>
        </w:trPr>
        <w:tc>
          <w:tcPr>
            <w:tcW w:w="1600" w:type="dxa"/>
            <w:vAlign w:val="bottom"/>
          </w:tcPr>
          <w:p>
            <w:pPr>
              <w:spacing w:after="0"/>
              <w:rPr>
                <w:sz w:val="12"/>
                <w:szCs w:val="12"/>
                <w:color w:val="auto"/>
              </w:rPr>
            </w:pPr>
          </w:p>
        </w:tc>
        <w:tc>
          <w:tcPr>
            <w:tcW w:w="97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Severance Plan filed as Exhibit 10.5 to the Company’s Annual Report on Form 10-K (File 001-35700) on February 27,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1600" w:type="dxa"/>
            <w:vAlign w:val="bottom"/>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5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760" w:type="dxa"/>
            <w:vAlign w:val="bottom"/>
            <w:tcBorders>
              <w:top w:val="single" w:sz="8" w:color="0000FF"/>
            </w:tcBorders>
          </w:tcPr>
          <w:p>
            <w:pPr>
              <w:spacing w:after="0"/>
              <w:rPr>
                <w:sz w:val="11"/>
                <w:szCs w:val="11"/>
                <w:color w:val="auto"/>
              </w:rPr>
            </w:pPr>
          </w:p>
        </w:tc>
        <w:tc>
          <w:tcPr>
            <w:tcW w:w="1020" w:type="dxa"/>
            <w:vAlign w:val="bottom"/>
            <w:tcBorders>
              <w:top w:val="single" w:sz="8" w:color="0000FF"/>
            </w:tcBorders>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10.11+</w:t>
            </w:r>
          </w:p>
        </w:tc>
        <w:tc>
          <w:tcPr>
            <w:tcW w:w="10160" w:type="dxa"/>
            <w:vAlign w:val="bottom"/>
            <w:gridSpan w:val="45"/>
            <w:shd w:val="clear" w:color="auto" w:fill="CCEEFF"/>
          </w:tcPr>
          <w:p>
            <w:pPr>
              <w:spacing w:after="0" w:line="176" w:lineRule="exact"/>
              <w:rPr>
                <w:rFonts w:ascii="Arial" w:cs="Arial" w:eastAsia="Arial" w:hAnsi="Arial"/>
                <w:sz w:val="17"/>
                <w:szCs w:val="17"/>
                <w:color w:val="0000FF"/>
                <w:w w:val="98"/>
              </w:rPr>
            </w:pPr>
            <w:hyperlink r:id="rId136">
              <w:r>
                <w:rPr>
                  <w:rFonts w:ascii="Arial" w:cs="Arial" w:eastAsia="Arial" w:hAnsi="Arial"/>
                  <w:sz w:val="17"/>
                  <w:szCs w:val="17"/>
                  <w:color w:val="0000FF"/>
                  <w:w w:val="98"/>
                </w:rPr>
                <w:t>2014 Executive Annual Incentive Compensation Plan (incorporated by reference to Exhibit 10.1 to the Form 8-K, File No. 001-35700, filed</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29"/>
            <w:shd w:val="clear" w:color="auto" w:fill="CCEEFF"/>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by the Company with the SEC on April 2, 2014).</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28"/>
        </w:trPr>
        <w:tc>
          <w:tcPr>
            <w:tcW w:w="16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14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08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10.12+</w:t>
            </w:r>
          </w:p>
        </w:tc>
        <w:tc>
          <w:tcPr>
            <w:tcW w:w="10160" w:type="dxa"/>
            <w:vAlign w:val="bottom"/>
            <w:gridSpan w:val="45"/>
          </w:tcPr>
          <w:p>
            <w:pPr>
              <w:spacing w:after="0" w:line="176" w:lineRule="exact"/>
              <w:rPr>
                <w:rFonts w:ascii="Arial" w:cs="Arial" w:eastAsia="Arial" w:hAnsi="Arial"/>
                <w:sz w:val="17"/>
                <w:szCs w:val="17"/>
                <w:color w:val="0000FF"/>
                <w:w w:val="99"/>
              </w:rPr>
            </w:pPr>
            <w:hyperlink r:id="rId137">
              <w:r>
                <w:rPr>
                  <w:rFonts w:ascii="Arial" w:cs="Arial" w:eastAsia="Arial" w:hAnsi="Arial"/>
                  <w:sz w:val="17"/>
                  <w:szCs w:val="17"/>
                  <w:color w:val="0000FF"/>
                  <w:w w:val="99"/>
                </w:rPr>
                <w:t>Executive Annual Incentive Compensation Plan adopted in February 2021 (incorporated by reference to Exhibit 10.11 to the Form 10-K,</w:t>
              </w:r>
            </w:hyperlink>
          </w:p>
        </w:tc>
      </w:tr>
      <w:tr>
        <w:trPr>
          <w:trHeight w:val="142"/>
        </w:trPr>
        <w:tc>
          <w:tcPr>
            <w:tcW w:w="1600" w:type="dxa"/>
            <w:vAlign w:val="bottom"/>
          </w:tcPr>
          <w:p>
            <w:pPr>
              <w:spacing w:after="0"/>
              <w:rPr>
                <w:sz w:val="12"/>
                <w:szCs w:val="12"/>
                <w:color w:val="auto"/>
              </w:rPr>
            </w:pPr>
          </w:p>
        </w:tc>
        <w:tc>
          <w:tcPr>
            <w:tcW w:w="1014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File No. 001-35700, filed by the Company with the SEC on February 25, 2021).</w:t>
              </w:r>
            </w:hyperlink>
          </w:p>
        </w:tc>
        <w:tc>
          <w:tcPr>
            <w:tcW w:w="20" w:type="dxa"/>
            <w:vAlign w:val="bottom"/>
          </w:tcPr>
          <w:p>
            <w:pPr>
              <w:spacing w:after="0"/>
              <w:rPr>
                <w:sz w:val="12"/>
                <w:szCs w:val="12"/>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10.13</w:t>
            </w:r>
          </w:p>
        </w:tc>
        <w:tc>
          <w:tcPr>
            <w:tcW w:w="10160" w:type="dxa"/>
            <w:vAlign w:val="bottom"/>
            <w:gridSpan w:val="45"/>
            <w:shd w:val="clear" w:color="auto" w:fill="CCEEFF"/>
          </w:tcPr>
          <w:p>
            <w:pPr>
              <w:spacing w:after="0" w:line="176" w:lineRule="exact"/>
              <w:rPr>
                <w:rFonts w:ascii="Arial" w:cs="Arial" w:eastAsia="Arial" w:hAnsi="Arial"/>
                <w:sz w:val="17"/>
                <w:szCs w:val="17"/>
                <w:color w:val="0000FF"/>
                <w:w w:val="97"/>
              </w:rPr>
            </w:pPr>
            <w:hyperlink r:id="rId138">
              <w:r>
                <w:rPr>
                  <w:rFonts w:ascii="Arial" w:cs="Arial" w:eastAsia="Arial" w:hAnsi="Arial"/>
                  <w:sz w:val="17"/>
                  <w:szCs w:val="17"/>
                  <w:color w:val="0000FF"/>
                  <w:w w:val="97"/>
                </w:rPr>
                <w:t>Second Amended and Restated Credit Agreement, dated as of November 1, 2013, among Diamondback Energy, Inc., as parent guarantor,</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60" w:type="dxa"/>
            <w:vAlign w:val="bottom"/>
            <w:tcBorders>
              <w:top w:val="single" w:sz="8" w:color="0000FF"/>
            </w:tcBorders>
            <w:gridSpan w:val="25"/>
            <w:shd w:val="clear" w:color="auto" w:fill="CCEEFF"/>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Diamondback O&amp;G LLC, as borrower, Wells Fargo Bank, National Association, as administrative agent, and the lenders party thereto</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42"/>
        </w:trPr>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9640" w:type="dxa"/>
            <w:vAlign w:val="bottom"/>
            <w:tcBorders>
              <w:top w:val="single" w:sz="8" w:color="0000FF"/>
              <w:bottom w:val="single" w:sz="8" w:color="0000FF"/>
            </w:tcBorders>
            <w:gridSpan w:val="19"/>
            <w:shd w:val="clear" w:color="auto" w:fill="CCEEFF"/>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(incorporated by reference to Exhibit 10.3 to the Form 10-Q, File No. 001-35700, filed by the Company with the SEC on November 5,</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42"/>
        </w:trPr>
        <w:tc>
          <w:tcPr>
            <w:tcW w:w="16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0000FF"/>
            </w:tcBorders>
            <w:shd w:val="clear" w:color="auto" w:fill="CCEEFF"/>
          </w:tcPr>
          <w:p>
            <w:pPr>
              <w:spacing w:after="0" w:line="142" w:lineRule="exact"/>
              <w:rPr>
                <w:rFonts w:ascii="Arial" w:cs="Arial" w:eastAsia="Arial" w:hAnsi="Arial"/>
                <w:sz w:val="16"/>
                <w:szCs w:val="16"/>
                <w:color w:val="0000FF"/>
                <w:w w:val="92"/>
              </w:rPr>
            </w:pPr>
            <w:hyperlink r:id="rId138">
              <w:r>
                <w:rPr>
                  <w:rFonts w:ascii="Arial" w:cs="Arial" w:eastAsia="Arial" w:hAnsi="Arial"/>
                  <w:sz w:val="16"/>
                  <w:szCs w:val="16"/>
                  <w:color w:val="0000FF"/>
                  <w:w w:val="92"/>
                </w:rPr>
                <w:t>2013).</w:t>
              </w:r>
            </w:hyperlink>
          </w:p>
        </w:tc>
        <w:tc>
          <w:tcPr>
            <w:tcW w:w="14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7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29"/>
        </w:trPr>
        <w:tc>
          <w:tcPr>
            <w:tcW w:w="1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10.14</w:t>
            </w:r>
          </w:p>
        </w:tc>
        <w:tc>
          <w:tcPr>
            <w:tcW w:w="10160" w:type="dxa"/>
            <w:vAlign w:val="bottom"/>
            <w:gridSpan w:val="45"/>
          </w:tcPr>
          <w:p>
            <w:pPr>
              <w:spacing w:after="0" w:line="176" w:lineRule="exact"/>
              <w:rPr>
                <w:rFonts w:ascii="Arial" w:cs="Arial" w:eastAsia="Arial" w:hAnsi="Arial"/>
                <w:sz w:val="17"/>
                <w:szCs w:val="17"/>
                <w:color w:val="0000FF"/>
                <w:w w:val="96"/>
              </w:rPr>
            </w:pPr>
            <w:hyperlink r:id="rId139">
              <w:r>
                <w:rPr>
                  <w:rFonts w:ascii="Arial" w:cs="Arial" w:eastAsia="Arial" w:hAnsi="Arial"/>
                  <w:sz w:val="17"/>
                  <w:szCs w:val="17"/>
                  <w:color w:val="0000FF"/>
                  <w:w w:val="96"/>
                </w:rPr>
                <w:t>First Amendment, dated June 9, 2014, to the Second Amended and Restated Credit Agreement, originally dated November 1, 2013, by and</w:t>
              </w:r>
            </w:hyperlink>
          </w:p>
        </w:tc>
      </w:tr>
      <w:tr>
        <w:trPr>
          <w:trHeight w:val="142"/>
        </w:trPr>
        <w:tc>
          <w:tcPr>
            <w:tcW w:w="160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7"/>
              </w:rPr>
            </w:pPr>
            <w:hyperlink r:id="rId139">
              <w:r>
                <w:rPr>
                  <w:rFonts w:ascii="Arial" w:cs="Arial" w:eastAsia="Arial" w:hAnsi="Arial"/>
                  <w:sz w:val="16"/>
                  <w:szCs w:val="16"/>
                  <w:color w:val="0000FF"/>
                  <w:w w:val="97"/>
                </w:rPr>
                <w:t>among the Company, as parent guarantor, Diamondback O&amp;G LLC, as borrower, each of the guarantors party thereto, each of the lenders</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580" w:type="dxa"/>
            <w:vAlign w:val="bottom"/>
            <w:tcBorders>
              <w:bottom w:val="single" w:sz="8" w:color="0000FF"/>
            </w:tcBorders>
            <w:gridSpan w:val="16"/>
          </w:tcPr>
          <w:p>
            <w:pPr>
              <w:spacing w:after="0" w:line="142" w:lineRule="exact"/>
              <w:rPr>
                <w:rFonts w:ascii="Arial" w:cs="Arial" w:eastAsia="Arial" w:hAnsi="Arial"/>
                <w:sz w:val="16"/>
                <w:szCs w:val="16"/>
                <w:color w:val="0000FF"/>
                <w:w w:val="99"/>
              </w:rPr>
            </w:pPr>
            <w:hyperlink r:id="rId139">
              <w:r>
                <w:rPr>
                  <w:rFonts w:ascii="Arial" w:cs="Arial" w:eastAsia="Arial" w:hAnsi="Arial"/>
                  <w:sz w:val="16"/>
                  <w:szCs w:val="16"/>
                  <w:color w:val="0000FF"/>
                  <w:w w:val="99"/>
                </w:rPr>
                <w:t>party thereto and Wells Fargo Bank, National Association, as administrative agent (incorporated by reference to Exhibit 10.4 to the Form</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740" w:type="dxa"/>
            <w:vAlign w:val="bottom"/>
            <w:gridSpan w:val="24"/>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10-Q, File No. 001-35700, filed by the Company with the SEC on August 7, 2014).</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29"/>
        </w:trPr>
        <w:tc>
          <w:tcPr>
            <w:tcW w:w="1600" w:type="dxa"/>
            <w:vAlign w:val="bottom"/>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5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10.15</w:t>
            </w:r>
          </w:p>
        </w:tc>
        <w:tc>
          <w:tcPr>
            <w:tcW w:w="10160" w:type="dxa"/>
            <w:vAlign w:val="bottom"/>
            <w:gridSpan w:val="45"/>
            <w:shd w:val="clear" w:color="auto" w:fill="CCEEFF"/>
          </w:tcPr>
          <w:p>
            <w:pPr>
              <w:spacing w:after="0" w:line="176" w:lineRule="exact"/>
              <w:rPr>
                <w:rFonts w:ascii="Arial" w:cs="Arial" w:eastAsia="Arial" w:hAnsi="Arial"/>
                <w:sz w:val="17"/>
                <w:szCs w:val="17"/>
                <w:color w:val="0000FF"/>
              </w:rPr>
            </w:pPr>
            <w:hyperlink r:id="rId140">
              <w:r>
                <w:rPr>
                  <w:rFonts w:ascii="Arial" w:cs="Arial" w:eastAsia="Arial" w:hAnsi="Arial"/>
                  <w:sz w:val="17"/>
                  <w:szCs w:val="17"/>
                  <w:color w:val="0000FF"/>
                </w:rPr>
                <w:t>Second Amendment to the Second Amended and Restated Credit Agreement, dated as of November 13, 2014, among Diamondback</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20" w:type="dxa"/>
            <w:vAlign w:val="bottom"/>
            <w:tcBorders>
              <w:top w:val="single" w:sz="8" w:color="0000FF"/>
            </w:tcBorders>
            <w:gridSpan w:val="23"/>
            <w:shd w:val="clear" w:color="auto" w:fill="CCEEFF"/>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Energy, Inc., as parent guarantor, Diamondback O&amp;G LLC, as borrower, the guarantors, Wells Fargo Bank, National Association, as</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FF"/>
            </w:tcBorders>
            <w:gridSpan w:val="22"/>
            <w:shd w:val="clear" w:color="auto" w:fill="CCEEFF"/>
          </w:tcPr>
          <w:p>
            <w:pPr>
              <w:spacing w:after="0" w:line="142" w:lineRule="exact"/>
              <w:rPr>
                <w:rFonts w:ascii="Arial" w:cs="Arial" w:eastAsia="Arial" w:hAnsi="Arial"/>
                <w:sz w:val="16"/>
                <w:szCs w:val="16"/>
                <w:color w:val="0000FF"/>
                <w:w w:val="99"/>
              </w:rPr>
            </w:pPr>
            <w:hyperlink r:id="rId140">
              <w:r>
                <w:rPr>
                  <w:rFonts w:ascii="Arial" w:cs="Arial" w:eastAsia="Arial" w:hAnsi="Arial"/>
                  <w:sz w:val="16"/>
                  <w:szCs w:val="16"/>
                  <w:color w:val="0000FF"/>
                  <w:w w:val="99"/>
                </w:rPr>
                <w:t>administrative agent, and the lenders party thereto (incorporated by reference to Exhibit 10.2 to the Form 8-K, File No. 001-35700, filed by</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660" w:type="dxa"/>
            <w:vAlign w:val="bottom"/>
            <w:tcBorders>
              <w:top w:val="single" w:sz="8" w:color="0000FF"/>
            </w:tcBorders>
            <w:gridSpan w:val="20"/>
            <w:shd w:val="clear" w:color="auto" w:fill="CCEEFF"/>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the Company with the SEC on November 18, 2014).</w:t>
              </w:r>
            </w:hyperlink>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14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08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10.16</w:t>
            </w:r>
          </w:p>
        </w:tc>
        <w:tc>
          <w:tcPr>
            <w:tcW w:w="10160" w:type="dxa"/>
            <w:vAlign w:val="bottom"/>
            <w:gridSpan w:val="45"/>
          </w:tcPr>
          <w:p>
            <w:pPr>
              <w:spacing w:after="0" w:line="176" w:lineRule="exact"/>
              <w:rPr>
                <w:rFonts w:ascii="Arial" w:cs="Arial" w:eastAsia="Arial" w:hAnsi="Arial"/>
                <w:sz w:val="17"/>
                <w:szCs w:val="17"/>
                <w:color w:val="0000FF"/>
                <w:w w:val="97"/>
              </w:rPr>
            </w:pPr>
            <w:hyperlink r:id="rId141">
              <w:r>
                <w:rPr>
                  <w:rFonts w:ascii="Arial" w:cs="Arial" w:eastAsia="Arial" w:hAnsi="Arial"/>
                  <w:sz w:val="17"/>
                  <w:szCs w:val="17"/>
                  <w:color w:val="0000FF"/>
                  <w:w w:val="97"/>
                </w:rPr>
                <w:t>Third Amendment, dated as of June 21, 2016, to the Second Amended and Restated Credit Agreement, dated as of November 1, 2013, by</w:t>
              </w:r>
            </w:hyperlink>
          </w:p>
        </w:tc>
      </w:tr>
      <w:tr>
        <w:trPr>
          <w:trHeight w:val="142"/>
        </w:trPr>
        <w:tc>
          <w:tcPr>
            <w:tcW w:w="1600" w:type="dxa"/>
            <w:vAlign w:val="bottom"/>
          </w:tcPr>
          <w:p>
            <w:pPr>
              <w:spacing w:after="0"/>
              <w:rPr>
                <w:sz w:val="12"/>
                <w:szCs w:val="12"/>
                <w:color w:val="auto"/>
              </w:rPr>
            </w:pPr>
          </w:p>
        </w:tc>
        <w:tc>
          <w:tcPr>
            <w:tcW w:w="9920" w:type="dxa"/>
            <w:vAlign w:val="bottom"/>
            <w:tcBorders>
              <w:top w:val="single" w:sz="8" w:color="0000FF"/>
              <w:bottom w:val="single" w:sz="8" w:color="0000FF"/>
            </w:tcBorders>
            <w:gridSpan w:val="33"/>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and among Diamondback Energy, Inc., as parent guarantor, Diamondback O&amp;G LLC, as borrower, certain other subsidiaries of</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10120" w:type="dxa"/>
            <w:vAlign w:val="bottom"/>
            <w:gridSpan w:val="43"/>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Diamondback Energy, Inc., as guarantors, Wells Fargo Bank, National Association, as administrative agent, and the lenders party thereto</w:t>
              </w:r>
            </w:hyperlink>
          </w:p>
        </w:tc>
        <w:tc>
          <w:tcPr>
            <w:tcW w:w="40" w:type="dxa"/>
            <w:vAlign w:val="bottom"/>
            <w:gridSpan w:val="2"/>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1006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(incorporated by reference to Exhibit 10.1 to the Company’s Current Report on Form 8-K, File No. 001-35700, filed by the Company with</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98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the SEC on June 27,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10.17</w:t>
            </w:r>
          </w:p>
        </w:tc>
        <w:tc>
          <w:tcPr>
            <w:tcW w:w="10160" w:type="dxa"/>
            <w:vAlign w:val="bottom"/>
            <w:gridSpan w:val="45"/>
            <w:shd w:val="clear" w:color="auto" w:fill="CCEEFF"/>
          </w:tcPr>
          <w:p>
            <w:pPr>
              <w:spacing w:after="0" w:line="176" w:lineRule="exact"/>
              <w:rPr>
                <w:rFonts w:ascii="Arial" w:cs="Arial" w:eastAsia="Arial" w:hAnsi="Arial"/>
                <w:sz w:val="17"/>
                <w:szCs w:val="17"/>
                <w:color w:val="0000FF"/>
                <w:w w:val="98"/>
              </w:rPr>
            </w:pPr>
            <w:hyperlink r:id="rId142">
              <w:r>
                <w:rPr>
                  <w:rFonts w:ascii="Arial" w:cs="Arial" w:eastAsia="Arial" w:hAnsi="Arial"/>
                  <w:sz w:val="17"/>
                  <w:szCs w:val="17"/>
                  <w:color w:val="0000FF"/>
                  <w:w w:val="98"/>
                </w:rPr>
                <w:t>Fourth Amendment, dated as of December 15, 2016, to the Second Amended and Restated Credit Agreement, dated as of November 1,</w:t>
              </w:r>
            </w:hyperlink>
          </w:p>
        </w:tc>
      </w:tr>
      <w:tr>
        <w:trPr>
          <w:trHeight w:val="142"/>
        </w:trPr>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9620" w:type="dxa"/>
            <w:vAlign w:val="bottom"/>
            <w:tcBorders>
              <w:top w:val="single" w:sz="8" w:color="0000FF"/>
              <w:bottom w:val="single" w:sz="8" w:color="0000FF"/>
            </w:tcBorders>
            <w:gridSpan w:val="18"/>
            <w:shd w:val="clear" w:color="auto" w:fill="CCEEFF"/>
          </w:tcPr>
          <w:p>
            <w:pPr>
              <w:spacing w:after="0" w:line="142" w:lineRule="exact"/>
              <w:rPr>
                <w:rFonts w:ascii="Arial" w:cs="Arial" w:eastAsia="Arial" w:hAnsi="Arial"/>
                <w:sz w:val="16"/>
                <w:szCs w:val="16"/>
                <w:color w:val="0000FF"/>
                <w:w w:val="99"/>
              </w:rPr>
            </w:pPr>
            <w:hyperlink r:id="rId142">
              <w:r>
                <w:rPr>
                  <w:rFonts w:ascii="Arial" w:cs="Arial" w:eastAsia="Arial" w:hAnsi="Arial"/>
                  <w:sz w:val="16"/>
                  <w:szCs w:val="16"/>
                  <w:color w:val="0000FF"/>
                  <w:w w:val="99"/>
                </w:rPr>
                <w:t>2013, by and among Diamondback Energy, Inc., as parent guarantor, Diamondback O&amp;G LLC, as borrower, certain other subsidiaries of</w:t>
              </w:r>
            </w:hyperlink>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6"/>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42"/>
        </w:trPr>
        <w:tc>
          <w:tcPr>
            <w:tcW w:w="1600" w:type="dxa"/>
            <w:vAlign w:val="bottom"/>
            <w:tcBorders>
              <w:bottom w:val="single" w:sz="8" w:color="CCEEFF"/>
            </w:tcBorders>
            <w:shd w:val="clear" w:color="auto" w:fill="CCEEFF"/>
          </w:tcPr>
          <w:p>
            <w:pPr>
              <w:spacing w:after="0"/>
              <w:rPr>
                <w:sz w:val="12"/>
                <w:szCs w:val="12"/>
                <w:color w:val="auto"/>
              </w:rPr>
            </w:pPr>
          </w:p>
        </w:tc>
        <w:tc>
          <w:tcPr>
            <w:tcW w:w="9680" w:type="dxa"/>
            <w:vAlign w:val="bottom"/>
            <w:tcBorders>
              <w:bottom w:val="single" w:sz="8" w:color="0000FF"/>
            </w:tcBorders>
            <w:gridSpan w:val="21"/>
            <w:shd w:val="clear" w:color="auto" w:fill="CCEEFF"/>
          </w:tcPr>
          <w:p>
            <w:pPr>
              <w:spacing w:after="0" w:line="142" w:lineRule="exact"/>
              <w:rPr>
                <w:rFonts w:ascii="Arial" w:cs="Arial" w:eastAsia="Arial" w:hAnsi="Arial"/>
                <w:sz w:val="16"/>
                <w:szCs w:val="16"/>
                <w:color w:val="0000FF"/>
                <w:w w:val="99"/>
              </w:rPr>
            </w:pPr>
            <w:hyperlink r:id="rId142">
              <w:r>
                <w:rPr>
                  <w:rFonts w:ascii="Arial" w:cs="Arial" w:eastAsia="Arial" w:hAnsi="Arial"/>
                  <w:sz w:val="16"/>
                  <w:szCs w:val="16"/>
                  <w:color w:val="0000FF"/>
                  <w:w w:val="99"/>
                </w:rPr>
                <w:t>Diamondback Energy, Inc., as guarantors, Wells Fargo Bank, National Association, as administrative agent, and the lenders party thereto</w:t>
              </w:r>
            </w:hyperlink>
          </w:p>
        </w:tc>
        <w:tc>
          <w:tcPr>
            <w:tcW w:w="120" w:type="dxa"/>
            <w:vAlign w:val="bottom"/>
            <w:tcBorders>
              <w:bottom w:val="single" w:sz="8" w:color="0000FF"/>
            </w:tcBorders>
            <w:gridSpan w:val="6"/>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40" w:type="dxa"/>
            <w:vAlign w:val="bottom"/>
            <w:tcBorders>
              <w:bottom w:val="single" w:sz="8" w:color="CCEEFF"/>
            </w:tcBorders>
            <w:gridSpan w:val="2"/>
            <w:shd w:val="clear" w:color="auto" w:fill="CCEEFF"/>
          </w:tcPr>
          <w:p>
            <w:pPr>
              <w:spacing w:after="0"/>
              <w:rPr>
                <w:sz w:val="12"/>
                <w:szCs w:val="12"/>
                <w:color w:val="auto"/>
              </w:rPr>
            </w:pPr>
          </w:p>
        </w:tc>
        <w:tc>
          <w:tcPr>
            <w:tcW w:w="40" w:type="dxa"/>
            <w:vAlign w:val="bottom"/>
            <w:tcBorders>
              <w:bottom w:val="single" w:sz="8" w:color="CCEEFF"/>
            </w:tcBorders>
            <w:gridSpan w:val="2"/>
            <w:shd w:val="clear" w:color="auto" w:fill="CCEEFF"/>
          </w:tcPr>
          <w:p>
            <w:pPr>
              <w:spacing w:after="0"/>
              <w:rPr>
                <w:sz w:val="12"/>
                <w:szCs w:val="12"/>
                <w:color w:val="auto"/>
              </w:rPr>
            </w:pPr>
          </w:p>
        </w:tc>
        <w:tc>
          <w:tcPr>
            <w:tcW w:w="40" w:type="dxa"/>
            <w:vAlign w:val="bottom"/>
            <w:tcBorders>
              <w:bottom w:val="single" w:sz="8" w:color="CCEEFF"/>
            </w:tcBorders>
            <w:gridSpan w:val="2"/>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gridSpan w:val="2"/>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gridSpan w:val="2"/>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gridSpan w:val="3"/>
            <w:shd w:val="clear" w:color="auto" w:fill="CCEEFF"/>
          </w:tcPr>
          <w:p>
            <w:pPr>
              <w:spacing w:after="0"/>
              <w:rPr>
                <w:sz w:val="12"/>
                <w:szCs w:val="12"/>
                <w:color w:val="auto"/>
              </w:rPr>
            </w:pPr>
          </w:p>
        </w:tc>
      </w:tr>
      <w:tr>
        <w:trPr>
          <w:trHeight w:val="142"/>
        </w:trPr>
        <w:tc>
          <w:tcPr>
            <w:tcW w:w="1600" w:type="dxa"/>
            <w:vAlign w:val="bottom"/>
            <w:shd w:val="clear" w:color="auto" w:fill="CCEEFF"/>
          </w:tcPr>
          <w:p>
            <w:pPr>
              <w:spacing w:after="0"/>
              <w:rPr>
                <w:sz w:val="12"/>
                <w:szCs w:val="12"/>
                <w:color w:val="auto"/>
              </w:rPr>
            </w:pPr>
          </w:p>
        </w:tc>
        <w:tc>
          <w:tcPr>
            <w:tcW w:w="9820" w:type="dxa"/>
            <w:vAlign w:val="bottom"/>
            <w:gridSpan w:val="28"/>
            <w:shd w:val="clear" w:color="auto" w:fill="CCEEFF"/>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(incorporated by reference to Exhibit 10.2 to the Company’s Current Report on Form 8-K, File No. 001-35700, filed by the Company with</w:t>
              </w:r>
            </w:hyperlink>
          </w:p>
        </w:tc>
        <w:tc>
          <w:tcPr>
            <w:tcW w:w="40" w:type="dxa"/>
            <w:vAlign w:val="bottom"/>
            <w:gridSpan w:val="2"/>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gridSpan w:val="3"/>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40" w:type="dxa"/>
            <w:vAlign w:val="bottom"/>
            <w:tcBorders>
              <w:top w:val="single" w:sz="8" w:color="0000FF"/>
            </w:tcBorders>
            <w:gridSpan w:val="24"/>
            <w:shd w:val="clear" w:color="auto" w:fill="CCEEFF"/>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the SEC on December 20, 2016).</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28"/>
        </w:trPr>
        <w:tc>
          <w:tcPr>
            <w:tcW w:w="16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14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10.18</w:t>
            </w:r>
          </w:p>
        </w:tc>
        <w:tc>
          <w:tcPr>
            <w:tcW w:w="10160" w:type="dxa"/>
            <w:vAlign w:val="bottom"/>
            <w:gridSpan w:val="45"/>
          </w:tcPr>
          <w:p>
            <w:pPr>
              <w:spacing w:after="0" w:line="176" w:lineRule="exact"/>
              <w:rPr>
                <w:rFonts w:ascii="Arial" w:cs="Arial" w:eastAsia="Arial" w:hAnsi="Arial"/>
                <w:sz w:val="17"/>
                <w:szCs w:val="17"/>
                <w:color w:val="0000FF"/>
                <w:w w:val="96"/>
              </w:rPr>
            </w:pPr>
            <w:hyperlink r:id="rId143">
              <w:r>
                <w:rPr>
                  <w:rFonts w:ascii="Arial" w:cs="Arial" w:eastAsia="Arial" w:hAnsi="Arial"/>
                  <w:sz w:val="17"/>
                  <w:szCs w:val="17"/>
                  <w:color w:val="0000FF"/>
                  <w:w w:val="96"/>
                </w:rPr>
                <w:t>Fifth Amendment, dated as of November 28, 2017, to the Second Amended and Restated Credit Agreement, dated as of November 1, 2013,</w:t>
              </w:r>
            </w:hyperlink>
          </w:p>
        </w:tc>
      </w:tr>
      <w:tr>
        <w:trPr>
          <w:trHeight w:val="142"/>
        </w:trPr>
        <w:tc>
          <w:tcPr>
            <w:tcW w:w="1600" w:type="dxa"/>
            <w:vAlign w:val="bottom"/>
          </w:tcPr>
          <w:p>
            <w:pPr>
              <w:spacing w:after="0"/>
              <w:rPr>
                <w:sz w:val="12"/>
                <w:szCs w:val="12"/>
                <w:color w:val="auto"/>
              </w:rPr>
            </w:pPr>
          </w:p>
        </w:tc>
        <w:tc>
          <w:tcPr>
            <w:tcW w:w="960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by and among Diamondback Energy, Inc., as parent guarantor, Diamondback O&amp;G LLC, as borrower, certain other subsidiaries of</w:t>
              </w:r>
            </w:hyperlink>
          </w:p>
        </w:tc>
        <w:tc>
          <w:tcPr>
            <w:tcW w:w="200" w:type="dxa"/>
            <w:vAlign w:val="bottom"/>
            <w:tcBorders>
              <w:bottom w:val="single" w:sz="8" w:color="0000FF"/>
            </w:tcBorders>
            <w:gridSpan w:val="10"/>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800" w:type="dxa"/>
            <w:vAlign w:val="bottom"/>
            <w:gridSpan w:val="27"/>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Diamondback Energy, Inc., as guarantors, Wells Fargo Bank, National Association, as administrative agent, and the lenders party thereto</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8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(incorporated by reference to Exhibit 10.1 to the Company’s Current Report on Form 8-K, File No. 001-35700, filed by the Company with</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7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the SEC on December 4, 2017).</w:t>
              </w:r>
            </w:hyperlink>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28"/>
        </w:trPr>
        <w:tc>
          <w:tcPr>
            <w:tcW w:w="1600" w:type="dxa"/>
            <w:vAlign w:val="bottom"/>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4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10.19</w:t>
            </w:r>
          </w:p>
        </w:tc>
        <w:tc>
          <w:tcPr>
            <w:tcW w:w="10160" w:type="dxa"/>
            <w:vAlign w:val="bottom"/>
            <w:gridSpan w:val="45"/>
            <w:shd w:val="clear" w:color="auto" w:fill="CCEEFF"/>
          </w:tcPr>
          <w:p>
            <w:pPr>
              <w:spacing w:after="0" w:line="176" w:lineRule="exact"/>
              <w:rPr>
                <w:rFonts w:ascii="Arial" w:cs="Arial" w:eastAsia="Arial" w:hAnsi="Arial"/>
                <w:sz w:val="17"/>
                <w:szCs w:val="17"/>
                <w:color w:val="0000FF"/>
                <w:w w:val="98"/>
              </w:rPr>
            </w:pPr>
            <w:hyperlink r:id="rId144">
              <w:r>
                <w:rPr>
                  <w:rFonts w:ascii="Arial" w:cs="Arial" w:eastAsia="Arial" w:hAnsi="Arial"/>
                  <w:sz w:val="17"/>
                  <w:szCs w:val="17"/>
                  <w:color w:val="0000FF"/>
                  <w:w w:val="98"/>
                </w:rPr>
                <w:t>Eighth Amendment to the Second Amended and Restated Credit Agreement, dated as of October 26, 2018, by and among Diamondback</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10020" w:type="dxa"/>
            <w:vAlign w:val="bottom"/>
            <w:tcBorders>
              <w:top w:val="single" w:sz="8" w:color="0000FF"/>
            </w:tcBorders>
            <w:gridSpan w:val="38"/>
            <w:shd w:val="clear" w:color="auto" w:fill="CCEEFF"/>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Energy, Inc., as parent guarantor, Diamondback O&amp;G LLC, as borrower, certain other subsidiaries of Diamondback Energy, Inc., as</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42"/>
        </w:trPr>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9900" w:type="dxa"/>
            <w:vAlign w:val="bottom"/>
            <w:tcBorders>
              <w:top w:val="single" w:sz="8" w:color="0000FF"/>
              <w:bottom w:val="single" w:sz="8" w:color="0000FF"/>
            </w:tcBorders>
            <w:gridSpan w:val="32"/>
            <w:shd w:val="clear" w:color="auto" w:fill="CCEEFF"/>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guarantors, Wells Fargo Bank, National Association, as administrative agent, and the lenders party thereto (incorporated by reference to</w:t>
              </w:r>
            </w:hyperlink>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63"/>
        </w:trPr>
        <w:tc>
          <w:tcPr>
            <w:tcW w:w="1600" w:type="dxa"/>
            <w:vAlign w:val="bottom"/>
            <w:tcBorders>
              <w:bottom w:val="single" w:sz="8" w:color="CCEEFF"/>
            </w:tcBorders>
            <w:shd w:val="clear" w:color="auto" w:fill="CCEEFF"/>
          </w:tcPr>
          <w:p>
            <w:pPr>
              <w:spacing w:after="0"/>
              <w:rPr>
                <w:sz w:val="14"/>
                <w:szCs w:val="14"/>
                <w:color w:val="auto"/>
              </w:rPr>
            </w:pPr>
          </w:p>
        </w:tc>
        <w:tc>
          <w:tcPr>
            <w:tcW w:w="7580" w:type="dxa"/>
            <w:vAlign w:val="bottom"/>
            <w:tcBorders>
              <w:bottom w:val="single" w:sz="8" w:color="0000FF"/>
            </w:tcBorders>
            <w:gridSpan w:val="13"/>
            <w:shd w:val="clear" w:color="auto" w:fill="CCEEFF"/>
          </w:tcPr>
          <w:p>
            <w:pPr>
              <w:spacing w:after="0" w:line="142" w:lineRule="exact"/>
              <w:rPr>
                <w:rFonts w:ascii="Arial" w:cs="Arial" w:eastAsia="Arial" w:hAnsi="Arial"/>
                <w:sz w:val="16"/>
                <w:szCs w:val="16"/>
                <w:color w:val="0000FF"/>
                <w:w w:val="98"/>
              </w:rPr>
            </w:pPr>
            <w:hyperlink r:id="rId144">
              <w:r>
                <w:rPr>
                  <w:rFonts w:ascii="Arial" w:cs="Arial" w:eastAsia="Arial" w:hAnsi="Arial"/>
                  <w:sz w:val="16"/>
                  <w:szCs w:val="16"/>
                  <w:color w:val="0000FF"/>
                  <w:w w:val="98"/>
                </w:rPr>
                <w:t>Exhibit 10.1 to the Form 8-K, File No. 001-35700, filed by the Company with the SEC on November 1, 2018).</w:t>
              </w:r>
            </w:hyperlink>
          </w:p>
        </w:tc>
        <w:tc>
          <w:tcPr>
            <w:tcW w:w="2520" w:type="dxa"/>
            <w:vAlign w:val="bottom"/>
            <w:tcBorders>
              <w:bottom w:val="single" w:sz="8" w:color="CCEEFF"/>
            </w:tcBorders>
            <w:gridSpan w:val="29"/>
            <w:shd w:val="clear" w:color="auto" w:fill="CCEEFF"/>
          </w:tcPr>
          <w:p>
            <w:pPr>
              <w:spacing w:after="0"/>
              <w:rPr>
                <w:sz w:val="14"/>
                <w:szCs w:val="14"/>
                <w:color w:val="auto"/>
              </w:rPr>
            </w:pPr>
          </w:p>
        </w:tc>
        <w:tc>
          <w:tcPr>
            <w:tcW w:w="60" w:type="dxa"/>
            <w:vAlign w:val="bottom"/>
            <w:tcBorders>
              <w:bottom w:val="single" w:sz="8" w:color="CCEEFF"/>
            </w:tcBorders>
            <w:gridSpan w:val="3"/>
            <w:shd w:val="clear" w:color="auto" w:fill="CCEEFF"/>
          </w:tcPr>
          <w:p>
            <w:pPr>
              <w:spacing w:after="0"/>
              <w:rPr>
                <w:sz w:val="14"/>
                <w:szCs w:val="14"/>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10.20</w:t>
            </w:r>
          </w:p>
        </w:tc>
        <w:tc>
          <w:tcPr>
            <w:tcW w:w="10160" w:type="dxa"/>
            <w:vAlign w:val="bottom"/>
            <w:gridSpan w:val="45"/>
          </w:tcPr>
          <w:p>
            <w:pPr>
              <w:spacing w:after="0" w:line="176" w:lineRule="exact"/>
              <w:rPr>
                <w:rFonts w:ascii="Arial" w:cs="Arial" w:eastAsia="Arial" w:hAnsi="Arial"/>
                <w:sz w:val="17"/>
                <w:szCs w:val="17"/>
                <w:color w:val="0000FF"/>
                <w:w w:val="98"/>
              </w:rPr>
            </w:pPr>
            <w:hyperlink r:id="rId145">
              <w:r>
                <w:rPr>
                  <w:rFonts w:ascii="Arial" w:cs="Arial" w:eastAsia="Arial" w:hAnsi="Arial"/>
                  <w:sz w:val="17"/>
                  <w:szCs w:val="17"/>
                  <w:color w:val="0000FF"/>
                  <w:w w:val="98"/>
                </w:rPr>
                <w:t>Ninth Amendment to Second Amended and Restated Credit Agreement and Fourth Amendment to Amended and Restated Guaranty and</w:t>
              </w:r>
            </w:hyperlink>
          </w:p>
        </w:tc>
      </w:tr>
      <w:tr>
        <w:trPr>
          <w:trHeight w:val="142"/>
        </w:trPr>
        <w:tc>
          <w:tcPr>
            <w:tcW w:w="1600" w:type="dxa"/>
            <w:vAlign w:val="bottom"/>
          </w:tcPr>
          <w:p>
            <w:pPr>
              <w:spacing w:after="0"/>
              <w:rPr>
                <w:sz w:val="12"/>
                <w:szCs w:val="12"/>
                <w:color w:val="auto"/>
              </w:rPr>
            </w:pPr>
          </w:p>
        </w:tc>
        <w:tc>
          <w:tcPr>
            <w:tcW w:w="1004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Collateral Agreement, dated as of November 29, 2018, by and among Diamondback Energy, Inc., as parent guarantor, Diamondback O&amp;G</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8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LLC, as borrower, certain other subsidiaries of Diamondback Energy, Inc., as guarantors, Wells Fargo Bank, National Association, as</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1006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administrative agent, and the lenders party thereto (incorporated by reference to Exhibit 10.1 to the Form 8-K, File No. 001-35700, filed by</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96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the Company with the SEC on December 6, 2018).</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10.21</w:t>
            </w:r>
          </w:p>
        </w:tc>
        <w:tc>
          <w:tcPr>
            <w:tcW w:w="10160" w:type="dxa"/>
            <w:vAlign w:val="bottom"/>
            <w:gridSpan w:val="45"/>
            <w:shd w:val="clear" w:color="auto" w:fill="CCEEFF"/>
          </w:tcPr>
          <w:p>
            <w:pPr>
              <w:spacing w:after="0" w:line="176" w:lineRule="exact"/>
              <w:rPr>
                <w:rFonts w:ascii="Arial" w:cs="Arial" w:eastAsia="Arial" w:hAnsi="Arial"/>
                <w:sz w:val="17"/>
                <w:szCs w:val="17"/>
                <w:color w:val="0000FF"/>
                <w:w w:val="99"/>
              </w:rPr>
            </w:pPr>
            <w:hyperlink r:id="rId146">
              <w:r>
                <w:rPr>
                  <w:rFonts w:ascii="Arial" w:cs="Arial" w:eastAsia="Arial" w:hAnsi="Arial"/>
                  <w:sz w:val="17"/>
                  <w:szCs w:val="17"/>
                  <w:color w:val="0000FF"/>
                  <w:w w:val="99"/>
                </w:rPr>
                <w:t>Tenth Amendment to Second Amended and Restated Credit Agreement, dated as of March 25, 2019, between Diamondback, as parent</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940" w:type="dxa"/>
            <w:vAlign w:val="bottom"/>
            <w:tcBorders>
              <w:top w:val="single" w:sz="8" w:color="0000FF"/>
            </w:tcBorders>
            <w:gridSpan w:val="34"/>
            <w:shd w:val="clear" w:color="auto" w:fill="CCEEFF"/>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guarantor, Diamondback O&amp;G LLC, as borrower, certain other subsidiaries of Diamondback Energy, Inc. as guarantors, Wells Fargo Bank,</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0000FF"/>
            </w:tcBorders>
            <w:gridSpan w:val="42"/>
            <w:shd w:val="clear" w:color="auto" w:fill="CCEEFF"/>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National Association, as administrative agent, and the lenders party thereto (incorporated by reference to Exhibit 10.1 to the Form 8-K (File</w:t>
              </w:r>
            </w:hyperlink>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10080" w:type="dxa"/>
            <w:vAlign w:val="bottom"/>
            <w:tcBorders>
              <w:top w:val="single" w:sz="8" w:color="0000FF"/>
            </w:tcBorders>
            <w:gridSpan w:val="41"/>
            <w:shd w:val="clear" w:color="auto" w:fill="CCEEFF"/>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No. 00 1-35700), filed by the Company with the SEC on March 29, 2019).</w:t>
              </w:r>
            </w:hyperlink>
          </w:p>
        </w:tc>
        <w:tc>
          <w:tcPr>
            <w:tcW w:w="80" w:type="dxa"/>
            <w:vAlign w:val="bottom"/>
            <w:tcBorders>
              <w:top w:val="single" w:sz="8" w:color="CCEEFF"/>
            </w:tcBorders>
            <w:gridSpan w:val="4"/>
            <w:shd w:val="clear" w:color="auto" w:fill="CCEEFF"/>
          </w:tcPr>
          <w:p>
            <w:pPr>
              <w:spacing w:after="0"/>
              <w:rPr>
                <w:sz w:val="12"/>
                <w:szCs w:val="12"/>
                <w:color w:val="auto"/>
              </w:rPr>
            </w:pPr>
          </w:p>
        </w:tc>
      </w:tr>
      <w:tr>
        <w:trPr>
          <w:trHeight w:val="236"/>
        </w:trPr>
        <w:tc>
          <w:tcPr>
            <w:tcW w:w="16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1420" w:type="dxa"/>
            <w:vAlign w:val="bottom"/>
            <w:tcBorders>
              <w:top w:val="single" w:sz="8" w:color="0000FF"/>
            </w:tcBorders>
            <w:shd w:val="clear" w:color="auto" w:fill="CCEEFF"/>
          </w:tcPr>
          <w:p>
            <w:pPr>
              <w:spacing w:after="0"/>
              <w:rPr>
                <w:sz w:val="20"/>
                <w:szCs w:val="20"/>
                <w:color w:val="auto"/>
              </w:rPr>
            </w:pPr>
          </w:p>
        </w:tc>
        <w:tc>
          <w:tcPr>
            <w:tcW w:w="30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108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152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175"/>
        </w:trPr>
        <w:tc>
          <w:tcPr>
            <w:tcW w:w="1600" w:type="dxa"/>
            <w:vAlign w:val="bottom"/>
          </w:tcPr>
          <w:p>
            <w:pPr>
              <w:ind w:left="20"/>
              <w:spacing w:after="0" w:line="176" w:lineRule="exact"/>
              <w:rPr>
                <w:sz w:val="20"/>
                <w:szCs w:val="20"/>
                <w:color w:val="auto"/>
              </w:rPr>
            </w:pPr>
            <w:r>
              <w:rPr>
                <w:rFonts w:ascii="Arial" w:cs="Arial" w:eastAsia="Arial" w:hAnsi="Arial"/>
                <w:sz w:val="17"/>
                <w:szCs w:val="17"/>
                <w:color w:val="auto"/>
              </w:rPr>
              <w:t>10.22</w:t>
            </w:r>
          </w:p>
        </w:tc>
        <w:tc>
          <w:tcPr>
            <w:tcW w:w="10160" w:type="dxa"/>
            <w:vAlign w:val="bottom"/>
            <w:gridSpan w:val="45"/>
          </w:tcPr>
          <w:p>
            <w:pPr>
              <w:spacing w:after="0" w:line="176" w:lineRule="exact"/>
              <w:rPr>
                <w:rFonts w:ascii="Arial" w:cs="Arial" w:eastAsia="Arial" w:hAnsi="Arial"/>
                <w:sz w:val="17"/>
                <w:szCs w:val="17"/>
                <w:color w:val="0000FF"/>
                <w:w w:val="96"/>
              </w:rPr>
            </w:pPr>
            <w:hyperlink r:id="rId147">
              <w:r>
                <w:rPr>
                  <w:rFonts w:ascii="Arial" w:cs="Arial" w:eastAsia="Arial" w:hAnsi="Arial"/>
                  <w:sz w:val="17"/>
                  <w:szCs w:val="17"/>
                  <w:color w:val="0000FF"/>
                  <w:w w:val="96"/>
                </w:rPr>
                <w:t>Eleventh Amendment to Second Amended and Restated Credit Agreement, dated as of June 28, 2019, between Diamondback Energy, Inc.,</w:t>
              </w:r>
            </w:hyperlink>
          </w:p>
        </w:tc>
      </w:tr>
      <w:tr>
        <w:trPr>
          <w:trHeight w:val="142"/>
        </w:trPr>
        <w:tc>
          <w:tcPr>
            <w:tcW w:w="1600" w:type="dxa"/>
            <w:vAlign w:val="bottom"/>
          </w:tcPr>
          <w:p>
            <w:pPr>
              <w:spacing w:after="0"/>
              <w:rPr>
                <w:sz w:val="12"/>
                <w:szCs w:val="12"/>
                <w:color w:val="auto"/>
              </w:rPr>
            </w:pPr>
          </w:p>
        </w:tc>
        <w:tc>
          <w:tcPr>
            <w:tcW w:w="1000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as parent guarantor, Diamondback O&amp;G LLC, as borrower, certain other subsidiaries of Diamondback Energy, Inc. as guarantors, Wells</w:t>
              </w:r>
            </w:hyperlink>
          </w:p>
        </w:tc>
        <w:tc>
          <w:tcPr>
            <w:tcW w:w="160" w:type="dxa"/>
            <w:vAlign w:val="bottom"/>
            <w:gridSpan w:val="8"/>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1010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Fargo Bank, National Association, as administrative agent, and the lenders party thereto (incorporated by reference to Exhibit 10.1 to the</w:t>
              </w:r>
            </w:hyperlink>
          </w:p>
        </w:tc>
        <w:tc>
          <w:tcPr>
            <w:tcW w:w="60" w:type="dxa"/>
            <w:vAlign w:val="bottom"/>
            <w:gridSpan w:val="3"/>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582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w w:val="98"/>
              </w:rPr>
            </w:pPr>
            <w:hyperlink r:id="rId147">
              <w:r>
                <w:rPr>
                  <w:rFonts w:ascii="Arial" w:cs="Arial" w:eastAsia="Arial" w:hAnsi="Arial"/>
                  <w:sz w:val="16"/>
                  <w:szCs w:val="16"/>
                  <w:color w:val="0000FF"/>
                  <w:w w:val="98"/>
                </w:rPr>
                <w:t>Form 8-K, File No. 001-35700, filed by the Company with the SEC on July 3, 2019).</w:t>
              </w:r>
            </w:hyperlink>
          </w:p>
        </w:tc>
        <w:tc>
          <w:tcPr>
            <w:tcW w:w="4260" w:type="dxa"/>
            <w:vAlign w:val="bottom"/>
            <w:tcBorders>
              <w:top w:val="single" w:sz="8" w:color="0000FF"/>
            </w:tcBorders>
            <w:gridSpan w:val="29"/>
          </w:tcPr>
          <w:p>
            <w:pPr>
              <w:spacing w:after="0"/>
              <w:rPr>
                <w:sz w:val="12"/>
                <w:szCs w:val="12"/>
                <w:color w:val="auto"/>
              </w:rPr>
            </w:pPr>
          </w:p>
        </w:tc>
        <w:tc>
          <w:tcPr>
            <w:tcW w:w="80" w:type="dxa"/>
            <w:vAlign w:val="bottom"/>
            <w:gridSpan w:val="4"/>
          </w:tcPr>
          <w:p>
            <w:pPr>
              <w:spacing w:after="0"/>
              <w:rPr>
                <w:sz w:val="12"/>
                <w:szCs w:val="12"/>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60"/>
              <w:spacing w:after="0"/>
              <w:rPr>
                <w:sz w:val="20"/>
                <w:szCs w:val="20"/>
                <w:color w:val="auto"/>
              </w:rPr>
            </w:pPr>
            <w:r>
              <w:rPr>
                <w:rFonts w:ascii="Arial" w:cs="Arial" w:eastAsia="Arial" w:hAnsi="Arial"/>
                <w:sz w:val="17"/>
                <w:szCs w:val="17"/>
                <w:i w:val="1"/>
                <w:iCs w:val="1"/>
                <w:color w:val="auto"/>
              </w:rPr>
              <w:t>3. Exhibits</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4"/>
        </w:trPr>
        <w:tc>
          <w:tcPr>
            <w:tcW w:w="1600" w:type="dxa"/>
            <w:vAlign w:val="bottom"/>
          </w:tcPr>
          <w:p>
            <w:pPr>
              <w:ind w:left="60"/>
              <w:spacing w:after="0"/>
              <w:rPr>
                <w:sz w:val="20"/>
                <w:szCs w:val="20"/>
                <w:color w:val="auto"/>
              </w:rPr>
            </w:pPr>
            <w:r>
              <w:rPr>
                <w:rFonts w:ascii="Arial" w:cs="Arial" w:eastAsia="Arial" w:hAnsi="Arial"/>
                <w:sz w:val="17"/>
                <w:szCs w:val="17"/>
                <w:b w:val="1"/>
                <w:bCs w:val="1"/>
                <w:color w:val="auto"/>
              </w:rPr>
              <w:t>Exhibit Number</w:t>
            </w:r>
          </w:p>
        </w:tc>
        <w:tc>
          <w:tcPr>
            <w:tcW w:w="10100" w:type="dxa"/>
            <w:vAlign w:val="bottom"/>
            <w:gridSpan w:val="42"/>
          </w:tcPr>
          <w:p>
            <w:pPr>
              <w:spacing w:after="0"/>
              <w:rPr>
                <w:sz w:val="20"/>
                <w:szCs w:val="20"/>
                <w:color w:val="auto"/>
              </w:rPr>
            </w:pPr>
            <w:r>
              <w:rPr>
                <w:rFonts w:ascii="Arial" w:cs="Arial" w:eastAsia="Arial" w:hAnsi="Arial"/>
                <w:sz w:val="17"/>
                <w:szCs w:val="17"/>
                <w:b w:val="1"/>
                <w:bCs w:val="1"/>
                <w:color w:val="auto"/>
              </w:rPr>
              <w:t>Description</w:t>
            </w:r>
          </w:p>
        </w:tc>
      </w:tr>
      <w:tr>
        <w:trPr>
          <w:trHeight w:val="112"/>
        </w:trPr>
        <w:tc>
          <w:tcPr>
            <w:tcW w:w="1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6"/>
        </w:trPr>
        <w:tc>
          <w:tcPr>
            <w:tcW w:w="16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10.23</w:t>
            </w:r>
          </w:p>
        </w:tc>
        <w:tc>
          <w:tcPr>
            <w:tcW w:w="10100" w:type="dxa"/>
            <w:vAlign w:val="bottom"/>
            <w:gridSpan w:val="42"/>
            <w:shd w:val="clear" w:color="auto" w:fill="CCEEFF"/>
          </w:tcPr>
          <w:p>
            <w:pPr>
              <w:spacing w:after="0" w:line="176" w:lineRule="exact"/>
              <w:rPr>
                <w:rFonts w:ascii="Arial" w:cs="Arial" w:eastAsia="Arial" w:hAnsi="Arial"/>
                <w:sz w:val="17"/>
                <w:szCs w:val="17"/>
                <w:color w:val="0000FF"/>
                <w:w w:val="95"/>
              </w:rPr>
            </w:pPr>
            <w:hyperlink r:id="rId149">
              <w:r>
                <w:rPr>
                  <w:rFonts w:ascii="Arial" w:cs="Arial" w:eastAsia="Arial" w:hAnsi="Arial"/>
                  <w:sz w:val="17"/>
                  <w:szCs w:val="17"/>
                  <w:color w:val="0000FF"/>
                  <w:w w:val="95"/>
                </w:rPr>
                <w:t>Twelfth Amendment to Second Amended and Restated Credit Agreement and First Amendment to Second Amended and Restated Guaranty</w:t>
              </w:r>
            </w:hyperlink>
          </w:p>
        </w:tc>
      </w:tr>
      <w:tr>
        <w:trPr>
          <w:trHeight w:val="142"/>
        </w:trPr>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9920" w:type="dxa"/>
            <w:vAlign w:val="bottom"/>
            <w:tcBorders>
              <w:top w:val="single" w:sz="8" w:color="0000FF"/>
              <w:bottom w:val="single" w:sz="8" w:color="0000FF"/>
            </w:tcBorders>
            <w:gridSpan w:val="33"/>
            <w:shd w:val="clear" w:color="auto" w:fill="CCEEFF"/>
          </w:tcPr>
          <w:p>
            <w:pPr>
              <w:spacing w:after="0" w:line="142" w:lineRule="exact"/>
              <w:rPr>
                <w:rFonts w:ascii="Arial" w:cs="Arial" w:eastAsia="Arial" w:hAnsi="Arial"/>
                <w:sz w:val="16"/>
                <w:szCs w:val="16"/>
                <w:color w:val="0000FF"/>
                <w:w w:val="99"/>
              </w:rPr>
            </w:pPr>
            <w:hyperlink r:id="rId149">
              <w:r>
                <w:rPr>
                  <w:rFonts w:ascii="Arial" w:cs="Arial" w:eastAsia="Arial" w:hAnsi="Arial"/>
                  <w:sz w:val="16"/>
                  <w:szCs w:val="16"/>
                  <w:color w:val="0000FF"/>
                  <w:w w:val="99"/>
                </w:rPr>
                <w:t>Agreement, dated as of June 2, 2021, between Diamondback Energy, Inc., as parent guarantor, Diamondback O&amp;G LLC, as borrower, Wells</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1600" w:type="dxa"/>
            <w:vAlign w:val="bottom"/>
            <w:tcBorders>
              <w:bottom w:val="single" w:sz="8" w:color="CCEEFF"/>
            </w:tcBorders>
            <w:shd w:val="clear" w:color="auto" w:fill="CCEEFF"/>
          </w:tcPr>
          <w:p>
            <w:pPr>
              <w:spacing w:after="0"/>
              <w:rPr>
                <w:sz w:val="12"/>
                <w:szCs w:val="12"/>
                <w:color w:val="auto"/>
              </w:rPr>
            </w:pPr>
          </w:p>
        </w:tc>
        <w:tc>
          <w:tcPr>
            <w:tcW w:w="10000" w:type="dxa"/>
            <w:vAlign w:val="bottom"/>
            <w:tcBorders>
              <w:bottom w:val="single" w:sz="8" w:color="0000FF"/>
            </w:tcBorders>
            <w:gridSpan w:val="37"/>
            <w:shd w:val="clear" w:color="auto" w:fill="CCEEFF"/>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Fargo Bank, National Association, as administrative agent, and the lenders party thereto (incorporated by reference to Exhibit 10.1 to the</w:t>
              </w:r>
            </w:hyperlink>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42"/>
        </w:trPr>
        <w:tc>
          <w:tcPr>
            <w:tcW w:w="1600" w:type="dxa"/>
            <w:vAlign w:val="bottom"/>
            <w:shd w:val="clear" w:color="auto" w:fill="CCEEFF"/>
          </w:tcPr>
          <w:p>
            <w:pPr>
              <w:spacing w:after="0"/>
              <w:rPr>
                <w:sz w:val="12"/>
                <w:szCs w:val="12"/>
                <w:color w:val="auto"/>
              </w:rPr>
            </w:pPr>
          </w:p>
        </w:tc>
        <w:tc>
          <w:tcPr>
            <w:tcW w:w="10060" w:type="dxa"/>
            <w:vAlign w:val="bottom"/>
            <w:gridSpan w:val="40"/>
            <w:shd w:val="clear" w:color="auto" w:fill="CCEEFF"/>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Form 8-K, File No. 001-35700, filed by the Company with the SEC on June 8, 2021).</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1"/>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10.24</w:t>
            </w:r>
          </w:p>
        </w:tc>
        <w:tc>
          <w:tcPr>
            <w:tcW w:w="10100" w:type="dxa"/>
            <w:vAlign w:val="bottom"/>
            <w:gridSpan w:val="42"/>
          </w:tcPr>
          <w:p>
            <w:pPr>
              <w:spacing w:after="0" w:line="176" w:lineRule="exact"/>
              <w:rPr>
                <w:rFonts w:ascii="Arial" w:cs="Arial" w:eastAsia="Arial" w:hAnsi="Arial"/>
                <w:sz w:val="17"/>
                <w:szCs w:val="17"/>
                <w:color w:val="0000FF"/>
                <w:w w:val="95"/>
              </w:rPr>
            </w:pPr>
            <w:hyperlink r:id="rId150">
              <w:r>
                <w:rPr>
                  <w:rFonts w:ascii="Arial" w:cs="Arial" w:eastAsia="Arial" w:hAnsi="Arial"/>
                  <w:sz w:val="17"/>
                  <w:szCs w:val="17"/>
                  <w:color w:val="0000FF"/>
                  <w:w w:val="95"/>
                </w:rPr>
                <w:t>Amended and Restated Credit Agreement, dated as of July 20, 2018, by and among, Viper Energy Partners LLC, as borrower, Viper Energy</w:t>
              </w:r>
            </w:hyperlink>
          </w:p>
        </w:tc>
      </w:tr>
      <w:tr>
        <w:trPr>
          <w:trHeight w:val="142"/>
        </w:trPr>
        <w:tc>
          <w:tcPr>
            <w:tcW w:w="1600" w:type="dxa"/>
            <w:vAlign w:val="bottom"/>
          </w:tcPr>
          <w:p>
            <w:pPr>
              <w:spacing w:after="0"/>
              <w:rPr>
                <w:sz w:val="12"/>
                <w:szCs w:val="12"/>
                <w:color w:val="auto"/>
              </w:rPr>
            </w:pPr>
          </w:p>
        </w:tc>
        <w:tc>
          <w:tcPr>
            <w:tcW w:w="9600" w:type="dxa"/>
            <w:vAlign w:val="bottom"/>
            <w:tcBorders>
              <w:top w:val="single" w:sz="8" w:color="0000FF"/>
            </w:tcBorders>
            <w:gridSpan w:val="17"/>
          </w:tcPr>
          <w:p>
            <w:pPr>
              <w:spacing w:after="0" w:line="142" w:lineRule="exact"/>
              <w:rPr>
                <w:rFonts w:ascii="Arial" w:cs="Arial" w:eastAsia="Arial" w:hAnsi="Arial"/>
                <w:sz w:val="16"/>
                <w:szCs w:val="16"/>
                <w:color w:val="0000FF"/>
                <w:w w:val="97"/>
              </w:rPr>
            </w:pPr>
            <w:hyperlink r:id="rId150">
              <w:r>
                <w:rPr>
                  <w:rFonts w:ascii="Arial" w:cs="Arial" w:eastAsia="Arial" w:hAnsi="Arial"/>
                  <w:sz w:val="16"/>
                  <w:szCs w:val="16"/>
                  <w:color w:val="0000FF"/>
                  <w:w w:val="97"/>
                </w:rPr>
                <w:t>Partners LP, as guarantor, Wells Fargo Bank, National Association, as administrative agent, and the lenders party thereto (incorporated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5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50">
              <w:r>
                <w:rPr>
                  <w:rFonts w:ascii="Arial" w:cs="Arial" w:eastAsia="Arial" w:hAnsi="Arial"/>
                  <w:sz w:val="16"/>
                  <w:szCs w:val="16"/>
                  <w:color w:val="0000FF"/>
                </w:rPr>
                <w:t>reference to Exhibit 10.1 of the Current Report on Form 8-K (File 001-36505) filed by Viper Energy Partners LP on July 26,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1600" w:type="dxa"/>
            <w:vAlign w:val="bottom"/>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1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36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10.25</w:t>
            </w:r>
          </w:p>
        </w:tc>
        <w:tc>
          <w:tcPr>
            <w:tcW w:w="10100" w:type="dxa"/>
            <w:vAlign w:val="bottom"/>
            <w:gridSpan w:val="42"/>
            <w:shd w:val="clear" w:color="auto" w:fill="CCEEFF"/>
          </w:tcPr>
          <w:p>
            <w:pPr>
              <w:spacing w:after="0" w:line="176" w:lineRule="exact"/>
              <w:rPr>
                <w:rFonts w:ascii="Arial" w:cs="Arial" w:eastAsia="Arial" w:hAnsi="Arial"/>
                <w:sz w:val="17"/>
                <w:szCs w:val="17"/>
                <w:color w:val="0000FF"/>
                <w:w w:val="95"/>
              </w:rPr>
            </w:pPr>
            <w:hyperlink r:id="rId151">
              <w:r>
                <w:rPr>
                  <w:rFonts w:ascii="Arial" w:cs="Arial" w:eastAsia="Arial" w:hAnsi="Arial"/>
                  <w:sz w:val="17"/>
                  <w:szCs w:val="17"/>
                  <w:color w:val="0000FF"/>
                  <w:w w:val="95"/>
                </w:rPr>
                <w:t>Second Amendment to Amended and Restated Senior Secured Revolving Credit Agreement, dated as of September 24, 2019, among Viper</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27"/>
            <w:shd w:val="clear" w:color="auto" w:fill="CCEEFF"/>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Energy Partners LLC, as borrower, Viper Energy Partners LP, as parent guarantor, Wells Fargo Bank, National Association, as</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26"/>
            <w:shd w:val="clear" w:color="auto" w:fill="CCEEFF"/>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administrative agent, and the lender party thereto (incorporated by reference to Exhibit 10.1 of Viper Energy Partners LP’s Form 8-K (File</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680" w:type="dxa"/>
            <w:vAlign w:val="bottom"/>
            <w:tcBorders>
              <w:top w:val="single" w:sz="8" w:color="0000FF"/>
            </w:tcBorders>
            <w:gridSpan w:val="21"/>
            <w:shd w:val="clear" w:color="auto" w:fill="CCEEFF"/>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001-36505) filed on September 30, 2019).</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37"/>
        </w:trPr>
        <w:tc>
          <w:tcPr>
            <w:tcW w:w="16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1180" w:type="dxa"/>
            <w:vAlign w:val="bottom"/>
            <w:tcBorders>
              <w:top w:val="single" w:sz="8" w:color="0000FF"/>
            </w:tcBorders>
            <w:shd w:val="clear" w:color="auto" w:fill="CCEEFF"/>
          </w:tcPr>
          <w:p>
            <w:pPr>
              <w:spacing w:after="0"/>
              <w:rPr>
                <w:sz w:val="20"/>
                <w:szCs w:val="20"/>
                <w:color w:val="auto"/>
              </w:rPr>
            </w:pPr>
          </w:p>
        </w:tc>
        <w:tc>
          <w:tcPr>
            <w:tcW w:w="380" w:type="dxa"/>
            <w:vAlign w:val="bottom"/>
            <w:tcBorders>
              <w:top w:val="single" w:sz="8" w:color="0000FF"/>
            </w:tcBorders>
            <w:shd w:val="clear" w:color="auto" w:fill="CCEEFF"/>
          </w:tcPr>
          <w:p>
            <w:pPr>
              <w:spacing w:after="0"/>
              <w:rPr>
                <w:sz w:val="20"/>
                <w:szCs w:val="20"/>
                <w:color w:val="auto"/>
              </w:rPr>
            </w:pPr>
          </w:p>
        </w:tc>
        <w:tc>
          <w:tcPr>
            <w:tcW w:w="60" w:type="dxa"/>
            <w:vAlign w:val="bottom"/>
            <w:tcBorders>
              <w:top w:val="single" w:sz="8" w:color="0000FF"/>
            </w:tcBorders>
            <w:shd w:val="clear" w:color="auto" w:fill="CCEEFF"/>
          </w:tcPr>
          <w:p>
            <w:pPr>
              <w:spacing w:after="0"/>
              <w:rPr>
                <w:sz w:val="20"/>
                <w:szCs w:val="20"/>
                <w:color w:val="auto"/>
              </w:rPr>
            </w:pPr>
          </w:p>
        </w:tc>
        <w:tc>
          <w:tcPr>
            <w:tcW w:w="64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3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10.26</w:t>
            </w:r>
          </w:p>
        </w:tc>
        <w:tc>
          <w:tcPr>
            <w:tcW w:w="10100" w:type="dxa"/>
            <w:vAlign w:val="bottom"/>
            <w:gridSpan w:val="42"/>
          </w:tcPr>
          <w:p>
            <w:pPr>
              <w:spacing w:after="0" w:line="176" w:lineRule="exact"/>
              <w:rPr>
                <w:rFonts w:ascii="Arial" w:cs="Arial" w:eastAsia="Arial" w:hAnsi="Arial"/>
                <w:sz w:val="17"/>
                <w:szCs w:val="17"/>
                <w:color w:val="0000FF"/>
              </w:rPr>
            </w:pPr>
            <w:hyperlink r:id="rId152">
              <w:r>
                <w:rPr>
                  <w:rFonts w:ascii="Arial" w:cs="Arial" w:eastAsia="Arial" w:hAnsi="Arial"/>
                  <w:sz w:val="17"/>
                  <w:szCs w:val="17"/>
                  <w:color w:val="0000FF"/>
                </w:rPr>
                <w:t>Third Amendment to Amended and Restated Senior Secured Revolving Credit Agreement, dated as of October 8, 2019, among Viper</w:t>
              </w:r>
            </w:hyperlink>
          </w:p>
        </w:tc>
      </w:tr>
      <w:tr>
        <w:trPr>
          <w:trHeight w:val="142"/>
        </w:trPr>
        <w:tc>
          <w:tcPr>
            <w:tcW w:w="1600" w:type="dxa"/>
            <w:vAlign w:val="bottom"/>
          </w:tcPr>
          <w:p>
            <w:pPr>
              <w:spacing w:after="0"/>
              <w:rPr>
                <w:sz w:val="12"/>
                <w:szCs w:val="12"/>
                <w:color w:val="auto"/>
              </w:rPr>
            </w:pPr>
          </w:p>
        </w:tc>
        <w:tc>
          <w:tcPr>
            <w:tcW w:w="99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Energy Partners LLC, as borrower, Viper Energy Partners LP, as parent guarantor, Wells Fargo Bank, National Association, as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7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administrative agent, and the lender party thereto (incorporated by reference to Exhibit 10.1 of Viper Energy Partners LP’s Form 8-K (File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6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52">
              <w:r>
                <w:rPr>
                  <w:rFonts w:ascii="Arial" w:cs="Arial" w:eastAsia="Arial" w:hAnsi="Arial"/>
                  <w:sz w:val="16"/>
                  <w:szCs w:val="16"/>
                  <w:color w:val="0000FF"/>
                </w:rPr>
                <w:t>001-36505) filed on October 10,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10.27</w:t>
            </w:r>
          </w:p>
        </w:tc>
        <w:tc>
          <w:tcPr>
            <w:tcW w:w="10100" w:type="dxa"/>
            <w:vAlign w:val="bottom"/>
            <w:gridSpan w:val="42"/>
            <w:shd w:val="clear" w:color="auto" w:fill="CCEEFF"/>
          </w:tcPr>
          <w:p>
            <w:pPr>
              <w:spacing w:after="0" w:line="176" w:lineRule="exact"/>
              <w:rPr>
                <w:rFonts w:ascii="Arial" w:cs="Arial" w:eastAsia="Arial" w:hAnsi="Arial"/>
                <w:sz w:val="17"/>
                <w:szCs w:val="17"/>
                <w:color w:val="0000FF"/>
                <w:w w:val="96"/>
              </w:rPr>
            </w:pPr>
            <w:hyperlink r:id="rId153">
              <w:r>
                <w:rPr>
                  <w:rFonts w:ascii="Arial" w:cs="Arial" w:eastAsia="Arial" w:hAnsi="Arial"/>
                  <w:sz w:val="17"/>
                  <w:szCs w:val="17"/>
                  <w:color w:val="0000FF"/>
                  <w:w w:val="96"/>
                </w:rPr>
                <w:t>Fourth Amendment to Amended and Restated Senior Secured Revolving Credit Agreement, dated as of November 29, 2019, among Viper</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0000FF"/>
            </w:tcBorders>
            <w:gridSpan w:val="19"/>
            <w:shd w:val="clear" w:color="auto" w:fill="CCEEFF"/>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Energy Partners LLC, as borrower, Viper Energy Partners LP, as parent guarantor, Wells Fargo Bank, National Association, as</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26"/>
            <w:shd w:val="clear" w:color="auto" w:fill="CCEEFF"/>
          </w:tcPr>
          <w:p>
            <w:pPr>
              <w:spacing w:after="0" w:line="142" w:lineRule="exact"/>
              <w:rPr>
                <w:rFonts w:ascii="Arial" w:cs="Arial" w:eastAsia="Arial" w:hAnsi="Arial"/>
                <w:sz w:val="16"/>
                <w:szCs w:val="16"/>
                <w:color w:val="0000FF"/>
                <w:w w:val="98"/>
              </w:rPr>
            </w:pPr>
            <w:hyperlink r:id="rId153">
              <w:r>
                <w:rPr>
                  <w:rFonts w:ascii="Arial" w:cs="Arial" w:eastAsia="Arial" w:hAnsi="Arial"/>
                  <w:sz w:val="16"/>
                  <w:szCs w:val="16"/>
                  <w:color w:val="0000FF"/>
                  <w:w w:val="98"/>
                </w:rPr>
                <w:t>administrative agent, and the lenders party thereto (incorporated by reference to Exhibit 10.1 of the Partnership’s Current Report on Form 8-</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60" w:type="dxa"/>
            <w:vAlign w:val="bottom"/>
            <w:tcBorders>
              <w:top w:val="single" w:sz="8" w:color="0000FF"/>
            </w:tcBorders>
            <w:gridSpan w:val="25"/>
            <w:shd w:val="clear" w:color="auto" w:fill="CCEEFF"/>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K (File No. 001-36505) filed on December 5, 2019).</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10.28</w:t>
            </w:r>
          </w:p>
        </w:tc>
        <w:tc>
          <w:tcPr>
            <w:tcW w:w="10100" w:type="dxa"/>
            <w:vAlign w:val="bottom"/>
            <w:gridSpan w:val="42"/>
          </w:tcPr>
          <w:p>
            <w:pPr>
              <w:spacing w:after="0" w:line="176" w:lineRule="exact"/>
              <w:rPr>
                <w:rFonts w:ascii="Arial" w:cs="Arial" w:eastAsia="Arial" w:hAnsi="Arial"/>
                <w:sz w:val="17"/>
                <w:szCs w:val="17"/>
                <w:color w:val="0000FF"/>
                <w:w w:val="97"/>
              </w:rPr>
            </w:pPr>
            <w:hyperlink r:id="rId154">
              <w:r>
                <w:rPr>
                  <w:rFonts w:ascii="Arial" w:cs="Arial" w:eastAsia="Arial" w:hAnsi="Arial"/>
                  <w:sz w:val="17"/>
                  <w:szCs w:val="17"/>
                  <w:color w:val="0000FF"/>
                  <w:w w:val="97"/>
                </w:rPr>
                <w:t>Fifth Amendment to Amended and Restated Senior Secured Revolving Credit Agreement, dated as of May 11, 2020, among Viper Energy</w:t>
              </w:r>
            </w:hyperlink>
          </w:p>
        </w:tc>
      </w:tr>
      <w:tr>
        <w:trPr>
          <w:trHeight w:val="142"/>
        </w:trPr>
        <w:tc>
          <w:tcPr>
            <w:tcW w:w="1600" w:type="dxa"/>
            <w:vAlign w:val="bottom"/>
          </w:tcPr>
          <w:p>
            <w:pPr>
              <w:spacing w:after="0"/>
              <w:rPr>
                <w:sz w:val="12"/>
                <w:szCs w:val="12"/>
                <w:color w:val="auto"/>
              </w:rPr>
            </w:pPr>
          </w:p>
        </w:tc>
        <w:tc>
          <w:tcPr>
            <w:tcW w:w="1004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Partners LLC, as borrower, Viper Energy Partners LP, as parent guarantor, Wells Fargo Bank, National Association, as administrative agent,</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w w:val="99"/>
              </w:rPr>
            </w:pPr>
            <w:hyperlink r:id="rId154">
              <w:r>
                <w:rPr>
                  <w:rFonts w:ascii="Arial" w:cs="Arial" w:eastAsia="Arial" w:hAnsi="Arial"/>
                  <w:sz w:val="16"/>
                  <w:szCs w:val="16"/>
                  <w:color w:val="0000FF"/>
                  <w:w w:val="99"/>
                </w:rPr>
                <w:t>and the lenders party thereto (incorporated by reference to Exhibit 10.1 of the Partnership’s Current Report on Form 8-K (File 001-36505)</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880" w:type="dxa"/>
            <w:vAlign w:val="bottom"/>
            <w:gridSpan w:val="31"/>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filed on May 15,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10.29</w:t>
            </w:r>
          </w:p>
        </w:tc>
        <w:tc>
          <w:tcPr>
            <w:tcW w:w="10100" w:type="dxa"/>
            <w:vAlign w:val="bottom"/>
            <w:gridSpan w:val="42"/>
            <w:shd w:val="clear" w:color="auto" w:fill="CCEEFF"/>
          </w:tcPr>
          <w:p>
            <w:pPr>
              <w:spacing w:after="0" w:line="176" w:lineRule="exact"/>
              <w:rPr>
                <w:rFonts w:ascii="Arial" w:cs="Arial" w:eastAsia="Arial" w:hAnsi="Arial"/>
                <w:sz w:val="17"/>
                <w:szCs w:val="17"/>
                <w:color w:val="0000FF"/>
                <w:w w:val="98"/>
              </w:rPr>
            </w:pPr>
            <w:hyperlink r:id="rId155">
              <w:r>
                <w:rPr>
                  <w:rFonts w:ascii="Arial" w:cs="Arial" w:eastAsia="Arial" w:hAnsi="Arial"/>
                  <w:sz w:val="17"/>
                  <w:szCs w:val="17"/>
                  <w:color w:val="0000FF"/>
                  <w:w w:val="98"/>
                </w:rPr>
                <w:t>Sixth Amendment to Amended and Restated Senior Secured Revolving Credit Agreement, dated as of November 6, 2020, among Viper</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10020" w:type="dxa"/>
            <w:vAlign w:val="bottom"/>
            <w:tcBorders>
              <w:top w:val="single" w:sz="8" w:color="0000FF"/>
            </w:tcBorders>
            <w:gridSpan w:val="38"/>
            <w:shd w:val="clear" w:color="auto" w:fill="CCEEFF"/>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Energy Partners LLC, as borrower, Viper Energy Partners LP, as parent guarantor, Wells Fargo Bank, National Association, as</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26"/>
            <w:shd w:val="clear" w:color="auto" w:fill="CCEEFF"/>
          </w:tcPr>
          <w:p>
            <w:pPr>
              <w:spacing w:after="0" w:line="142" w:lineRule="exact"/>
              <w:rPr>
                <w:rFonts w:ascii="Arial" w:cs="Arial" w:eastAsia="Arial" w:hAnsi="Arial"/>
                <w:sz w:val="16"/>
                <w:szCs w:val="16"/>
                <w:color w:val="0000FF"/>
                <w:w w:val="98"/>
              </w:rPr>
            </w:pPr>
            <w:hyperlink r:id="rId155">
              <w:r>
                <w:rPr>
                  <w:rFonts w:ascii="Arial" w:cs="Arial" w:eastAsia="Arial" w:hAnsi="Arial"/>
                  <w:sz w:val="16"/>
                  <w:szCs w:val="16"/>
                  <w:color w:val="0000FF"/>
                  <w:w w:val="98"/>
                </w:rPr>
                <w:t>administrative agent, and the lenders party thereto (incorporated by reference to Exhibit 10.1 of the Partnership’s Current Report on Form 8-</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3"/>
        </w:trPr>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340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8"/>
              </w:rPr>
            </w:pPr>
            <w:hyperlink r:id="rId155">
              <w:r>
                <w:rPr>
                  <w:rFonts w:ascii="Arial" w:cs="Arial" w:eastAsia="Arial" w:hAnsi="Arial"/>
                  <w:sz w:val="16"/>
                  <w:szCs w:val="16"/>
                  <w:color w:val="0000FF"/>
                  <w:w w:val="98"/>
                </w:rPr>
                <w:t>K (File 001-36505) filed on November 12, 2020).</w:t>
              </w:r>
            </w:hyperlink>
          </w:p>
        </w:tc>
        <w:tc>
          <w:tcPr>
            <w:tcW w:w="636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10.30</w:t>
            </w:r>
          </w:p>
        </w:tc>
        <w:tc>
          <w:tcPr>
            <w:tcW w:w="10100" w:type="dxa"/>
            <w:vAlign w:val="bottom"/>
            <w:gridSpan w:val="42"/>
          </w:tcPr>
          <w:p>
            <w:pPr>
              <w:spacing w:after="0" w:line="176" w:lineRule="exact"/>
              <w:rPr>
                <w:rFonts w:ascii="Arial" w:cs="Arial" w:eastAsia="Arial" w:hAnsi="Arial"/>
                <w:sz w:val="17"/>
                <w:szCs w:val="17"/>
                <w:color w:val="0000FF"/>
              </w:rPr>
            </w:pPr>
            <w:hyperlink r:id="rId156">
              <w:r>
                <w:rPr>
                  <w:rFonts w:ascii="Arial" w:cs="Arial" w:eastAsia="Arial" w:hAnsi="Arial"/>
                  <w:sz w:val="17"/>
                  <w:szCs w:val="17"/>
                  <w:color w:val="0000FF"/>
                </w:rPr>
                <w:t>Eighth Amendment to Amended and Restated Senior Secured Revolving Credit Agreement and Second Amendment to Guaranty and</w:t>
              </w:r>
            </w:hyperlink>
          </w:p>
        </w:tc>
      </w:tr>
      <w:tr>
        <w:trPr>
          <w:trHeight w:val="142"/>
        </w:trPr>
        <w:tc>
          <w:tcPr>
            <w:tcW w:w="1600" w:type="dxa"/>
            <w:vAlign w:val="bottom"/>
          </w:tcPr>
          <w:p>
            <w:pPr>
              <w:spacing w:after="0"/>
              <w:rPr>
                <w:sz w:val="12"/>
                <w:szCs w:val="12"/>
                <w:color w:val="auto"/>
              </w:rPr>
            </w:pPr>
          </w:p>
        </w:tc>
        <w:tc>
          <w:tcPr>
            <w:tcW w:w="970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w w:val="96"/>
              </w:rPr>
            </w:pPr>
            <w:hyperlink r:id="rId156">
              <w:r>
                <w:rPr>
                  <w:rFonts w:ascii="Arial" w:cs="Arial" w:eastAsia="Arial" w:hAnsi="Arial"/>
                  <w:sz w:val="16"/>
                  <w:szCs w:val="16"/>
                  <w:color w:val="0000FF"/>
                  <w:w w:val="96"/>
                </w:rPr>
                <w:t>Collateral Agreement, dated as of November 15, 2021, by and among Viper Energy Partners LLC, as borrower, Viper Energy Partners LP, as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840" w:type="dxa"/>
            <w:vAlign w:val="bottom"/>
            <w:gridSpan w:val="29"/>
          </w:tcPr>
          <w:p>
            <w:pPr>
              <w:spacing w:after="0" w:line="142" w:lineRule="exact"/>
              <w:rPr>
                <w:rFonts w:ascii="Arial" w:cs="Arial" w:eastAsia="Arial" w:hAnsi="Arial"/>
                <w:sz w:val="16"/>
                <w:szCs w:val="16"/>
                <w:color w:val="0000FF"/>
                <w:w w:val="99"/>
              </w:rPr>
            </w:pPr>
            <w:hyperlink r:id="rId156">
              <w:r>
                <w:rPr>
                  <w:rFonts w:ascii="Arial" w:cs="Arial" w:eastAsia="Arial" w:hAnsi="Arial"/>
                  <w:sz w:val="16"/>
                  <w:szCs w:val="16"/>
                  <w:color w:val="0000FF"/>
                  <w:w w:val="99"/>
                </w:rPr>
                <w:t>parent guarantor, Wells Fargo Bank, National Association, as administrative agent, and the lenders party thereto (incorporated by reference</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7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56">
              <w:r>
                <w:rPr>
                  <w:rFonts w:ascii="Arial" w:cs="Arial" w:eastAsia="Arial" w:hAnsi="Arial"/>
                  <w:sz w:val="16"/>
                  <w:szCs w:val="16"/>
                  <w:color w:val="0000FF"/>
                </w:rPr>
                <w:t>to Exhibit 10.1 of Viper Energy Partners LP’s Current Report on Form 8-K (File No. 001-36505) filed on November 18, 2021).</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10.31</w:t>
            </w:r>
          </w:p>
        </w:tc>
        <w:tc>
          <w:tcPr>
            <w:tcW w:w="10100" w:type="dxa"/>
            <w:vAlign w:val="bottom"/>
            <w:gridSpan w:val="42"/>
            <w:shd w:val="clear" w:color="auto" w:fill="CCEEFF"/>
          </w:tcPr>
          <w:p>
            <w:pPr>
              <w:spacing w:after="0" w:line="176" w:lineRule="exact"/>
              <w:rPr>
                <w:rFonts w:ascii="Arial" w:cs="Arial" w:eastAsia="Arial" w:hAnsi="Arial"/>
                <w:sz w:val="17"/>
                <w:szCs w:val="17"/>
                <w:color w:val="0000FF"/>
                <w:w w:val="99"/>
              </w:rPr>
            </w:pPr>
            <w:hyperlink r:id="rId157">
              <w:r>
                <w:rPr>
                  <w:rFonts w:ascii="Arial" w:cs="Arial" w:eastAsia="Arial" w:hAnsi="Arial"/>
                  <w:sz w:val="17"/>
                  <w:szCs w:val="17"/>
                  <w:color w:val="0000FF"/>
                  <w:w w:val="99"/>
                </w:rPr>
                <w:t>Credit Agreement, dated May 28, 2019, by and among Rattler Midstream Operating LLC, as borrower, Rattler Midstream LP, as parent,</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10020" w:type="dxa"/>
            <w:vAlign w:val="bottom"/>
            <w:tcBorders>
              <w:top w:val="single" w:sz="8" w:color="0000FF"/>
            </w:tcBorders>
            <w:gridSpan w:val="38"/>
            <w:shd w:val="clear" w:color="auto" w:fill="CCEEFF"/>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Wells Fargo Bank, National Association, as the administrative agent, and certain lenders from time to time party thereto (incorporated by</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960" w:type="dxa"/>
            <w:vAlign w:val="bottom"/>
            <w:tcBorders>
              <w:top w:val="single" w:sz="8" w:color="0000FF"/>
            </w:tcBorders>
            <w:gridSpan w:val="35"/>
            <w:shd w:val="clear" w:color="auto" w:fill="CCEEFF"/>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reference to Exhibit 10.2 to Rattler Midstream LP’s Form 8-K, File No. 001-38919, filed by Rattler Midstream LP with the SEC on May 29,</w:t>
              </w:r>
            </w:hyperlink>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8"/>
        </w:trPr>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6"/>
                <w:szCs w:val="16"/>
                <w:color w:val="0000FF"/>
                <w:w w:val="92"/>
              </w:rPr>
            </w:pPr>
            <w:hyperlink r:id="rId157">
              <w:r>
                <w:rPr>
                  <w:rFonts w:ascii="Arial" w:cs="Arial" w:eastAsia="Arial" w:hAnsi="Arial"/>
                  <w:sz w:val="16"/>
                  <w:szCs w:val="16"/>
                  <w:color w:val="0000FF"/>
                  <w:w w:val="92"/>
                </w:rPr>
                <w:t>2019).</w:t>
              </w:r>
            </w:hyperlink>
          </w:p>
        </w:tc>
        <w:tc>
          <w:tcPr>
            <w:tcW w:w="1180" w:type="dxa"/>
            <w:vAlign w:val="bottom"/>
            <w:tcBorders>
              <w:top w:val="single" w:sz="8" w:color="0000FF"/>
              <w:bottom w:val="single" w:sz="8" w:color="CCEEFF"/>
            </w:tcBorders>
            <w:shd w:val="clear" w:color="auto" w:fill="CCEEFF"/>
          </w:tcPr>
          <w:p>
            <w:pPr>
              <w:spacing w:after="0"/>
              <w:rPr>
                <w:sz w:val="14"/>
                <w:szCs w:val="14"/>
                <w:color w:val="auto"/>
              </w:rPr>
            </w:pPr>
          </w:p>
        </w:tc>
        <w:tc>
          <w:tcPr>
            <w:tcW w:w="38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64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38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1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2360" w:type="dxa"/>
            <w:vAlign w:val="bottom"/>
            <w:tcBorders>
              <w:top w:val="single" w:sz="8" w:color="0000FF"/>
              <w:bottom w:val="single" w:sz="8" w:color="CCEEFF"/>
            </w:tcBorders>
            <w:shd w:val="clear" w:color="auto" w:fill="CCEEFF"/>
          </w:tcPr>
          <w:p>
            <w:pPr>
              <w:spacing w:after="0"/>
              <w:rPr>
                <w:sz w:val="14"/>
                <w:szCs w:val="14"/>
                <w:color w:val="auto"/>
              </w:rPr>
            </w:pPr>
          </w:p>
        </w:tc>
        <w:tc>
          <w:tcPr>
            <w:tcW w:w="50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0000FF"/>
              <w:bottom w:val="single" w:sz="8" w:color="CCEEFF"/>
            </w:tcBorders>
            <w:shd w:val="clear" w:color="auto" w:fill="CCEEFF"/>
          </w:tcPr>
          <w:p>
            <w:pPr>
              <w:spacing w:after="0"/>
              <w:rPr>
                <w:sz w:val="14"/>
                <w:szCs w:val="14"/>
                <w:color w:val="auto"/>
              </w:rPr>
            </w:pPr>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600" w:type="dxa"/>
            <w:vAlign w:val="bottom"/>
            <w:tcBorders>
              <w:top w:val="single" w:sz="8" w:color="CCEEFF"/>
            </w:tcBorders>
          </w:tcPr>
          <w:p>
            <w:pPr>
              <w:ind w:left="60"/>
              <w:spacing w:after="0" w:line="176" w:lineRule="exact"/>
              <w:rPr>
                <w:sz w:val="20"/>
                <w:szCs w:val="20"/>
                <w:color w:val="auto"/>
              </w:rPr>
            </w:pPr>
            <w:r>
              <w:rPr>
                <w:rFonts w:ascii="Arial" w:cs="Arial" w:eastAsia="Arial" w:hAnsi="Arial"/>
                <w:sz w:val="17"/>
                <w:szCs w:val="17"/>
                <w:color w:val="auto"/>
              </w:rPr>
              <w:t>10.32</w:t>
            </w:r>
          </w:p>
        </w:tc>
        <w:tc>
          <w:tcPr>
            <w:tcW w:w="10100" w:type="dxa"/>
            <w:vAlign w:val="bottom"/>
            <w:tcBorders>
              <w:top w:val="single" w:sz="8" w:color="CCEEFF"/>
            </w:tcBorders>
            <w:gridSpan w:val="42"/>
          </w:tcPr>
          <w:p>
            <w:pPr>
              <w:spacing w:after="0" w:line="176" w:lineRule="exact"/>
              <w:rPr>
                <w:rFonts w:ascii="Arial" w:cs="Arial" w:eastAsia="Arial" w:hAnsi="Arial"/>
                <w:sz w:val="17"/>
                <w:szCs w:val="17"/>
                <w:color w:val="0000FF"/>
                <w:w w:val="98"/>
              </w:rPr>
            </w:pPr>
            <w:hyperlink r:id="rId158">
              <w:r>
                <w:rPr>
                  <w:rFonts w:ascii="Arial" w:cs="Arial" w:eastAsia="Arial" w:hAnsi="Arial"/>
                  <w:sz w:val="17"/>
                  <w:szCs w:val="17"/>
                  <w:color w:val="0000FF"/>
                  <w:w w:val="98"/>
                </w:rPr>
                <w:t>First Amendment to the Credit Agreement, dated as of October 23, 2019, by and among Rattler Midstream Operating LLC, as borrower,</w:t>
              </w:r>
            </w:hyperlink>
          </w:p>
        </w:tc>
      </w:tr>
      <w:tr>
        <w:trPr>
          <w:trHeight w:val="142"/>
        </w:trPr>
        <w:tc>
          <w:tcPr>
            <w:tcW w:w="1600" w:type="dxa"/>
            <w:vAlign w:val="bottom"/>
          </w:tcPr>
          <w:p>
            <w:pPr>
              <w:spacing w:after="0"/>
              <w:rPr>
                <w:sz w:val="12"/>
                <w:szCs w:val="12"/>
                <w:color w:val="auto"/>
              </w:rPr>
            </w:pPr>
          </w:p>
        </w:tc>
        <w:tc>
          <w:tcPr>
            <w:tcW w:w="9920" w:type="dxa"/>
            <w:vAlign w:val="bottom"/>
            <w:tcBorders>
              <w:top w:val="single" w:sz="8" w:color="0000FF"/>
              <w:bottom w:val="single" w:sz="8" w:color="0000FF"/>
            </w:tcBorders>
            <w:gridSpan w:val="33"/>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Rattler Midstream LP, as parent, Wells Fargo Bank, National Association, as the administrative agent, and certain lenders from time to time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00" w:type="dxa"/>
            <w:vAlign w:val="bottom"/>
            <w:tcBorders>
              <w:bottom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10080" w:type="dxa"/>
            <w:vAlign w:val="bottom"/>
            <w:gridSpan w:val="41"/>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party thereto (incorporated by reference to Exhibit 10.1 of Rattler Midstream LP’s Form 8-K (File 001-38919) filed on October 28, 2019).</w:t>
              </w:r>
            </w:hyperlink>
          </w:p>
        </w:tc>
        <w:tc>
          <w:tcPr>
            <w:tcW w:w="20" w:type="dxa"/>
            <w:vAlign w:val="bottom"/>
          </w:tcPr>
          <w:p>
            <w:pPr>
              <w:spacing w:after="0"/>
              <w:rPr>
                <w:sz w:val="12"/>
                <w:szCs w:val="12"/>
                <w:color w:val="auto"/>
              </w:rPr>
            </w:pPr>
          </w:p>
        </w:tc>
      </w:tr>
      <w:tr>
        <w:trPr>
          <w:trHeight w:val="21"/>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10.33</w:t>
            </w:r>
          </w:p>
        </w:tc>
        <w:tc>
          <w:tcPr>
            <w:tcW w:w="10100" w:type="dxa"/>
            <w:vAlign w:val="bottom"/>
            <w:gridSpan w:val="42"/>
            <w:shd w:val="clear" w:color="auto" w:fill="CCEEFF"/>
          </w:tcPr>
          <w:p>
            <w:pPr>
              <w:spacing w:after="0" w:line="176" w:lineRule="exact"/>
              <w:rPr>
                <w:rFonts w:ascii="Arial" w:cs="Arial" w:eastAsia="Arial" w:hAnsi="Arial"/>
                <w:sz w:val="17"/>
                <w:szCs w:val="17"/>
                <w:color w:val="0000FF"/>
                <w:w w:val="94"/>
              </w:rPr>
            </w:pPr>
            <w:hyperlink r:id="rId159">
              <w:r>
                <w:rPr>
                  <w:rFonts w:ascii="Arial" w:cs="Arial" w:eastAsia="Arial" w:hAnsi="Arial"/>
                  <w:sz w:val="17"/>
                  <w:szCs w:val="17"/>
                  <w:color w:val="0000FF"/>
                  <w:w w:val="94"/>
                </w:rPr>
                <w:t>Second Amendment, dated as of November 2, 2020, to the Credit Agreement, dated May 28, 2019, as amended on October 23, 2019, by and</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30"/>
            <w:shd w:val="clear" w:color="auto" w:fill="CCEEFF"/>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among Rattler Midstream Operating LLC, as borrower, Rattler Midstream LP, as parent, Wells Fargo Bank, National Association, as the</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10080" w:type="dxa"/>
            <w:vAlign w:val="bottom"/>
            <w:tcBorders>
              <w:top w:val="single" w:sz="8" w:color="0000FF"/>
            </w:tcBorders>
            <w:gridSpan w:val="41"/>
            <w:shd w:val="clear" w:color="auto" w:fill="CCEEFF"/>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administrative agent, and certain lenders from time to time party thereto. (incorporated by reference to Exhibit 10.3 of Rattler Midstream</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980" w:type="dxa"/>
            <w:vAlign w:val="bottom"/>
            <w:tcBorders>
              <w:top w:val="single" w:sz="8" w:color="0000FF"/>
            </w:tcBorders>
            <w:gridSpan w:val="36"/>
            <w:shd w:val="clear" w:color="auto" w:fill="CCEEFF"/>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LP's Quarterly Report on Form 10-Q (File 001-38919) filed on November 5, 2020).</w:t>
              </w:r>
            </w:hyperlink>
          </w:p>
        </w:tc>
        <w:tc>
          <w:tcPr>
            <w:tcW w:w="120" w:type="dxa"/>
            <w:vAlign w:val="bottom"/>
            <w:tcBorders>
              <w:top w:val="single" w:sz="8" w:color="CCEEFF"/>
            </w:tcBorders>
            <w:gridSpan w:val="6"/>
            <w:shd w:val="clear" w:color="auto" w:fill="CCEEFF"/>
          </w:tcPr>
          <w:p>
            <w:pPr>
              <w:spacing w:after="0"/>
              <w:rPr>
                <w:sz w:val="12"/>
                <w:szCs w:val="12"/>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10.34</w:t>
            </w:r>
          </w:p>
        </w:tc>
        <w:tc>
          <w:tcPr>
            <w:tcW w:w="10100" w:type="dxa"/>
            <w:vAlign w:val="bottom"/>
            <w:gridSpan w:val="42"/>
          </w:tcPr>
          <w:p>
            <w:pPr>
              <w:spacing w:after="0" w:line="176" w:lineRule="exact"/>
              <w:rPr>
                <w:rFonts w:ascii="Arial" w:cs="Arial" w:eastAsia="Arial" w:hAnsi="Arial"/>
                <w:sz w:val="17"/>
                <w:szCs w:val="17"/>
                <w:color w:val="0000FF"/>
                <w:w w:val="99"/>
              </w:rPr>
            </w:pPr>
            <w:hyperlink r:id="rId160">
              <w:r>
                <w:rPr>
                  <w:rFonts w:ascii="Arial" w:cs="Arial" w:eastAsia="Arial" w:hAnsi="Arial"/>
                  <w:sz w:val="17"/>
                  <w:szCs w:val="17"/>
                  <w:color w:val="0000FF"/>
                  <w:w w:val="99"/>
                </w:rPr>
                <w:t>Third Amendment to Credit Agreement, dated as of December 21, 2021, among Rattler Midstream Operating LLC, as borrower, Rattler</w:t>
              </w:r>
            </w:hyperlink>
          </w:p>
        </w:tc>
      </w:tr>
      <w:tr>
        <w:trPr>
          <w:trHeight w:val="142"/>
        </w:trPr>
        <w:tc>
          <w:tcPr>
            <w:tcW w:w="1600" w:type="dxa"/>
            <w:vAlign w:val="bottom"/>
          </w:tcPr>
          <w:p>
            <w:pPr>
              <w:spacing w:after="0"/>
              <w:rPr>
                <w:sz w:val="12"/>
                <w:szCs w:val="12"/>
                <w:color w:val="auto"/>
              </w:rPr>
            </w:pPr>
          </w:p>
        </w:tc>
        <w:tc>
          <w:tcPr>
            <w:tcW w:w="982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Midstream LP, as parent, Wells Fargo Bank, National Association, as administrative agent, and the lenders from time to time party thereto</w:t>
              </w:r>
            </w:hyperlink>
          </w:p>
        </w:tc>
        <w:tc>
          <w:tcPr>
            <w:tcW w:w="120" w:type="dxa"/>
            <w:vAlign w:val="bottom"/>
            <w:gridSpan w:val="6"/>
          </w:tcPr>
          <w:p>
            <w:pPr>
              <w:spacing w:after="0"/>
              <w:rPr>
                <w:sz w:val="12"/>
                <w:szCs w:val="12"/>
                <w:color w:val="auto"/>
              </w:rPr>
            </w:pPr>
          </w:p>
        </w:tc>
        <w:tc>
          <w:tcPr>
            <w:tcW w:w="160" w:type="dxa"/>
            <w:vAlign w:val="bottom"/>
            <w:gridSpan w:val="8"/>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70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(incorporated by reference to Exhibit 10.1 of Rattler Midstream LP’s the Partnership’s Quarterly Report on Form 10-Q (File 001-38919)</w:t>
              </w:r>
            </w:hyperlink>
          </w:p>
        </w:tc>
        <w:tc>
          <w:tcPr>
            <w:tcW w:w="40" w:type="dxa"/>
            <w:vAlign w:val="bottom"/>
            <w:tcBorders>
              <w:bottom w:val="single" w:sz="8" w:color="0000FF"/>
            </w:tcBorders>
            <w:gridSpan w:val="2"/>
          </w:tcPr>
          <w:p>
            <w:pPr>
              <w:spacing w:after="0"/>
              <w:rPr>
                <w:sz w:val="12"/>
                <w:szCs w:val="12"/>
                <w:color w:val="auto"/>
              </w:rPr>
            </w:pPr>
          </w:p>
        </w:tc>
        <w:tc>
          <w:tcPr>
            <w:tcW w:w="200" w:type="dxa"/>
            <w:vAlign w:val="bottom"/>
            <w:gridSpan w:val="10"/>
          </w:tcPr>
          <w:p>
            <w:pPr>
              <w:spacing w:after="0"/>
              <w:rPr>
                <w:sz w:val="12"/>
                <w:szCs w:val="12"/>
                <w:color w:val="auto"/>
              </w:rPr>
            </w:pPr>
          </w:p>
        </w:tc>
        <w:tc>
          <w:tcPr>
            <w:tcW w:w="160" w:type="dxa"/>
            <w:vAlign w:val="bottom"/>
            <w:gridSpan w:val="8"/>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9740" w:type="dxa"/>
            <w:vAlign w:val="bottom"/>
            <w:gridSpan w:val="24"/>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filed on December 27, 2021).</w:t>
              </w:r>
            </w:hyperlink>
          </w:p>
        </w:tc>
        <w:tc>
          <w:tcPr>
            <w:tcW w:w="200" w:type="dxa"/>
            <w:vAlign w:val="bottom"/>
            <w:gridSpan w:val="10"/>
          </w:tcPr>
          <w:p>
            <w:pPr>
              <w:spacing w:after="0"/>
              <w:rPr>
                <w:sz w:val="12"/>
                <w:szCs w:val="12"/>
                <w:color w:val="auto"/>
              </w:rPr>
            </w:pPr>
          </w:p>
        </w:tc>
        <w:tc>
          <w:tcPr>
            <w:tcW w:w="160" w:type="dxa"/>
            <w:vAlign w:val="bottom"/>
            <w:gridSpan w:val="8"/>
          </w:tcPr>
          <w:p>
            <w:pPr>
              <w:spacing w:after="0"/>
              <w:rPr>
                <w:sz w:val="12"/>
                <w:szCs w:val="12"/>
                <w:color w:val="auto"/>
              </w:rPr>
            </w:pPr>
          </w:p>
        </w:tc>
      </w:tr>
      <w:tr>
        <w:trPr>
          <w:trHeight w:val="20"/>
        </w:trPr>
        <w:tc>
          <w:tcPr>
            <w:tcW w:w="16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10.35+</w:t>
            </w:r>
          </w:p>
        </w:tc>
        <w:tc>
          <w:tcPr>
            <w:tcW w:w="10100" w:type="dxa"/>
            <w:vAlign w:val="bottom"/>
            <w:gridSpan w:val="42"/>
            <w:shd w:val="clear" w:color="auto" w:fill="CCEEFF"/>
          </w:tcPr>
          <w:p>
            <w:pPr>
              <w:spacing w:after="0" w:line="176" w:lineRule="exact"/>
              <w:rPr>
                <w:rFonts w:ascii="Arial" w:cs="Arial" w:eastAsia="Arial" w:hAnsi="Arial"/>
                <w:sz w:val="17"/>
                <w:szCs w:val="17"/>
                <w:color w:val="0000FF"/>
                <w:w w:val="97"/>
              </w:rPr>
            </w:pPr>
            <w:hyperlink r:id="rId161">
              <w:r>
                <w:rPr>
                  <w:rFonts w:ascii="Arial" w:cs="Arial" w:eastAsia="Arial" w:hAnsi="Arial"/>
                  <w:sz w:val="17"/>
                  <w:szCs w:val="17"/>
                  <w:color w:val="0000FF"/>
                  <w:w w:val="97"/>
                </w:rPr>
                <w:t>Transition and Consulting Agreement, entered into on November 30, 2021, between Diamondback Energy, Inc. and Russell Pantermuehl</w:t>
              </w:r>
            </w:hyperlink>
          </w:p>
        </w:tc>
      </w:tr>
      <w:tr>
        <w:trPr>
          <w:trHeight w:val="163"/>
        </w:trPr>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8200" w:type="dxa"/>
            <w:vAlign w:val="bottom"/>
            <w:tcBorders>
              <w:top w:val="single" w:sz="8" w:color="0000FF"/>
              <w:bottom w:val="single" w:sz="8" w:color="0000FF"/>
            </w:tcBorders>
            <w:gridSpan w:val="12"/>
            <w:shd w:val="clear" w:color="auto" w:fill="CCEEFF"/>
          </w:tcPr>
          <w:p>
            <w:pPr>
              <w:spacing w:after="0" w:line="142" w:lineRule="exact"/>
              <w:rPr>
                <w:rFonts w:ascii="Arial" w:cs="Arial" w:eastAsia="Arial" w:hAnsi="Arial"/>
                <w:sz w:val="16"/>
                <w:szCs w:val="16"/>
                <w:color w:val="0000FF"/>
                <w:w w:val="97"/>
              </w:rPr>
            </w:pPr>
            <w:hyperlink r:id="rId161">
              <w:r>
                <w:rPr>
                  <w:rFonts w:ascii="Arial" w:cs="Arial" w:eastAsia="Arial" w:hAnsi="Arial"/>
                  <w:sz w:val="16"/>
                  <w:szCs w:val="16"/>
                  <w:color w:val="0000FF"/>
                  <w:w w:val="97"/>
                </w:rPr>
                <w:t>(incorporated by reference to Exhibit 10.1 to the Company’s Current Report on Form 8-K filed on November 30, 2021).</w:t>
              </w:r>
            </w:hyperlink>
          </w:p>
        </w:tc>
        <w:tc>
          <w:tcPr>
            <w:tcW w:w="1420" w:type="dxa"/>
            <w:vAlign w:val="bottom"/>
            <w:tcBorders>
              <w:top w:val="single" w:sz="8" w:color="0000FF"/>
              <w:bottom w:val="single" w:sz="8" w:color="CCEEFF"/>
            </w:tcBorders>
            <w:gridSpan w:val="6"/>
            <w:shd w:val="clear" w:color="auto" w:fill="CCEEFF"/>
          </w:tcPr>
          <w:p>
            <w:pPr>
              <w:spacing w:after="0"/>
              <w:rPr>
                <w:sz w:val="14"/>
                <w:szCs w:val="14"/>
                <w:color w:val="auto"/>
              </w:rPr>
            </w:pPr>
          </w:p>
        </w:tc>
        <w:tc>
          <w:tcPr>
            <w:tcW w:w="320" w:type="dxa"/>
            <w:vAlign w:val="bottom"/>
            <w:tcBorders>
              <w:top w:val="single" w:sz="8" w:color="CCEEFF"/>
              <w:bottom w:val="single" w:sz="8" w:color="CCEEFF"/>
            </w:tcBorders>
            <w:gridSpan w:val="16"/>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8"/>
            <w:shd w:val="clear" w:color="auto" w:fill="CCEEFF"/>
          </w:tcPr>
          <w:p>
            <w:pPr>
              <w:spacing w:after="0"/>
              <w:rPr>
                <w:sz w:val="14"/>
                <w:szCs w:val="14"/>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21.1*</w:t>
            </w:r>
          </w:p>
        </w:tc>
        <w:tc>
          <w:tcPr>
            <w:tcW w:w="10100" w:type="dxa"/>
            <w:vAlign w:val="bottom"/>
            <w:gridSpan w:val="42"/>
          </w:tcPr>
          <w:p>
            <w:pPr>
              <w:spacing w:after="0" w:line="176" w:lineRule="exact"/>
              <w:rPr>
                <w:rFonts w:ascii="Arial" w:cs="Arial" w:eastAsia="Arial" w:hAnsi="Arial"/>
                <w:sz w:val="17"/>
                <w:szCs w:val="17"/>
                <w:color w:val="0000FF"/>
              </w:rPr>
            </w:pPr>
            <w:hyperlink w:anchor="page176">
              <w:r>
                <w:rPr>
                  <w:rFonts w:ascii="Arial" w:cs="Arial" w:eastAsia="Arial" w:hAnsi="Arial"/>
                  <w:sz w:val="17"/>
                  <w:szCs w:val="17"/>
                  <w:color w:val="0000FF"/>
                </w:rPr>
                <w:t>Subsidiaries of the Registrant.</w:t>
              </w:r>
            </w:hyperlink>
          </w:p>
        </w:tc>
      </w:tr>
      <w:tr>
        <w:trPr>
          <w:trHeight w:val="129"/>
        </w:trPr>
        <w:tc>
          <w:tcPr>
            <w:tcW w:w="1600" w:type="dxa"/>
            <w:vAlign w:val="bottom"/>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22.1</w:t>
            </w:r>
          </w:p>
        </w:tc>
        <w:tc>
          <w:tcPr>
            <w:tcW w:w="10100" w:type="dxa"/>
            <w:vAlign w:val="bottom"/>
            <w:gridSpan w:val="42"/>
            <w:shd w:val="clear" w:color="auto" w:fill="CCEEFF"/>
          </w:tcPr>
          <w:p>
            <w:pPr>
              <w:spacing w:after="0" w:line="176" w:lineRule="exact"/>
              <w:rPr>
                <w:rFonts w:ascii="Arial" w:cs="Arial" w:eastAsia="Arial" w:hAnsi="Arial"/>
                <w:sz w:val="17"/>
                <w:szCs w:val="17"/>
                <w:color w:val="0000FF"/>
                <w:w w:val="98"/>
              </w:rPr>
            </w:pPr>
            <w:hyperlink r:id="rId162">
              <w:r>
                <w:rPr>
                  <w:rFonts w:ascii="Arial" w:cs="Arial" w:eastAsia="Arial" w:hAnsi="Arial"/>
                  <w:sz w:val="17"/>
                  <w:szCs w:val="17"/>
                  <w:color w:val="0000FF"/>
                  <w:w w:val="98"/>
                </w:rPr>
                <w:t>List of Issuers and Guarantors Subsidiaries (incorporated by reference to Exhibit 22.1 to the Form 10-Q, File No. 001-35700, filed by the</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940" w:type="dxa"/>
            <w:vAlign w:val="bottom"/>
            <w:tcBorders>
              <w:top w:val="single" w:sz="8" w:color="0000FF"/>
            </w:tcBorders>
            <w:gridSpan w:val="34"/>
            <w:shd w:val="clear" w:color="auto" w:fill="CCEEFF"/>
          </w:tcPr>
          <w:p>
            <w:pPr>
              <w:spacing w:after="0" w:line="142" w:lineRule="exact"/>
              <w:rPr>
                <w:rFonts w:ascii="Arial" w:cs="Arial" w:eastAsia="Arial" w:hAnsi="Arial"/>
                <w:sz w:val="16"/>
                <w:szCs w:val="16"/>
                <w:color w:val="0000FF"/>
              </w:rPr>
            </w:pPr>
            <w:hyperlink r:id="rId162">
              <w:r>
                <w:rPr>
                  <w:rFonts w:ascii="Arial" w:cs="Arial" w:eastAsia="Arial" w:hAnsi="Arial"/>
                  <w:sz w:val="16"/>
                  <w:szCs w:val="16"/>
                  <w:color w:val="0000FF"/>
                </w:rPr>
                <w:t>Company with the SEC on August 5, 2021).</w:t>
              </w:r>
            </w:hyperlink>
          </w:p>
        </w:tc>
        <w:tc>
          <w:tcPr>
            <w:tcW w:w="160" w:type="dxa"/>
            <w:vAlign w:val="bottom"/>
            <w:tcBorders>
              <w:top w:val="single" w:sz="8" w:color="CCEEFF"/>
            </w:tcBorders>
            <w:gridSpan w:val="8"/>
            <w:shd w:val="clear" w:color="auto" w:fill="CCEEFF"/>
          </w:tcPr>
          <w:p>
            <w:pPr>
              <w:spacing w:after="0"/>
              <w:rPr>
                <w:sz w:val="12"/>
                <w:szCs w:val="12"/>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60"/>
              <w:spacing w:after="0"/>
              <w:rPr>
                <w:sz w:val="20"/>
                <w:szCs w:val="20"/>
                <w:color w:val="auto"/>
              </w:rPr>
            </w:pPr>
            <w:r>
              <w:rPr>
                <w:rFonts w:ascii="Arial" w:cs="Arial" w:eastAsia="Arial" w:hAnsi="Arial"/>
                <w:sz w:val="17"/>
                <w:szCs w:val="17"/>
                <w:i w:val="1"/>
                <w:iCs w:val="1"/>
                <w:color w:val="auto"/>
              </w:rPr>
              <w:t>3. Exhibits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24"/>
        </w:trPr>
        <w:tc>
          <w:tcPr>
            <w:tcW w:w="1600" w:type="dxa"/>
            <w:vAlign w:val="bottom"/>
          </w:tcPr>
          <w:p>
            <w:pPr>
              <w:ind w:left="60"/>
              <w:spacing w:after="0"/>
              <w:rPr>
                <w:sz w:val="20"/>
                <w:szCs w:val="20"/>
                <w:color w:val="auto"/>
              </w:rPr>
            </w:pPr>
            <w:r>
              <w:rPr>
                <w:rFonts w:ascii="Arial" w:cs="Arial" w:eastAsia="Arial" w:hAnsi="Arial"/>
                <w:sz w:val="17"/>
                <w:szCs w:val="17"/>
                <w:b w:val="1"/>
                <w:bCs w:val="1"/>
                <w:color w:val="auto"/>
              </w:rPr>
              <w:t>Exhibit Number</w:t>
            </w:r>
          </w:p>
        </w:tc>
        <w:tc>
          <w:tcPr>
            <w:tcW w:w="9680" w:type="dxa"/>
            <w:vAlign w:val="bottom"/>
            <w:gridSpan w:val="14"/>
          </w:tcPr>
          <w:p>
            <w:pPr>
              <w:spacing w:after="0"/>
              <w:rPr>
                <w:sz w:val="20"/>
                <w:szCs w:val="20"/>
                <w:color w:val="auto"/>
              </w:rPr>
            </w:pPr>
            <w:r>
              <w:rPr>
                <w:rFonts w:ascii="Arial" w:cs="Arial" w:eastAsia="Arial" w:hAnsi="Arial"/>
                <w:sz w:val="17"/>
                <w:szCs w:val="17"/>
                <w:b w:val="1"/>
                <w:bCs w:val="1"/>
                <w:color w:val="auto"/>
              </w:rPr>
              <w:t>Description</w:t>
            </w:r>
          </w:p>
        </w:tc>
      </w:tr>
      <w:tr>
        <w:trPr>
          <w:trHeight w:val="288"/>
        </w:trPr>
        <w:tc>
          <w:tcPr>
            <w:tcW w:w="1600" w:type="dxa"/>
            <w:vAlign w:val="bottom"/>
          </w:tcPr>
          <w:p>
            <w:pPr>
              <w:ind w:left="60"/>
              <w:spacing w:after="0"/>
              <w:rPr>
                <w:sz w:val="20"/>
                <w:szCs w:val="20"/>
                <w:color w:val="auto"/>
              </w:rPr>
            </w:pPr>
            <w:r>
              <w:rPr>
                <w:rFonts w:ascii="Arial" w:cs="Arial" w:eastAsia="Arial" w:hAnsi="Arial"/>
                <w:sz w:val="17"/>
                <w:szCs w:val="17"/>
                <w:color w:val="auto"/>
              </w:rPr>
              <w:t>23.1*</w:t>
            </w:r>
          </w:p>
        </w:tc>
        <w:tc>
          <w:tcPr>
            <w:tcW w:w="9680" w:type="dxa"/>
            <w:vAlign w:val="bottom"/>
            <w:gridSpan w:val="14"/>
          </w:tcPr>
          <w:p>
            <w:pPr>
              <w:spacing w:after="0"/>
              <w:rPr>
                <w:rFonts w:ascii="Arial" w:cs="Arial" w:eastAsia="Arial" w:hAnsi="Arial"/>
                <w:sz w:val="17"/>
                <w:szCs w:val="17"/>
                <w:color w:val="0000FF"/>
              </w:rPr>
            </w:pPr>
            <w:hyperlink w:anchor="page177">
              <w:r>
                <w:rPr>
                  <w:rFonts w:ascii="Arial" w:cs="Arial" w:eastAsia="Arial" w:hAnsi="Arial"/>
                  <w:sz w:val="17"/>
                  <w:szCs w:val="17"/>
                  <w:color w:val="0000FF"/>
                </w:rPr>
                <w:t>Consent of Grant Thornton LLP.</w:t>
              </w:r>
            </w:hyperlink>
          </w:p>
        </w:tc>
      </w:tr>
      <w:tr>
        <w:trPr>
          <w:trHeight w:val="128"/>
        </w:trPr>
        <w:tc>
          <w:tcPr>
            <w:tcW w:w="1600" w:type="dxa"/>
            <w:vAlign w:val="bottom"/>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960" w:type="dxa"/>
            <w:vAlign w:val="bottom"/>
            <w:tcBorders>
              <w:top w:val="single" w:sz="8" w:color="0000FF"/>
            </w:tcBorders>
          </w:tcPr>
          <w:p>
            <w:pPr>
              <w:spacing w:after="0"/>
              <w:rPr>
                <w:sz w:val="11"/>
                <w:szCs w:val="11"/>
                <w:color w:val="auto"/>
              </w:rPr>
            </w:pPr>
          </w:p>
        </w:tc>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23.2*</w:t>
            </w:r>
          </w:p>
        </w:tc>
        <w:tc>
          <w:tcPr>
            <w:tcW w:w="9680" w:type="dxa"/>
            <w:vAlign w:val="bottom"/>
            <w:gridSpan w:val="14"/>
            <w:shd w:val="clear" w:color="auto" w:fill="CCEEFF"/>
          </w:tcPr>
          <w:p>
            <w:pPr>
              <w:spacing w:after="0" w:line="176" w:lineRule="exact"/>
              <w:rPr>
                <w:rFonts w:ascii="Arial" w:cs="Arial" w:eastAsia="Arial" w:hAnsi="Arial"/>
                <w:sz w:val="17"/>
                <w:szCs w:val="17"/>
                <w:color w:val="0000FF"/>
              </w:rPr>
            </w:pPr>
            <w:hyperlink w:anchor="page178">
              <w:r>
                <w:rPr>
                  <w:rFonts w:ascii="Arial" w:cs="Arial" w:eastAsia="Arial" w:hAnsi="Arial"/>
                  <w:sz w:val="17"/>
                  <w:szCs w:val="17"/>
                  <w:color w:val="0000FF"/>
                </w:rPr>
                <w:t>Consent of Ryder Scott Company, L.P. with respect to the Diamondback Energy, Inc. reserve report included as Exhibit 99.1.</w:t>
              </w:r>
            </w:hyperlink>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0000FF"/>
            </w:tcBorders>
            <w:shd w:val="clear" w:color="auto" w:fill="CCEEFF"/>
          </w:tcPr>
          <w:p>
            <w:pPr>
              <w:spacing w:after="0"/>
              <w:rPr>
                <w:sz w:val="11"/>
                <w:szCs w:val="11"/>
                <w:color w:val="auto"/>
              </w:rPr>
            </w:pPr>
          </w:p>
        </w:tc>
        <w:tc>
          <w:tcPr>
            <w:tcW w:w="880" w:type="dxa"/>
            <w:vAlign w:val="bottom"/>
            <w:tcBorders>
              <w:top w:val="single" w:sz="8" w:color="0000FF"/>
            </w:tcBorders>
            <w:shd w:val="clear" w:color="auto" w:fill="CCEEFF"/>
          </w:tcPr>
          <w:p>
            <w:pPr>
              <w:spacing w:after="0"/>
              <w:rPr>
                <w:sz w:val="11"/>
                <w:szCs w:val="11"/>
                <w:color w:val="auto"/>
              </w:rPr>
            </w:pPr>
          </w:p>
        </w:tc>
        <w:tc>
          <w:tcPr>
            <w:tcW w:w="960" w:type="dxa"/>
            <w:vAlign w:val="bottom"/>
            <w:tcBorders>
              <w:top w:val="single" w:sz="8" w:color="0000FF"/>
            </w:tcBorders>
            <w:shd w:val="clear" w:color="auto" w:fill="CCEEFF"/>
          </w:tcPr>
          <w:p>
            <w:pPr>
              <w:spacing w:after="0"/>
              <w:rPr>
                <w:sz w:val="11"/>
                <w:szCs w:val="11"/>
                <w:color w:val="auto"/>
              </w:rPr>
            </w:pPr>
          </w:p>
        </w:tc>
        <w:tc>
          <w:tcPr>
            <w:tcW w:w="3860" w:type="dxa"/>
            <w:vAlign w:val="bottom"/>
            <w:tcBorders>
              <w:top w:val="single" w:sz="8" w:color="0000FF"/>
            </w:tcBorders>
            <w:shd w:val="clear" w:color="auto" w:fill="CCEEFF"/>
          </w:tcPr>
          <w:p>
            <w:pPr>
              <w:spacing w:after="0"/>
              <w:rPr>
                <w:sz w:val="11"/>
                <w:szCs w:val="11"/>
                <w:color w:val="auto"/>
              </w:rPr>
            </w:pPr>
          </w:p>
        </w:tc>
        <w:tc>
          <w:tcPr>
            <w:tcW w:w="1080" w:type="dxa"/>
            <w:vAlign w:val="bottom"/>
            <w:tcBorders>
              <w:top w:val="single" w:sz="8" w:color="0000FF"/>
            </w:tcBorders>
            <w:shd w:val="clear" w:color="auto" w:fill="CCEEFF"/>
          </w:tcPr>
          <w:p>
            <w:pPr>
              <w:spacing w:after="0"/>
              <w:rPr>
                <w:sz w:val="11"/>
                <w:szCs w:val="11"/>
                <w:color w:val="auto"/>
              </w:rPr>
            </w:pPr>
          </w:p>
        </w:tc>
        <w:tc>
          <w:tcPr>
            <w:tcW w:w="130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23.3*</w:t>
            </w:r>
          </w:p>
        </w:tc>
        <w:tc>
          <w:tcPr>
            <w:tcW w:w="9680" w:type="dxa"/>
            <w:vAlign w:val="bottom"/>
            <w:gridSpan w:val="14"/>
          </w:tcPr>
          <w:p>
            <w:pPr>
              <w:spacing w:after="0" w:line="176" w:lineRule="exact"/>
              <w:rPr>
                <w:rFonts w:ascii="Arial" w:cs="Arial" w:eastAsia="Arial" w:hAnsi="Arial"/>
                <w:sz w:val="17"/>
                <w:szCs w:val="17"/>
                <w:color w:val="0000FF"/>
              </w:rPr>
            </w:pPr>
            <w:hyperlink w:anchor="page179">
              <w:r>
                <w:rPr>
                  <w:rFonts w:ascii="Arial" w:cs="Arial" w:eastAsia="Arial" w:hAnsi="Arial"/>
                  <w:sz w:val="17"/>
                  <w:szCs w:val="17"/>
                  <w:color w:val="0000FF"/>
                </w:rPr>
                <w:t>Consent of Ryder Scott Company, L.P. with respect to the Viper Energy Partners LP reserve report included as Exhibit 99.2.</w:t>
              </w:r>
            </w:hyperlink>
          </w:p>
        </w:tc>
      </w:tr>
      <w:tr>
        <w:trPr>
          <w:trHeight w:val="128"/>
        </w:trPr>
        <w:tc>
          <w:tcPr>
            <w:tcW w:w="1600" w:type="dxa"/>
            <w:vAlign w:val="bottom"/>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960" w:type="dxa"/>
            <w:vAlign w:val="bottom"/>
            <w:tcBorders>
              <w:top w:val="single" w:sz="8" w:color="0000FF"/>
            </w:tcBorders>
          </w:tcPr>
          <w:p>
            <w:pPr>
              <w:spacing w:after="0"/>
              <w:rPr>
                <w:sz w:val="11"/>
                <w:szCs w:val="11"/>
                <w:color w:val="auto"/>
              </w:rPr>
            </w:pPr>
          </w:p>
        </w:tc>
        <w:tc>
          <w:tcPr>
            <w:tcW w:w="3860" w:type="dxa"/>
            <w:vAlign w:val="bottom"/>
            <w:tcBorders>
              <w:top w:val="single" w:sz="8" w:color="0000FF"/>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13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31.1*</w:t>
            </w:r>
          </w:p>
        </w:tc>
        <w:tc>
          <w:tcPr>
            <w:tcW w:w="9680" w:type="dxa"/>
            <w:vAlign w:val="bottom"/>
            <w:gridSpan w:val="14"/>
            <w:shd w:val="clear" w:color="auto" w:fill="CCEEFF"/>
          </w:tcPr>
          <w:p>
            <w:pPr>
              <w:spacing w:after="0" w:line="176" w:lineRule="exact"/>
              <w:rPr>
                <w:rFonts w:ascii="Arial" w:cs="Arial" w:eastAsia="Arial" w:hAnsi="Arial"/>
                <w:sz w:val="17"/>
                <w:szCs w:val="17"/>
                <w:color w:val="0000FF"/>
                <w:w w:val="95"/>
              </w:rPr>
            </w:pPr>
            <w:hyperlink w:anchor="page180">
              <w:r>
                <w:rPr>
                  <w:rFonts w:ascii="Arial" w:cs="Arial" w:eastAsia="Arial" w:hAnsi="Arial"/>
                  <w:sz w:val="17"/>
                  <w:szCs w:val="17"/>
                  <w:color w:val="0000FF"/>
                  <w:w w:val="95"/>
                </w:rPr>
                <w:t>Certification of Chief Executive Officer of the Registrant pursuant to Rule 13a-14(a) promulgated under the Securities Exchange Act of</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620" w:type="dxa"/>
            <w:vAlign w:val="bottom"/>
            <w:tcBorders>
              <w:top w:val="single" w:sz="8" w:color="0000FF"/>
            </w:tcBorders>
            <w:gridSpan w:val="11"/>
            <w:shd w:val="clear" w:color="auto" w:fill="CCEEFF"/>
          </w:tcPr>
          <w:p>
            <w:pPr>
              <w:spacing w:after="0" w:line="142" w:lineRule="exact"/>
              <w:rPr>
                <w:rFonts w:ascii="Arial" w:cs="Arial" w:eastAsia="Arial" w:hAnsi="Arial"/>
                <w:sz w:val="16"/>
                <w:szCs w:val="16"/>
                <w:color w:val="0000FF"/>
              </w:rPr>
            </w:pPr>
            <w:hyperlink w:anchor="page180">
              <w:r>
                <w:rPr>
                  <w:rFonts w:ascii="Arial" w:cs="Arial" w:eastAsia="Arial" w:hAnsi="Arial"/>
                  <w:sz w:val="16"/>
                  <w:szCs w:val="16"/>
                  <w:color w:val="0000FF"/>
                </w:rPr>
                <w:t>1934, as amended.</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0000FF"/>
            </w:tcBorders>
            <w:shd w:val="clear" w:color="auto" w:fill="CCEEFF"/>
          </w:tcPr>
          <w:p>
            <w:pPr>
              <w:spacing w:after="0"/>
              <w:rPr>
                <w:sz w:val="11"/>
                <w:szCs w:val="11"/>
                <w:color w:val="auto"/>
              </w:rPr>
            </w:pPr>
          </w:p>
        </w:tc>
        <w:tc>
          <w:tcPr>
            <w:tcW w:w="880" w:type="dxa"/>
            <w:vAlign w:val="bottom"/>
            <w:tcBorders>
              <w:top w:val="single" w:sz="8" w:color="0000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38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76"/>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31.2*</w:t>
            </w:r>
          </w:p>
        </w:tc>
        <w:tc>
          <w:tcPr>
            <w:tcW w:w="9680" w:type="dxa"/>
            <w:vAlign w:val="bottom"/>
            <w:gridSpan w:val="14"/>
          </w:tcPr>
          <w:p>
            <w:pPr>
              <w:spacing w:after="0" w:line="176" w:lineRule="exact"/>
              <w:rPr>
                <w:rFonts w:ascii="Arial" w:cs="Arial" w:eastAsia="Arial" w:hAnsi="Arial"/>
                <w:sz w:val="17"/>
                <w:szCs w:val="17"/>
                <w:color w:val="0000FF"/>
                <w:w w:val="96"/>
              </w:rPr>
            </w:pPr>
            <w:hyperlink w:anchor="page181">
              <w:r>
                <w:rPr>
                  <w:rFonts w:ascii="Arial" w:cs="Arial" w:eastAsia="Arial" w:hAnsi="Arial"/>
                  <w:sz w:val="17"/>
                  <w:szCs w:val="17"/>
                  <w:color w:val="0000FF"/>
                  <w:w w:val="96"/>
                </w:rPr>
                <w:t>Certification of Chief Financial Officer of the Registrant pursuant to Rule 13a-14(a) promulgated under the Securities Exchange Act of</w:t>
              </w:r>
            </w:hyperlink>
          </w:p>
        </w:tc>
      </w:tr>
      <w:tr>
        <w:trPr>
          <w:trHeight w:val="142"/>
        </w:trPr>
        <w:tc>
          <w:tcPr>
            <w:tcW w:w="1600" w:type="dxa"/>
            <w:vAlign w:val="bottom"/>
          </w:tcPr>
          <w:p>
            <w:pPr>
              <w:spacing w:after="0"/>
              <w:rPr>
                <w:sz w:val="12"/>
                <w:szCs w:val="12"/>
                <w:color w:val="auto"/>
              </w:rPr>
            </w:pPr>
          </w:p>
        </w:tc>
        <w:tc>
          <w:tcPr>
            <w:tcW w:w="956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w:anchor="page181">
              <w:r>
                <w:rPr>
                  <w:rFonts w:ascii="Arial" w:cs="Arial" w:eastAsia="Arial" w:hAnsi="Arial"/>
                  <w:sz w:val="16"/>
                  <w:szCs w:val="16"/>
                  <w:color w:val="0000FF"/>
                </w:rPr>
                <w:t>1934, as amended.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1600" w:type="dxa"/>
            <w:vAlign w:val="bottom"/>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96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32.1**</w:t>
            </w:r>
          </w:p>
        </w:tc>
        <w:tc>
          <w:tcPr>
            <w:tcW w:w="9680" w:type="dxa"/>
            <w:vAlign w:val="bottom"/>
            <w:gridSpan w:val="14"/>
            <w:shd w:val="clear" w:color="auto" w:fill="CCEEFF"/>
          </w:tcPr>
          <w:p>
            <w:pPr>
              <w:spacing w:after="0" w:line="176" w:lineRule="exact"/>
              <w:rPr>
                <w:rFonts w:ascii="Arial" w:cs="Arial" w:eastAsia="Arial" w:hAnsi="Arial"/>
                <w:sz w:val="17"/>
                <w:szCs w:val="17"/>
                <w:color w:val="0000FF"/>
                <w:w w:val="95"/>
              </w:rPr>
            </w:pPr>
            <w:hyperlink w:anchor="page182">
              <w:r>
                <w:rPr>
                  <w:rFonts w:ascii="Arial" w:cs="Arial" w:eastAsia="Arial" w:hAnsi="Arial"/>
                  <w:sz w:val="17"/>
                  <w:szCs w:val="17"/>
                  <w:color w:val="0000FF"/>
                  <w:w w:val="95"/>
                </w:rPr>
                <w:t>Certification of Chief Executive Officer of the Registrant pursuant to Rule 13a-14(b) promulgated under the Securities Exchange Act of</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600" w:type="dxa"/>
            <w:vAlign w:val="bottom"/>
            <w:tcBorders>
              <w:top w:val="single" w:sz="8" w:color="0000FF"/>
            </w:tcBorders>
            <w:gridSpan w:val="10"/>
            <w:shd w:val="clear" w:color="auto" w:fill="CCEEFF"/>
          </w:tcPr>
          <w:p>
            <w:pPr>
              <w:spacing w:after="0" w:line="142" w:lineRule="exact"/>
              <w:rPr>
                <w:rFonts w:ascii="Arial" w:cs="Arial" w:eastAsia="Arial" w:hAnsi="Arial"/>
                <w:sz w:val="16"/>
                <w:szCs w:val="16"/>
                <w:color w:val="0000FF"/>
              </w:rPr>
            </w:pPr>
            <w:hyperlink w:anchor="page182">
              <w:r>
                <w:rPr>
                  <w:rFonts w:ascii="Arial" w:cs="Arial" w:eastAsia="Arial" w:hAnsi="Arial"/>
                  <w:sz w:val="16"/>
                  <w:szCs w:val="16"/>
                  <w:color w:val="0000FF"/>
                </w:rPr>
                <w:t>1934, as amended, and Section 1350 of Chapter 63 of Title 18 of the United States Code.</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28"/>
        </w:trPr>
        <w:tc>
          <w:tcPr>
            <w:tcW w:w="16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0000FF"/>
            </w:tcBorders>
            <w:shd w:val="clear" w:color="auto" w:fill="CCEEFF"/>
          </w:tcPr>
          <w:p>
            <w:pPr>
              <w:spacing w:after="0"/>
              <w:rPr>
                <w:sz w:val="11"/>
                <w:szCs w:val="11"/>
                <w:color w:val="auto"/>
              </w:rPr>
            </w:pPr>
          </w:p>
        </w:tc>
        <w:tc>
          <w:tcPr>
            <w:tcW w:w="880" w:type="dxa"/>
            <w:vAlign w:val="bottom"/>
            <w:tcBorders>
              <w:top w:val="single" w:sz="8" w:color="0000FF"/>
            </w:tcBorders>
            <w:shd w:val="clear" w:color="auto" w:fill="CCEEFF"/>
          </w:tcPr>
          <w:p>
            <w:pPr>
              <w:spacing w:after="0"/>
              <w:rPr>
                <w:sz w:val="11"/>
                <w:szCs w:val="11"/>
                <w:color w:val="auto"/>
              </w:rPr>
            </w:pPr>
          </w:p>
        </w:tc>
        <w:tc>
          <w:tcPr>
            <w:tcW w:w="960" w:type="dxa"/>
            <w:vAlign w:val="bottom"/>
            <w:tcBorders>
              <w:top w:val="single" w:sz="8" w:color="0000FF"/>
            </w:tcBorders>
            <w:shd w:val="clear" w:color="auto" w:fill="CCEEFF"/>
          </w:tcPr>
          <w:p>
            <w:pPr>
              <w:spacing w:after="0"/>
              <w:rPr>
                <w:sz w:val="11"/>
                <w:szCs w:val="11"/>
                <w:color w:val="auto"/>
              </w:rPr>
            </w:pPr>
          </w:p>
        </w:tc>
        <w:tc>
          <w:tcPr>
            <w:tcW w:w="3860" w:type="dxa"/>
            <w:vAlign w:val="bottom"/>
            <w:tcBorders>
              <w:top w:val="single" w:sz="8" w:color="0000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32.2**</w:t>
            </w:r>
          </w:p>
        </w:tc>
        <w:tc>
          <w:tcPr>
            <w:tcW w:w="9680" w:type="dxa"/>
            <w:vAlign w:val="bottom"/>
            <w:gridSpan w:val="14"/>
          </w:tcPr>
          <w:p>
            <w:pPr>
              <w:spacing w:after="0" w:line="176" w:lineRule="exact"/>
              <w:rPr>
                <w:rFonts w:ascii="Arial" w:cs="Arial" w:eastAsia="Arial" w:hAnsi="Arial"/>
                <w:sz w:val="17"/>
                <w:szCs w:val="17"/>
                <w:color w:val="0000FF"/>
                <w:w w:val="96"/>
              </w:rPr>
            </w:pPr>
            <w:hyperlink w:anchor="page183">
              <w:r>
                <w:rPr>
                  <w:rFonts w:ascii="Arial" w:cs="Arial" w:eastAsia="Arial" w:hAnsi="Arial"/>
                  <w:sz w:val="17"/>
                  <w:szCs w:val="17"/>
                  <w:color w:val="0000FF"/>
                  <w:w w:val="96"/>
                </w:rPr>
                <w:t>Certification of Chief Financial Officer of the Registrant pursuant to Rule 13a-14(b) promulgated under the Securities Exchange Act of</w:t>
              </w:r>
            </w:hyperlink>
          </w:p>
        </w:tc>
      </w:tr>
      <w:tr>
        <w:trPr>
          <w:trHeight w:val="142"/>
        </w:trPr>
        <w:tc>
          <w:tcPr>
            <w:tcW w:w="1600" w:type="dxa"/>
            <w:vAlign w:val="bottom"/>
          </w:tcPr>
          <w:p>
            <w:pPr>
              <w:spacing w:after="0"/>
              <w:rPr>
                <w:sz w:val="12"/>
                <w:szCs w:val="12"/>
                <w:color w:val="auto"/>
              </w:rPr>
            </w:pPr>
          </w:p>
        </w:tc>
        <w:tc>
          <w:tcPr>
            <w:tcW w:w="964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w:anchor="page183">
              <w:r>
                <w:rPr>
                  <w:rFonts w:ascii="Arial" w:cs="Arial" w:eastAsia="Arial" w:hAnsi="Arial"/>
                  <w:sz w:val="16"/>
                  <w:szCs w:val="16"/>
                  <w:color w:val="0000FF"/>
                </w:rPr>
                <w:t>1934, as amended, and Section 1350 of Chapter 63 of Title 18 of the United States Code.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1600" w:type="dxa"/>
            <w:vAlign w:val="bottom"/>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960" w:type="dxa"/>
            <w:vAlign w:val="bottom"/>
            <w:tcBorders>
              <w:top w:val="single" w:sz="8" w:color="0000FF"/>
            </w:tcBorders>
          </w:tcPr>
          <w:p>
            <w:pPr>
              <w:spacing w:after="0"/>
              <w:rPr>
                <w:sz w:val="11"/>
                <w:szCs w:val="11"/>
                <w:color w:val="auto"/>
              </w:rPr>
            </w:pPr>
          </w:p>
        </w:tc>
        <w:tc>
          <w:tcPr>
            <w:tcW w:w="3860" w:type="dxa"/>
            <w:vAlign w:val="bottom"/>
            <w:tcBorders>
              <w:top w:val="single" w:sz="8" w:color="0000FF"/>
            </w:tcBorders>
          </w:tcPr>
          <w:p>
            <w:pPr>
              <w:spacing w:after="0"/>
              <w:rPr>
                <w:sz w:val="11"/>
                <w:szCs w:val="11"/>
                <w:color w:val="auto"/>
              </w:rPr>
            </w:pPr>
          </w:p>
        </w:tc>
        <w:tc>
          <w:tcPr>
            <w:tcW w:w="1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6"/>
        </w:trPr>
        <w:tc>
          <w:tcPr>
            <w:tcW w:w="1600" w:type="dxa"/>
            <w:vAlign w:val="bottom"/>
            <w:shd w:val="clear" w:color="auto" w:fill="CCEEFF"/>
          </w:tcPr>
          <w:p>
            <w:pPr>
              <w:ind w:left="60"/>
              <w:spacing w:after="0" w:line="176" w:lineRule="exact"/>
              <w:rPr>
                <w:sz w:val="20"/>
                <w:szCs w:val="20"/>
                <w:color w:val="auto"/>
              </w:rPr>
            </w:pPr>
            <w:r>
              <w:rPr>
                <w:rFonts w:ascii="Arial" w:cs="Arial" w:eastAsia="Arial" w:hAnsi="Arial"/>
                <w:sz w:val="17"/>
                <w:szCs w:val="17"/>
                <w:color w:val="auto"/>
              </w:rPr>
              <w:t>99.1*</w:t>
            </w:r>
          </w:p>
        </w:tc>
        <w:tc>
          <w:tcPr>
            <w:tcW w:w="9680" w:type="dxa"/>
            <w:vAlign w:val="bottom"/>
            <w:gridSpan w:val="14"/>
            <w:shd w:val="clear" w:color="auto" w:fill="CCEEFF"/>
          </w:tcPr>
          <w:p>
            <w:pPr>
              <w:spacing w:after="0" w:line="176" w:lineRule="exact"/>
              <w:rPr>
                <w:rFonts w:ascii="Arial" w:cs="Arial" w:eastAsia="Arial" w:hAnsi="Arial"/>
                <w:sz w:val="17"/>
                <w:szCs w:val="17"/>
                <w:color w:val="0000FF"/>
                <w:w w:val="95"/>
              </w:rPr>
            </w:pPr>
            <w:hyperlink w:anchor="page184">
              <w:r>
                <w:rPr>
                  <w:rFonts w:ascii="Arial" w:cs="Arial" w:eastAsia="Arial" w:hAnsi="Arial"/>
                  <w:sz w:val="17"/>
                  <w:szCs w:val="17"/>
                  <w:color w:val="0000FF"/>
                  <w:w w:val="95"/>
                </w:rPr>
                <w:t>Report of Ryder Scott Company, L.P., dated January 5, 2022, with respect to an estimate of the proved reserves, future production and</w:t>
              </w:r>
            </w:hyperlink>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9580" w:type="dxa"/>
            <w:vAlign w:val="bottom"/>
            <w:tcBorders>
              <w:top w:val="single" w:sz="8" w:color="0000FF"/>
            </w:tcBorders>
            <w:gridSpan w:val="9"/>
            <w:shd w:val="clear" w:color="auto" w:fill="CCEEFF"/>
          </w:tcPr>
          <w:p>
            <w:pPr>
              <w:spacing w:after="0" w:line="142" w:lineRule="exact"/>
              <w:rPr>
                <w:rFonts w:ascii="Arial" w:cs="Arial" w:eastAsia="Arial" w:hAnsi="Arial"/>
                <w:sz w:val="16"/>
                <w:szCs w:val="16"/>
                <w:color w:val="0000FF"/>
              </w:rPr>
            </w:pPr>
            <w:hyperlink w:anchor="page184">
              <w:r>
                <w:rPr>
                  <w:rFonts w:ascii="Arial" w:cs="Arial" w:eastAsia="Arial" w:hAnsi="Arial"/>
                  <w:sz w:val="16"/>
                  <w:szCs w:val="16"/>
                  <w:color w:val="0000FF"/>
                </w:rPr>
                <w:t>income attributable to certain leasehold interests of Diamondback Energy, Inc. as of December 31, 2021.</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28"/>
        </w:trPr>
        <w:tc>
          <w:tcPr>
            <w:tcW w:w="16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0000FF"/>
            </w:tcBorders>
            <w:shd w:val="clear" w:color="auto" w:fill="CCEEFF"/>
          </w:tcPr>
          <w:p>
            <w:pPr>
              <w:spacing w:after="0"/>
              <w:rPr>
                <w:sz w:val="11"/>
                <w:szCs w:val="11"/>
                <w:color w:val="auto"/>
              </w:rPr>
            </w:pPr>
          </w:p>
        </w:tc>
        <w:tc>
          <w:tcPr>
            <w:tcW w:w="880" w:type="dxa"/>
            <w:vAlign w:val="bottom"/>
            <w:tcBorders>
              <w:top w:val="single" w:sz="8" w:color="0000FF"/>
            </w:tcBorders>
            <w:shd w:val="clear" w:color="auto" w:fill="CCEEFF"/>
          </w:tcPr>
          <w:p>
            <w:pPr>
              <w:spacing w:after="0"/>
              <w:rPr>
                <w:sz w:val="11"/>
                <w:szCs w:val="11"/>
                <w:color w:val="auto"/>
              </w:rPr>
            </w:pPr>
          </w:p>
        </w:tc>
        <w:tc>
          <w:tcPr>
            <w:tcW w:w="960" w:type="dxa"/>
            <w:vAlign w:val="bottom"/>
            <w:tcBorders>
              <w:top w:val="single" w:sz="8" w:color="0000FF"/>
            </w:tcBorders>
            <w:shd w:val="clear" w:color="auto" w:fill="CCEEFF"/>
          </w:tcPr>
          <w:p>
            <w:pPr>
              <w:spacing w:after="0"/>
              <w:rPr>
                <w:sz w:val="11"/>
                <w:szCs w:val="11"/>
                <w:color w:val="auto"/>
              </w:rPr>
            </w:pPr>
          </w:p>
        </w:tc>
        <w:tc>
          <w:tcPr>
            <w:tcW w:w="3860" w:type="dxa"/>
            <w:vAlign w:val="bottom"/>
            <w:tcBorders>
              <w:top w:val="single" w:sz="8" w:color="0000FF"/>
            </w:tcBorders>
            <w:shd w:val="clear" w:color="auto" w:fill="CCEEFF"/>
          </w:tcPr>
          <w:p>
            <w:pPr>
              <w:spacing w:after="0"/>
              <w:rPr>
                <w:sz w:val="11"/>
                <w:szCs w:val="11"/>
                <w:color w:val="auto"/>
              </w:rPr>
            </w:pPr>
          </w:p>
        </w:tc>
        <w:tc>
          <w:tcPr>
            <w:tcW w:w="1080" w:type="dxa"/>
            <w:vAlign w:val="bottom"/>
            <w:tcBorders>
              <w:top w:val="single" w:sz="8" w:color="0000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75"/>
        </w:trPr>
        <w:tc>
          <w:tcPr>
            <w:tcW w:w="1600" w:type="dxa"/>
            <w:vAlign w:val="bottom"/>
          </w:tcPr>
          <w:p>
            <w:pPr>
              <w:ind w:left="60"/>
              <w:spacing w:after="0" w:line="176" w:lineRule="exact"/>
              <w:rPr>
                <w:sz w:val="20"/>
                <w:szCs w:val="20"/>
                <w:color w:val="auto"/>
              </w:rPr>
            </w:pPr>
            <w:r>
              <w:rPr>
                <w:rFonts w:ascii="Arial" w:cs="Arial" w:eastAsia="Arial" w:hAnsi="Arial"/>
                <w:sz w:val="17"/>
                <w:szCs w:val="17"/>
                <w:color w:val="auto"/>
              </w:rPr>
              <w:t>99.2*</w:t>
            </w:r>
          </w:p>
        </w:tc>
        <w:tc>
          <w:tcPr>
            <w:tcW w:w="9680" w:type="dxa"/>
            <w:vAlign w:val="bottom"/>
            <w:gridSpan w:val="14"/>
          </w:tcPr>
          <w:p>
            <w:pPr>
              <w:spacing w:after="0" w:line="176" w:lineRule="exact"/>
              <w:rPr>
                <w:rFonts w:ascii="Arial" w:cs="Arial" w:eastAsia="Arial" w:hAnsi="Arial"/>
                <w:sz w:val="17"/>
                <w:szCs w:val="17"/>
                <w:color w:val="0000FF"/>
                <w:w w:val="95"/>
              </w:rPr>
            </w:pPr>
            <w:hyperlink w:anchor="page202">
              <w:r>
                <w:rPr>
                  <w:rFonts w:ascii="Arial" w:cs="Arial" w:eastAsia="Arial" w:hAnsi="Arial"/>
                  <w:sz w:val="17"/>
                  <w:szCs w:val="17"/>
                  <w:color w:val="0000FF"/>
                  <w:w w:val="95"/>
                </w:rPr>
                <w:t>Report of Ryder Scott Company, L.P., dated January 5, 2022, with respect to an estimate of the proved reserves, future production and</w:t>
              </w:r>
            </w:hyperlink>
          </w:p>
        </w:tc>
      </w:tr>
      <w:tr>
        <w:trPr>
          <w:trHeight w:val="142"/>
        </w:trPr>
        <w:tc>
          <w:tcPr>
            <w:tcW w:w="160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8"/>
              </w:rPr>
            </w:pPr>
            <w:hyperlink w:anchor="page202">
              <w:r>
                <w:rPr>
                  <w:rFonts w:ascii="Arial" w:cs="Arial" w:eastAsia="Arial" w:hAnsi="Arial"/>
                  <w:sz w:val="16"/>
                  <w:szCs w:val="16"/>
                  <w:color w:val="0000FF"/>
                  <w:w w:val="98"/>
                </w:rPr>
                <w:t>income attributable to certain royalty interests of Viper Energy Partners LP, a subsidiary of Diamondback Energy, Inc., as of December 31,</w:t>
              </w:r>
            </w:hyperlink>
          </w:p>
        </w:tc>
        <w:tc>
          <w:tcPr>
            <w:tcW w:w="20" w:type="dxa"/>
            <w:vAlign w:val="bottom"/>
            <w:tcBorders>
              <w:bottom w:val="single" w:sz="8" w:color="0000FF"/>
            </w:tcBorders>
          </w:tcPr>
          <w:p>
            <w:pPr>
              <w:spacing w:after="0"/>
              <w:rPr>
                <w:sz w:val="12"/>
                <w:szCs w:val="12"/>
                <w:color w:val="auto"/>
              </w:rPr>
            </w:pPr>
          </w:p>
        </w:tc>
      </w:tr>
      <w:tr>
        <w:trPr>
          <w:trHeight w:val="142"/>
        </w:trPr>
        <w:tc>
          <w:tcPr>
            <w:tcW w:w="1600" w:type="dxa"/>
            <w:vAlign w:val="bottom"/>
          </w:tcPr>
          <w:p>
            <w:pPr>
              <w:spacing w:after="0"/>
              <w:rPr>
                <w:sz w:val="12"/>
                <w:szCs w:val="12"/>
                <w:color w:val="auto"/>
              </w:rPr>
            </w:pPr>
          </w:p>
        </w:tc>
        <w:tc>
          <w:tcPr>
            <w:tcW w:w="1260" w:type="dxa"/>
            <w:vAlign w:val="bottom"/>
            <w:gridSpan w:val="2"/>
          </w:tcPr>
          <w:p>
            <w:pPr>
              <w:spacing w:after="0" w:line="142" w:lineRule="exact"/>
              <w:rPr>
                <w:rFonts w:ascii="Arial" w:cs="Arial" w:eastAsia="Arial" w:hAnsi="Arial"/>
                <w:sz w:val="16"/>
                <w:szCs w:val="16"/>
                <w:color w:val="0000FF"/>
              </w:rPr>
            </w:pPr>
            <w:hyperlink w:anchor="page202">
              <w:r>
                <w:rPr>
                  <w:rFonts w:ascii="Arial" w:cs="Arial" w:eastAsia="Arial" w:hAnsi="Arial"/>
                  <w:sz w:val="16"/>
                  <w:szCs w:val="16"/>
                  <w:color w:val="0000FF"/>
                </w:rPr>
                <w:t>2021.</w:t>
              </w:r>
            </w:hyperlink>
          </w:p>
        </w:tc>
        <w:tc>
          <w:tcPr>
            <w:tcW w:w="9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7"/>
        </w:trPr>
        <w:tc>
          <w:tcPr>
            <w:tcW w:w="1600" w:type="dxa"/>
            <w:vAlign w:val="bottom"/>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2"/>
        </w:trPr>
        <w:tc>
          <w:tcPr>
            <w:tcW w:w="1600" w:type="dxa"/>
            <w:vAlign w:val="bottom"/>
            <w:shd w:val="clear" w:color="auto" w:fill="CCEEFF"/>
          </w:tcPr>
          <w:p>
            <w:pPr>
              <w:ind w:left="60"/>
              <w:spacing w:after="0" w:line="162" w:lineRule="exact"/>
              <w:rPr>
                <w:sz w:val="20"/>
                <w:szCs w:val="20"/>
                <w:color w:val="auto"/>
              </w:rPr>
            </w:pPr>
            <w:r>
              <w:rPr>
                <w:rFonts w:ascii="Arial" w:cs="Arial" w:eastAsia="Arial" w:hAnsi="Arial"/>
                <w:sz w:val="17"/>
                <w:szCs w:val="17"/>
                <w:color w:val="auto"/>
              </w:rPr>
              <w:t>101</w:t>
            </w:r>
          </w:p>
        </w:tc>
        <w:tc>
          <w:tcPr>
            <w:tcW w:w="9680" w:type="dxa"/>
            <w:vAlign w:val="bottom"/>
            <w:gridSpan w:val="14"/>
            <w:shd w:val="clear" w:color="auto" w:fill="CCEEFF"/>
          </w:tcPr>
          <w:p>
            <w:pPr>
              <w:spacing w:after="0" w:line="162" w:lineRule="exact"/>
              <w:rPr>
                <w:sz w:val="20"/>
                <w:szCs w:val="20"/>
                <w:color w:val="auto"/>
              </w:rPr>
            </w:pPr>
            <w:r>
              <w:rPr>
                <w:rFonts w:ascii="Arial" w:cs="Arial" w:eastAsia="Arial" w:hAnsi="Arial"/>
                <w:sz w:val="17"/>
                <w:szCs w:val="17"/>
                <w:color w:val="auto"/>
                <w:w w:val="93"/>
              </w:rPr>
              <w:t>The following financial information from the Company’s Annual Report on Form 10-K for the year ended December 31, 2021, formatted in</w:t>
            </w:r>
          </w:p>
        </w:tc>
      </w:tr>
      <w:tr>
        <w:trPr>
          <w:trHeight w:val="162"/>
        </w:trPr>
        <w:tc>
          <w:tcPr>
            <w:tcW w:w="1600" w:type="dxa"/>
            <w:vAlign w:val="bottom"/>
            <w:shd w:val="clear" w:color="auto" w:fill="CCEEFF"/>
          </w:tcPr>
          <w:p>
            <w:pPr>
              <w:spacing w:after="0"/>
              <w:rPr>
                <w:sz w:val="14"/>
                <w:szCs w:val="14"/>
                <w:color w:val="auto"/>
              </w:rPr>
            </w:pPr>
          </w:p>
        </w:tc>
        <w:tc>
          <w:tcPr>
            <w:tcW w:w="9680" w:type="dxa"/>
            <w:vAlign w:val="bottom"/>
            <w:gridSpan w:val="14"/>
            <w:shd w:val="clear" w:color="auto" w:fill="CCEEFF"/>
          </w:tcPr>
          <w:p>
            <w:pPr>
              <w:spacing w:after="0" w:line="162" w:lineRule="exact"/>
              <w:rPr>
                <w:sz w:val="20"/>
                <w:szCs w:val="20"/>
                <w:color w:val="auto"/>
              </w:rPr>
            </w:pPr>
            <w:r>
              <w:rPr>
                <w:rFonts w:ascii="Arial" w:cs="Arial" w:eastAsia="Arial" w:hAnsi="Arial"/>
                <w:sz w:val="17"/>
                <w:szCs w:val="17"/>
                <w:color w:val="auto"/>
                <w:w w:val="96"/>
              </w:rPr>
              <w:t>Inline XBRL: (i) Consolidated Balance Sheets, (ii) Consolidated Statements of Operations, (iii) Consolidated Statement of Changes in</w:t>
            </w:r>
          </w:p>
        </w:tc>
      </w:tr>
      <w:tr>
        <w:trPr>
          <w:trHeight w:val="216"/>
        </w:trPr>
        <w:tc>
          <w:tcPr>
            <w:tcW w:w="1600" w:type="dxa"/>
            <w:vAlign w:val="bottom"/>
            <w:shd w:val="clear" w:color="auto" w:fill="CCEEFF"/>
          </w:tcPr>
          <w:p>
            <w:pPr>
              <w:spacing w:after="0"/>
              <w:rPr>
                <w:sz w:val="18"/>
                <w:szCs w:val="18"/>
                <w:color w:val="auto"/>
              </w:rPr>
            </w:pPr>
          </w:p>
        </w:tc>
        <w:tc>
          <w:tcPr>
            <w:tcW w:w="968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Stockholders’ Equity, (iv) Consolidated Statements of Cash Flows and (v) Notes to Consolidated Financial Statements.</w:t>
            </w:r>
          </w:p>
        </w:tc>
      </w:tr>
      <w:tr>
        <w:trPr>
          <w:trHeight w:val="108"/>
        </w:trPr>
        <w:tc>
          <w:tcPr>
            <w:tcW w:w="16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8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216"/>
        </w:trPr>
        <w:tc>
          <w:tcPr>
            <w:tcW w:w="1600" w:type="dxa"/>
            <w:vAlign w:val="bottom"/>
          </w:tcPr>
          <w:p>
            <w:pPr>
              <w:ind w:left="60"/>
              <w:spacing w:after="0"/>
              <w:rPr>
                <w:sz w:val="20"/>
                <w:szCs w:val="20"/>
                <w:color w:val="auto"/>
              </w:rPr>
            </w:pPr>
            <w:r>
              <w:rPr>
                <w:rFonts w:ascii="Arial" w:cs="Arial" w:eastAsia="Arial" w:hAnsi="Arial"/>
                <w:sz w:val="17"/>
                <w:szCs w:val="17"/>
                <w:color w:val="auto"/>
              </w:rPr>
              <w:t>104</w:t>
            </w:r>
          </w:p>
        </w:tc>
        <w:tc>
          <w:tcPr>
            <w:tcW w:w="9680" w:type="dxa"/>
            <w:vAlign w:val="bottom"/>
            <w:gridSpan w:val="14"/>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90" w:lineRule="exact"/>
        <w:rPr>
          <w:sz w:val="20"/>
          <w:szCs w:val="20"/>
          <w:color w:val="auto"/>
        </w:rPr>
      </w:pPr>
    </w:p>
    <w:p>
      <w:pPr>
        <w:ind w:left="560" w:hanging="494"/>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4" w:lineRule="exact"/>
        <w:rPr>
          <w:sz w:val="20"/>
          <w:szCs w:val="20"/>
          <w:color w:val="auto"/>
        </w:rPr>
      </w:pPr>
    </w:p>
    <w:p>
      <w:pPr>
        <w:jc w:val="both"/>
        <w:ind w:left="560" w:right="60" w:hanging="494"/>
        <w:spacing w:after="0" w:line="263"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8" w:lineRule="exact"/>
        <w:rPr>
          <w:sz w:val="20"/>
          <w:szCs w:val="20"/>
          <w:color w:val="auto"/>
        </w:rPr>
      </w:pPr>
    </w:p>
    <w:p>
      <w:pPr>
        <w:ind w:left="560" w:hanging="49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31" w:lineRule="exact"/>
        <w:rPr>
          <w:sz w:val="20"/>
          <w:szCs w:val="20"/>
          <w:color w:val="auto"/>
        </w:rPr>
      </w:pPr>
    </w:p>
    <w:p>
      <w:pPr>
        <w:ind w:left="560" w:right="60" w:hanging="494"/>
        <w:spacing w:after="0" w:line="289"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DIAMONDBACK ENERGY, INC.</w:t>
      </w:r>
    </w:p>
    <w:p>
      <w:pPr>
        <w:spacing w:after="0" w:line="293"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February 24, 2022</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Travis D. Stice</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Executive Officer)</w:t>
      </w:r>
    </w:p>
    <w:p>
      <w:pPr>
        <w:spacing w:after="0" w:line="34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1060" w:type="dxa"/>
            <w:vAlign w:val="bottom"/>
          </w:tcPr>
          <w:p>
            <w:pPr>
              <w:spacing w:after="0"/>
              <w:rPr>
                <w:sz w:val="17"/>
                <w:szCs w:val="17"/>
                <w:color w:val="auto"/>
              </w:rPr>
            </w:pPr>
          </w:p>
        </w:tc>
        <w:tc>
          <w:tcPr>
            <w:tcW w:w="6300" w:type="dxa"/>
            <w:vAlign w:val="bottom"/>
            <w:gridSpan w:val="3"/>
          </w:tcPr>
          <w:p>
            <w:pPr>
              <w:ind w:left="3100"/>
              <w:spacing w:after="0"/>
              <w:rPr>
                <w:sz w:val="20"/>
                <w:szCs w:val="20"/>
                <w:color w:val="auto"/>
              </w:rPr>
            </w:pPr>
            <w:r>
              <w:rPr>
                <w:rFonts w:ascii="Arial" w:cs="Arial" w:eastAsia="Arial" w:hAnsi="Arial"/>
                <w:sz w:val="18"/>
                <w:szCs w:val="18"/>
                <w:b w:val="1"/>
                <w:bCs w:val="1"/>
                <w:color w:val="auto"/>
              </w:rPr>
              <w:t>Title</w:t>
            </w:r>
          </w:p>
        </w:tc>
        <w:tc>
          <w:tcPr>
            <w:tcW w:w="96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Travis D. Stice</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Chairman of the Board, Chief Executive Officer and 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24, 2022</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Travis D. Stice</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Vincent K. Brooks</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24, 2022</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Vincent K. Brooks</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Michael P. Cross</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24, 2022</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Michael P. Cross</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David L. Houston</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24, 2022</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David L. Houston</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Stephanie K. Mains</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24, 2022</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Stephanie K. Mains</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Mark L. Plaumann</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24, 2022</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Mark L. Plaumann</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Melanie M. Trent</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24, 2022</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Melanie M. Trent</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Steven E. West</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24, 2022</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Steven E. West</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Kaes Van’t Hof</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President and Chief Financial Officer</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24, 2022</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Kaes Van’t Hof</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83"/>
        </w:trPr>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Teresa L. Dick</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w w:val="98"/>
              </w:rPr>
              <w:t>Chief Accounting Officer, Executive Vice President and Assistant Secretary</w:t>
            </w:r>
          </w:p>
        </w:tc>
        <w:tc>
          <w:tcPr>
            <w:tcW w:w="180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February 24, 2022</w:t>
            </w:r>
          </w:p>
        </w:tc>
      </w:tr>
      <w:tr>
        <w:trPr>
          <w:trHeight w:val="224"/>
        </w:trPr>
        <w:tc>
          <w:tcPr>
            <w:tcW w:w="2880" w:type="dxa"/>
            <w:vAlign w:val="bottom"/>
            <w:gridSpan w:val="3"/>
          </w:tcPr>
          <w:p>
            <w:pPr>
              <w:ind w:left="20"/>
              <w:spacing w:after="0"/>
              <w:rPr>
                <w:sz w:val="20"/>
                <w:szCs w:val="20"/>
                <w:color w:val="auto"/>
              </w:rPr>
            </w:pPr>
            <w:r>
              <w:rPr>
                <w:rFonts w:ascii="Arial" w:cs="Arial" w:eastAsia="Arial" w:hAnsi="Arial"/>
                <w:sz w:val="18"/>
                <w:szCs w:val="18"/>
                <w:color w:val="auto"/>
              </w:rPr>
              <w:t>Teresa L. Dick</w:t>
            </w:r>
          </w:p>
        </w:tc>
        <w:tc>
          <w:tcPr>
            <w:tcW w:w="6300" w:type="dxa"/>
            <w:vAlign w:val="bottom"/>
            <w:gridSpan w:val="3"/>
          </w:tcPr>
          <w:p>
            <w:pPr>
              <w:ind w:left="380"/>
              <w:spacing w:after="0"/>
              <w:rPr>
                <w:sz w:val="20"/>
                <w:szCs w:val="20"/>
                <w:color w:val="auto"/>
              </w:rPr>
            </w:pPr>
            <w:r>
              <w:rPr>
                <w:rFonts w:ascii="Arial" w:cs="Arial" w:eastAsia="Arial" w:hAnsi="Arial"/>
                <w:sz w:val="18"/>
                <w:szCs w:val="18"/>
                <w:color w:val="auto"/>
              </w:rPr>
              <w:t>(Principal Accounting Officer)</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Diamondback Energy, Inc. (a Delaware corporation) and subsidiaries (the “Company”) as of December 31, 2021 and 2020, the related consolidated statements of operations,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and our report dated February 24, 2022</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Estimation of proved reserves as it relates to the calculation and recognition of depletion expense, the evaluation of impairment, and the valuation of oil and gas properties in the Guidon Acquisition and QEP Merger</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described in Note 2 to the financial statements, the Company accounts for its oil and gas properties using the full cost method of accounting which requires management to make estimates of proved reserve volumes and future revenues to record depletion expense and measure its oil and gas properties for potential impairment. Additionally, as described in Note 4 to the financial statements, the Company acquired significant oil and gas properties during the year through the Guidon Acquisition and QEP Merger. To estimate the volume of proved reserves and future revenues, management makes significant estimates and assumptions, including forecasting the production decline rate of producing properties and forecasting the timing and volume of production associated with the Company’s development plan for proved undeveloped properties. Management also utilizes an estimated fair value pricing model for the valuation of acquired proved reserves. In addition, the estimation of proved reserves is also impacted by management’s judgments and estimates regarding the financial performance of wells associated with proved reserves to determine if wells are expected, with reasonable certainty, to be economical under the appropriate pricing assumptions required in the estimation of depletion expense and potential impairment measurements. We identified the estimation of proved reserves of oil and gas properties, including acquired reserves, due to its impact on depletion expense, impairment evaluation, and acquisition accounting, as a critical audit matter.</w:t>
      </w:r>
    </w:p>
    <w:p>
      <w:pPr>
        <w:sectPr>
          <w:pgSz w:w="11900" w:h="16838" w:orient="portrait"/>
          <w:cols w:equalWidth="0" w:num="1">
            <w:col w:w="11240"/>
          </w:cols>
          <w:pgMar w:left="320" w:top="125" w:right="3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principal consideration for our determination that the estimation of proved reserves is a critical audit matter is that relatively minor changes in certain inputs and assumptions, which require a high degree of subjectivity, necessary to estimate the volume and future revenues of the Company’s proved reserves could have a significant impact on the measurement of depletion expense or impairment expense, and the fair value of acquired oil and gas properties. In turn, auditing those inputs and assumptions required subjective and complex auditor judgment.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procedures related to the estimation of proved reserves included the following, among others.</w:t>
      </w:r>
    </w:p>
    <w:p>
      <w:pPr>
        <w:spacing w:after="0" w:line="252" w:lineRule="exact"/>
        <w:rPr>
          <w:sz w:val="20"/>
          <w:szCs w:val="20"/>
          <w:color w:val="auto"/>
        </w:rPr>
      </w:pPr>
    </w:p>
    <w:p>
      <w:pPr>
        <w:jc w:val="both"/>
        <w:ind w:left="660" w:hanging="328"/>
        <w:spacing w:after="0" w:line="293"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tested the design and operating effectiveness of key controls relating to the preparation of the ceiling test calculation, management’s estimation of proved reserves for the purpose of estimating depletion expense and assessing the Company’s oil and gas properties for potential impairment, and management’s estimation of the fair value of the acquired oil and gas properties. Specifically, these controls related to the use of historical information in the estimation of proved reserves derived from the Company’s accounting records, the management review controls on information provided to the reservoir engineering specialists, the management review controls on the final proved reserve report and on the final fair value reserve reports of the acquired oil and gas properties prepared by the Company’s specialists.</w:t>
      </w:r>
    </w:p>
    <w:p>
      <w:pPr>
        <w:spacing w:after="0" w:line="191"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evaluated the level of knowledge, skill, and ability of the Company’s reservoir engineering specialists and their relationship to the Company, made inquiries of those reservoir engineers regarding the process followed and judgments made to estimate the Company’s proved reserve volumes, and read the reserve report prepared by the Company’s specialists.</w:t>
      </w:r>
    </w:p>
    <w:p>
      <w:pPr>
        <w:spacing w:after="0" w:line="210"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the extent key, sensitive inputs and assumptions used to determine proved reserve volumes and other cash flow inputs and assumptions are derived from the Company’s accounting records, such as historical pricing differentials, operating costs, estimated capital costs and working and net revenue interests, we tested management’s process for determining the assumptions, including examining the underlying support, on a sample basis. Specifically, our audit procedures involved testing management’s assumptions as follows:</w:t>
      </w:r>
    </w:p>
    <w:p>
      <w:pPr>
        <w:spacing w:after="0" w:line="198" w:lineRule="exact"/>
        <w:rPr>
          <w:rFonts w:ascii="Arial" w:cs="Arial" w:eastAsia="Arial" w:hAnsi="Arial"/>
          <w:sz w:val="17"/>
          <w:szCs w:val="17"/>
          <w:color w:val="auto"/>
        </w:rPr>
      </w:pPr>
    </w:p>
    <w:p>
      <w:pPr>
        <w:ind w:left="1300" w:right="20" w:hanging="324"/>
        <w:spacing w:after="0" w:line="277" w:lineRule="auto"/>
        <w:rPr>
          <w:rFonts w:ascii="Arial" w:cs="Arial" w:eastAsia="Arial" w:hAnsi="Arial"/>
          <w:sz w:val="17"/>
          <w:szCs w:val="17"/>
          <w:color w:val="auto"/>
        </w:rPr>
      </w:pPr>
      <w:r>
        <w:rPr>
          <w:rFonts w:ascii="Arial" w:cs="Arial" w:eastAsia="Arial" w:hAnsi="Arial"/>
          <w:sz w:val="18"/>
          <w:szCs w:val="18"/>
          <w:color w:val="auto"/>
        </w:rPr>
        <w:t>– Compared the estimated pricing differentials used in the reserve report to realized prices related to revenue transactions recorded in the current year and examined contractual support for the pricing differentials;</w:t>
      </w:r>
    </w:p>
    <w:p>
      <w:pPr>
        <w:spacing w:after="0" w:line="197"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   Evaluated the models used to estimate the operating costs at year-end compared to historical operating costs;</w:t>
      </w:r>
    </w:p>
    <w:p>
      <w:pPr>
        <w:spacing w:after="0" w:line="252" w:lineRule="exact"/>
        <w:rPr>
          <w:rFonts w:ascii="Arial" w:cs="Arial" w:eastAsia="Arial" w:hAnsi="Arial"/>
          <w:sz w:val="17"/>
          <w:szCs w:val="17"/>
          <w:color w:val="auto"/>
        </w:rPr>
      </w:pPr>
    </w:p>
    <w:p>
      <w:pPr>
        <w:ind w:left="1300" w:right="20" w:hanging="324"/>
        <w:spacing w:after="0" w:line="277" w:lineRule="auto"/>
        <w:rPr>
          <w:rFonts w:ascii="Arial" w:cs="Arial" w:eastAsia="Arial" w:hAnsi="Arial"/>
          <w:sz w:val="17"/>
          <w:szCs w:val="17"/>
          <w:color w:val="auto"/>
        </w:rPr>
      </w:pPr>
      <w:r>
        <w:rPr>
          <w:rFonts w:ascii="Arial" w:cs="Arial" w:eastAsia="Arial" w:hAnsi="Arial"/>
          <w:sz w:val="18"/>
          <w:szCs w:val="18"/>
          <w:color w:val="auto"/>
        </w:rPr>
        <w:t>– Compared the models used to determine the future capital expenditures and compared estimated future capital expenditures used in the reserve report to amounts expended for recently drilled and completed wells with similar locations;</w:t>
      </w:r>
    </w:p>
    <w:p>
      <w:pPr>
        <w:spacing w:after="0" w:line="197"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color w:val="auto"/>
        </w:rPr>
        <w:t>–   Compared, on a sample basis, the working and net revenue interests used in the reserve report to land and division order records;</w:t>
      </w:r>
    </w:p>
    <w:p>
      <w:pPr>
        <w:spacing w:after="0" w:line="263" w:lineRule="exact"/>
        <w:rPr>
          <w:rFonts w:ascii="Arial" w:cs="Arial" w:eastAsia="Arial" w:hAnsi="Arial"/>
          <w:sz w:val="17"/>
          <w:szCs w:val="17"/>
          <w:color w:val="auto"/>
        </w:rPr>
      </w:pPr>
    </w:p>
    <w:p>
      <w:pPr>
        <w:ind w:left="1300" w:hanging="324"/>
        <w:spacing w:after="0" w:line="277" w:lineRule="auto"/>
        <w:rPr>
          <w:rFonts w:ascii="Arial" w:cs="Arial" w:eastAsia="Arial" w:hAnsi="Arial"/>
          <w:sz w:val="17"/>
          <w:szCs w:val="17"/>
          <w:color w:val="auto"/>
        </w:rPr>
      </w:pPr>
      <w:r>
        <w:rPr>
          <w:rFonts w:ascii="Arial" w:cs="Arial" w:eastAsia="Arial" w:hAnsi="Arial"/>
          <w:sz w:val="18"/>
          <w:szCs w:val="18"/>
          <w:color w:val="auto"/>
        </w:rPr>
        <w:t>– Evaluated the Company’s evidence supporting the amount of proved undeveloped properties reflected in the reserve report by examining historical conversion rates and support for the Company’s intent to develop the proved undeveloped properties;</w:t>
      </w:r>
    </w:p>
    <w:p>
      <w:pPr>
        <w:spacing w:after="0" w:line="197" w:lineRule="exact"/>
        <w:rPr>
          <w:rFonts w:ascii="Arial" w:cs="Arial" w:eastAsia="Arial" w:hAnsi="Arial"/>
          <w:sz w:val="17"/>
          <w:szCs w:val="17"/>
          <w:color w:val="auto"/>
        </w:rPr>
      </w:pPr>
    </w:p>
    <w:p>
      <w:pPr>
        <w:ind w:left="1300" w:hanging="324"/>
        <w:spacing w:after="0" w:line="277" w:lineRule="auto"/>
        <w:rPr>
          <w:rFonts w:ascii="Arial" w:cs="Arial" w:eastAsia="Arial" w:hAnsi="Arial"/>
          <w:sz w:val="17"/>
          <w:szCs w:val="17"/>
          <w:color w:val="auto"/>
        </w:rPr>
      </w:pPr>
      <w:r>
        <w:rPr>
          <w:rFonts w:ascii="Arial" w:cs="Arial" w:eastAsia="Arial" w:hAnsi="Arial"/>
          <w:sz w:val="18"/>
          <w:szCs w:val="18"/>
          <w:color w:val="auto"/>
        </w:rPr>
        <w:t>– Evaluated the estimated ultimate recovery of proved undeveloped properties to the estimated ultimate recovery of comparable proved developed producing properties, on a sample basis; and</w:t>
      </w:r>
    </w:p>
    <w:p>
      <w:pPr>
        <w:spacing w:after="0" w:line="197"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color w:val="auto"/>
        </w:rPr>
        <w:t>–   Applied analytical procedures to the reserve report by comparing to historical actual results and to the prior year reserve report.</w:t>
      </w:r>
    </w:p>
    <w:p>
      <w:pPr>
        <w:spacing w:after="0" w:line="263"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extent key, sensitive inputs and assumptions used to determine the fair value of the acquired proved reserve volumes and other cash flow inputs were analyzed by testing management’s process for determining the assumptions, including examining the underlying support. Specifically, our audit procedures involved testing management’s assumptions as follows:</w:t>
      </w:r>
    </w:p>
    <w:p>
      <w:pPr>
        <w:spacing w:after="0" w:line="210" w:lineRule="exact"/>
        <w:rPr>
          <w:rFonts w:ascii="Arial" w:cs="Arial" w:eastAsia="Arial" w:hAnsi="Arial"/>
          <w:sz w:val="18"/>
          <w:szCs w:val="18"/>
          <w:color w:val="auto"/>
        </w:rPr>
      </w:pPr>
    </w:p>
    <w:p>
      <w:pPr>
        <w:ind w:left="1300" w:right="20" w:hanging="324"/>
        <w:spacing w:after="0" w:line="277" w:lineRule="auto"/>
        <w:rPr>
          <w:rFonts w:ascii="Arial" w:cs="Arial" w:eastAsia="Arial" w:hAnsi="Arial"/>
          <w:sz w:val="18"/>
          <w:szCs w:val="18"/>
          <w:color w:val="auto"/>
        </w:rPr>
      </w:pPr>
      <w:r>
        <w:rPr>
          <w:rFonts w:ascii="Arial" w:cs="Arial" w:eastAsia="Arial" w:hAnsi="Arial"/>
          <w:sz w:val="18"/>
          <w:szCs w:val="18"/>
          <w:color w:val="auto"/>
        </w:rPr>
        <w:t>– Utilized a valuation specialist to evaluate the appropriateness of fair value pricing used in the fair value reserve report to published product pricing on the acquisition closing date;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1300" w:hanging="324"/>
        <w:spacing w:after="0" w:line="277" w:lineRule="auto"/>
        <w:rPr>
          <w:sz w:val="20"/>
          <w:szCs w:val="20"/>
          <w:color w:val="auto"/>
        </w:rPr>
      </w:pPr>
      <w:r>
        <w:rPr>
          <w:rFonts w:ascii="Arial" w:cs="Arial" w:eastAsia="Arial" w:hAnsi="Arial"/>
          <w:sz w:val="18"/>
          <w:szCs w:val="18"/>
          <w:color w:val="auto"/>
        </w:rPr>
        <w:t>– Utilized a valuation specialist to evaluate whether the Company’s valuation methodology was reasonable and performed a sensitivity analysis;</w:t>
      </w:r>
    </w:p>
    <w:p>
      <w:pPr>
        <w:spacing w:after="0" w:line="197" w:lineRule="exact"/>
        <w:rPr>
          <w:sz w:val="20"/>
          <w:szCs w:val="20"/>
          <w:color w:val="auto"/>
        </w:rPr>
      </w:pPr>
    </w:p>
    <w:p>
      <w:pPr>
        <w:ind w:left="1300" w:hanging="324"/>
        <w:spacing w:after="0" w:line="277" w:lineRule="auto"/>
        <w:rPr>
          <w:sz w:val="20"/>
          <w:szCs w:val="20"/>
          <w:color w:val="auto"/>
        </w:rPr>
      </w:pPr>
      <w:r>
        <w:rPr>
          <w:rFonts w:ascii="Arial" w:cs="Arial" w:eastAsia="Arial" w:hAnsi="Arial"/>
          <w:sz w:val="18"/>
          <w:szCs w:val="18"/>
          <w:color w:val="auto"/>
        </w:rPr>
        <w:t>– Evaluated the appropriateness of the future operating cost and capital expenditure assumptions used in the fair value reserve report to historical operating costs and capital expenditures of similarly located properties;</w:t>
      </w:r>
    </w:p>
    <w:p>
      <w:pPr>
        <w:spacing w:after="0" w:line="197" w:lineRule="exact"/>
        <w:rPr>
          <w:sz w:val="20"/>
          <w:szCs w:val="20"/>
          <w:color w:val="auto"/>
        </w:rPr>
      </w:pPr>
    </w:p>
    <w:p>
      <w:pPr>
        <w:ind w:left="1300" w:hanging="324"/>
        <w:spacing w:after="0" w:line="277" w:lineRule="auto"/>
        <w:rPr>
          <w:sz w:val="20"/>
          <w:szCs w:val="20"/>
          <w:color w:val="auto"/>
        </w:rPr>
      </w:pPr>
      <w:r>
        <w:rPr>
          <w:rFonts w:ascii="Arial" w:cs="Arial" w:eastAsia="Arial" w:hAnsi="Arial"/>
          <w:sz w:val="18"/>
          <w:szCs w:val="18"/>
          <w:color w:val="auto"/>
        </w:rPr>
        <w:t>– Compared, on a sample basis, the working and net revenue interests used in the fair value reserve report to land and division order records;</w:t>
      </w:r>
    </w:p>
    <w:p>
      <w:pPr>
        <w:spacing w:after="0" w:line="197" w:lineRule="exact"/>
        <w:rPr>
          <w:sz w:val="20"/>
          <w:szCs w:val="20"/>
          <w:color w:val="auto"/>
        </w:rPr>
      </w:pPr>
    </w:p>
    <w:p>
      <w:pPr>
        <w:ind w:left="1300" w:right="20" w:hanging="324"/>
        <w:spacing w:after="0" w:line="277" w:lineRule="auto"/>
        <w:rPr>
          <w:sz w:val="20"/>
          <w:szCs w:val="20"/>
          <w:color w:val="auto"/>
        </w:rPr>
      </w:pPr>
      <w:r>
        <w:rPr>
          <w:rFonts w:ascii="Arial" w:cs="Arial" w:eastAsia="Arial" w:hAnsi="Arial"/>
          <w:sz w:val="18"/>
          <w:szCs w:val="18"/>
          <w:color w:val="auto"/>
        </w:rPr>
        <w:t>– Evaluated, on a sample basis, the appropriateness of management’s estimated future production volumes and the production decline curves; and</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Compared the acreage value allocated, on a per acre basis, to other recent acquisitions in the same or similar locations.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6"/>
                <w:szCs w:val="16"/>
                <w:b w:val="1"/>
                <w:bCs w:val="1"/>
                <w:color w:val="auto"/>
                <w:w w:val="90"/>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8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4"/>
          </w:tcPr>
          <w:p>
            <w:pPr>
              <w:jc w:val="center"/>
              <w:ind w:right="39"/>
              <w:spacing w:after="0" w:line="158" w:lineRule="exact"/>
              <w:rPr>
                <w:sz w:val="20"/>
                <w:szCs w:val="20"/>
                <w:color w:val="auto"/>
              </w:rPr>
            </w:pPr>
            <w:r>
              <w:rPr>
                <w:rFonts w:ascii="Arial" w:cs="Arial" w:eastAsia="Arial" w:hAnsi="Arial"/>
                <w:sz w:val="16"/>
                <w:szCs w:val="16"/>
                <w:b w:val="1"/>
                <w:bCs w:val="1"/>
                <w:color w:val="auto"/>
                <w:w w:val="91"/>
              </w:rPr>
              <w:t>(In millions, except par value and share</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center"/>
              <w:ind w:left="759"/>
              <w:spacing w:after="0"/>
              <w:rPr>
                <w:sz w:val="20"/>
                <w:szCs w:val="20"/>
                <w:color w:val="auto"/>
              </w:rPr>
            </w:pPr>
            <w:r>
              <w:rPr>
                <w:rFonts w:ascii="Arial" w:cs="Arial" w:eastAsia="Arial" w:hAnsi="Arial"/>
                <w:sz w:val="16"/>
                <w:szCs w:val="16"/>
                <w:b w:val="1"/>
                <w:bCs w:val="1"/>
                <w:color w:val="auto"/>
                <w:w w:val="91"/>
              </w:rPr>
              <w:t>amounts)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90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680"/>
              <w:spacing w:after="0"/>
              <w:rPr>
                <w:sz w:val="20"/>
                <w:szCs w:val="20"/>
                <w:color w:val="auto"/>
              </w:rPr>
            </w:pPr>
            <w:r>
              <w:rPr>
                <w:rFonts w:ascii="Arial" w:cs="Arial" w:eastAsia="Arial" w:hAnsi="Arial"/>
                <w:sz w:val="16"/>
                <w:szCs w:val="16"/>
                <w:color w:val="auto"/>
              </w:rPr>
              <w:t>Joint interest and other, net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Oil and natural gas sales,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instruments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20" w:type="dxa"/>
            <w:vAlign w:val="bottom"/>
          </w:tcPr>
          <w:p>
            <w:pPr>
              <w:ind w:left="360"/>
              <w:spacing w:after="0" w:line="166" w:lineRule="exact"/>
              <w:rPr>
                <w:sz w:val="20"/>
                <w:szCs w:val="20"/>
                <w:color w:val="auto"/>
              </w:rPr>
            </w:pPr>
            <w:r>
              <w:rPr>
                <w:rFonts w:ascii="Arial" w:cs="Arial" w:eastAsia="Arial" w:hAnsi="Arial"/>
                <w:sz w:val="16"/>
                <w:szCs w:val="16"/>
                <w:color w:val="auto"/>
              </w:rPr>
              <w:t>Oil and natural gas properties, full cost method of accounting ($8,496 million and $7,493 million excluded from</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32,914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27,377</w:t>
            </w:r>
          </w:p>
        </w:tc>
        <w:tc>
          <w:tcPr>
            <w:tcW w:w="0" w:type="dxa"/>
            <w:vAlign w:val="bottom"/>
          </w:tcPr>
          <w:p>
            <w:pPr>
              <w:spacing w:after="0"/>
              <w:rPr>
                <w:sz w:val="1"/>
                <w:szCs w:val="1"/>
                <w:color w:val="auto"/>
              </w:rPr>
            </w:pPr>
          </w:p>
        </w:tc>
      </w:tr>
      <w:tr>
        <w:trPr>
          <w:trHeight w:val="209"/>
        </w:trPr>
        <w:tc>
          <w:tcPr>
            <w:tcW w:w="8220" w:type="dxa"/>
            <w:vAlign w:val="bottom"/>
          </w:tcPr>
          <w:p>
            <w:pPr>
              <w:ind w:left="360"/>
              <w:spacing w:after="0"/>
              <w:rPr>
                <w:sz w:val="20"/>
                <w:szCs w:val="20"/>
                <w:color w:val="auto"/>
              </w:rPr>
            </w:pPr>
            <w:r>
              <w:rPr>
                <w:rFonts w:ascii="Arial" w:cs="Arial" w:eastAsia="Arial" w:hAnsi="Arial"/>
                <w:sz w:val="16"/>
                <w:szCs w:val="16"/>
                <w:color w:val="auto"/>
              </w:rPr>
              <w:t>amortization at December 31, 2021 and December 31, 2020, respectively)</w:t>
            </w:r>
          </w:p>
        </w:tc>
        <w:tc>
          <w:tcPr>
            <w:tcW w:w="1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Midstream assets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Other property, equipment and land</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depletion, depreciation, amortization and impairment</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20,619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16,214</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Funds held in escrow</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Equity method investments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instruments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real estate,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86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Accounts payable - trade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capital expenditures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Revenues and royalties payable</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5,624</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7,815</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18)</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6"/>
              </w:rPr>
              <w:t>Common stock, $0.01 par value; 400,000,000 shares authorized; 177,551,347 and 158,088,182 shares issued and</w:t>
            </w: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outstanding at December 31, 2021 and December 31, 2020, respectively</w:t>
            </w:r>
          </w:p>
        </w:tc>
        <w:tc>
          <w:tcPr>
            <w:tcW w:w="1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14,084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12,656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 (accumulated deficit)</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Arial" w:cs="Arial" w:eastAsia="Arial" w:hAnsi="Arial"/>
                <w:sz w:val="16"/>
                <w:szCs w:val="16"/>
                <w:color w:val="auto"/>
              </w:rPr>
              <w:t>Total Diamondback Energy, Inc. stockholders’ equity</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12,088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8,794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9,804</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0"/>
        </w:trPr>
        <w:tc>
          <w:tcPr>
            <w:tcW w:w="58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r>
      <w:tr>
        <w:trPr>
          <w:trHeight w:val="210"/>
        </w:trPr>
        <w:tc>
          <w:tcPr>
            <w:tcW w:w="5800" w:type="dxa"/>
            <w:vAlign w:val="bottom"/>
          </w:tcPr>
          <w:p>
            <w:pPr>
              <w:spacing w:after="0"/>
              <w:rPr>
                <w:sz w:val="18"/>
                <w:szCs w:val="18"/>
                <w:color w:val="auto"/>
              </w:rPr>
            </w:pPr>
          </w:p>
        </w:tc>
        <w:tc>
          <w:tcPr>
            <w:tcW w:w="5440" w:type="dxa"/>
            <w:vAlign w:val="bottom"/>
            <w:gridSpan w:val="8"/>
          </w:tcPr>
          <w:p>
            <w:pPr>
              <w:jc w:val="center"/>
              <w:spacing w:after="0"/>
              <w:rPr>
                <w:sz w:val="20"/>
                <w:szCs w:val="20"/>
                <w:color w:val="auto"/>
              </w:rPr>
            </w:pPr>
            <w:r>
              <w:rPr>
                <w:rFonts w:ascii="Arial" w:cs="Arial" w:eastAsia="Arial" w:hAnsi="Arial"/>
                <w:sz w:val="16"/>
                <w:szCs w:val="16"/>
                <w:b w:val="1"/>
                <w:bCs w:val="1"/>
                <w:color w:val="auto"/>
                <w:w w:val="89"/>
              </w:rPr>
              <w:t>(In millions, except per share amounts, shares in thousands)</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800" w:type="dxa"/>
            <w:vAlign w:val="bottom"/>
          </w:tcPr>
          <w:p>
            <w:pPr>
              <w:ind w:left="360"/>
              <w:spacing w:after="0"/>
              <w:rPr>
                <w:sz w:val="20"/>
                <w:szCs w:val="20"/>
                <w:color w:val="auto"/>
              </w:rPr>
            </w:pPr>
            <w:r>
              <w:rPr>
                <w:rFonts w:ascii="Arial" w:cs="Arial" w:eastAsia="Arial" w:hAnsi="Arial"/>
                <w:sz w:val="16"/>
                <w:szCs w:val="16"/>
                <w:color w:val="auto"/>
              </w:rPr>
              <w:t>Oil sales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5,396</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2,410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3,554</w:t>
            </w: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Natural gas sales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5800" w:type="dxa"/>
            <w:vAlign w:val="bottom"/>
          </w:tcPr>
          <w:p>
            <w:pPr>
              <w:ind w:left="360"/>
              <w:spacing w:after="0"/>
              <w:rPr>
                <w:sz w:val="20"/>
                <w:szCs w:val="20"/>
                <w:color w:val="auto"/>
              </w:rPr>
            </w:pPr>
            <w:r>
              <w:rPr>
                <w:rFonts w:ascii="Arial" w:cs="Arial" w:eastAsia="Arial" w:hAnsi="Arial"/>
                <w:sz w:val="16"/>
                <w:szCs w:val="16"/>
                <w:color w:val="auto"/>
              </w:rPr>
              <w:t>Natural gas liquid sales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Midstream services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5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operating income</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5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3,964</w:t>
            </w:r>
          </w:p>
        </w:tc>
      </w:tr>
      <w:tr>
        <w:trPr>
          <w:trHeight w:val="193"/>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operating expenses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r>
      <w:tr>
        <w:trPr>
          <w:trHeight w:val="213"/>
        </w:trPr>
        <w:tc>
          <w:tcPr>
            <w:tcW w:w="5800" w:type="dxa"/>
            <w:vAlign w:val="bottom"/>
          </w:tcPr>
          <w:p>
            <w:pPr>
              <w:ind w:left="360"/>
              <w:spacing w:after="0"/>
              <w:rPr>
                <w:sz w:val="20"/>
                <w:szCs w:val="20"/>
                <w:color w:val="auto"/>
              </w:rPr>
            </w:pPr>
            <w:r>
              <w:rPr>
                <w:rFonts w:ascii="Arial" w:cs="Arial" w:eastAsia="Arial" w:hAnsi="Arial"/>
                <w:sz w:val="16"/>
                <w:szCs w:val="16"/>
                <w:color w:val="auto"/>
              </w:rPr>
              <w:t>Production and ad valorem taxes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Gathering and transportation</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5800" w:type="dxa"/>
            <w:vAlign w:val="bottom"/>
          </w:tcPr>
          <w:p>
            <w:pPr>
              <w:ind w:left="360"/>
              <w:spacing w:after="0"/>
              <w:rPr>
                <w:sz w:val="20"/>
                <w:szCs w:val="20"/>
                <w:color w:val="auto"/>
              </w:rPr>
            </w:pPr>
            <w:r>
              <w:rPr>
                <w:rFonts w:ascii="Arial" w:cs="Arial" w:eastAsia="Arial" w:hAnsi="Arial"/>
                <w:sz w:val="16"/>
                <w:szCs w:val="16"/>
                <w:color w:val="auto"/>
              </w:rPr>
              <w:t>Midstream services expense</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depletion, amortization and accretion</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r>
      <w:tr>
        <w:trPr>
          <w:trHeight w:val="213"/>
        </w:trPr>
        <w:tc>
          <w:tcPr>
            <w:tcW w:w="5800" w:type="dxa"/>
            <w:vAlign w:val="bottom"/>
          </w:tcPr>
          <w:p>
            <w:pPr>
              <w:ind w:left="360"/>
              <w:spacing w:after="0"/>
              <w:rPr>
                <w:sz w:val="20"/>
                <w:szCs w:val="20"/>
                <w:color w:val="auto"/>
              </w:rPr>
            </w:pPr>
            <w:r>
              <w:rPr>
                <w:rFonts w:ascii="Arial" w:cs="Arial" w:eastAsia="Arial" w:hAnsi="Arial"/>
                <w:sz w:val="16"/>
                <w:szCs w:val="16"/>
                <w:color w:val="auto"/>
              </w:rPr>
              <w:t>Impairment of oil and natural gas properties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 expenses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5800" w:type="dxa"/>
            <w:vAlign w:val="bottom"/>
          </w:tcPr>
          <w:p>
            <w:pPr>
              <w:ind w:left="360"/>
              <w:spacing w:after="0"/>
              <w:rPr>
                <w:sz w:val="20"/>
                <w:szCs w:val="20"/>
                <w:color w:val="auto"/>
              </w:rPr>
            </w:pPr>
            <w:r>
              <w:rPr>
                <w:rFonts w:ascii="Arial" w:cs="Arial" w:eastAsia="Arial" w:hAnsi="Arial"/>
                <w:sz w:val="16"/>
                <w:szCs w:val="16"/>
                <w:color w:val="auto"/>
              </w:rPr>
              <w:t>Merger and integration expense</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expense</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58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w:t>
            </w: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 net</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3"/>
        </w:trPr>
        <w:tc>
          <w:tcPr>
            <w:tcW w:w="5800" w:type="dxa"/>
            <w:vAlign w:val="bottom"/>
          </w:tcPr>
          <w:p>
            <w:pPr>
              <w:ind w:left="360"/>
              <w:spacing w:after="0"/>
              <w:rPr>
                <w:sz w:val="20"/>
                <w:szCs w:val="20"/>
                <w:color w:val="auto"/>
              </w:rPr>
            </w:pPr>
            <w:r>
              <w:rPr>
                <w:rFonts w:ascii="Arial" w:cs="Arial" w:eastAsia="Arial" w:hAnsi="Arial"/>
                <w:sz w:val="16"/>
                <w:szCs w:val="16"/>
                <w:color w:val="auto"/>
              </w:rPr>
              <w:t>Other income (expense), net</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derivative instruments, net</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5800" w:type="dxa"/>
            <w:vAlign w:val="bottom"/>
          </w:tcPr>
          <w:p>
            <w:pPr>
              <w:ind w:left="360"/>
              <w:spacing w:after="0"/>
              <w:rPr>
                <w:sz w:val="20"/>
                <w:szCs w:val="20"/>
                <w:color w:val="auto"/>
              </w:rPr>
            </w:pPr>
            <w:r>
              <w:rPr>
                <w:rFonts w:ascii="Arial" w:cs="Arial" w:eastAsia="Arial" w:hAnsi="Arial"/>
                <w:sz w:val="16"/>
                <w:szCs w:val="16"/>
                <w:color w:val="auto"/>
              </w:rPr>
              <w:t>Gain (loss) on sale of equity method investments</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(loss) on extinguishment of debt</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5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(loss) from equity investments</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5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income (expense), net</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06"/>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(5,776)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7"/>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(4,672)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non-controlling interest</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Diamondback Energy, Inc.</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2,182</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(4,517)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3"/>
        </w:trPr>
        <w:tc>
          <w:tcPr>
            <w:tcW w:w="5800" w:type="dxa"/>
            <w:vAlign w:val="bottom"/>
          </w:tcPr>
          <w:p>
            <w:pPr>
              <w:ind w:left="360"/>
              <w:spacing w:after="0"/>
              <w:rPr>
                <w:sz w:val="20"/>
                <w:szCs w:val="20"/>
                <w:color w:val="auto"/>
              </w:rPr>
            </w:pPr>
            <w:r>
              <w:rPr>
                <w:rFonts w:ascii="Arial" w:cs="Arial" w:eastAsia="Arial" w:hAnsi="Arial"/>
                <w:sz w:val="16"/>
                <w:szCs w:val="16"/>
                <w:color w:val="auto"/>
              </w:rPr>
              <w:t>Diluted</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12.30</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800" w:type="dxa"/>
            <w:vAlign w:val="bottom"/>
          </w:tcPr>
          <w:p>
            <w:pPr>
              <w:ind w:left="360"/>
              <w:spacing w:after="0"/>
              <w:rPr>
                <w:sz w:val="20"/>
                <w:szCs w:val="20"/>
                <w:color w:val="auto"/>
              </w:rPr>
            </w:pPr>
            <w:r>
              <w:rPr>
                <w:rFonts w:ascii="Arial" w:cs="Arial" w:eastAsia="Arial" w:hAnsi="Arial"/>
                <w:sz w:val="16"/>
                <w:szCs w:val="16"/>
                <w:color w:val="auto"/>
              </w:rPr>
              <w:t>Basic</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176,643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157,976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163,493</w:t>
            </w:r>
          </w:p>
        </w:tc>
      </w:tr>
      <w:tr>
        <w:trPr>
          <w:trHeight w:val="219"/>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163,843</w:t>
            </w: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Dividends declared per share</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1.95</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1.5250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0.9375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tcPr>
          <w:p>
            <w:pPr>
              <w:spacing w:after="0"/>
              <w:rPr>
                <w:sz w:val="16"/>
                <w:szCs w:val="16"/>
                <w:color w:val="auto"/>
              </w:rPr>
            </w:pPr>
          </w:p>
        </w:tc>
        <w:tc>
          <w:tcPr>
            <w:tcW w:w="1920" w:type="dxa"/>
            <w:vAlign w:val="bottom"/>
            <w:gridSpan w:val="5"/>
          </w:tcPr>
          <w:p>
            <w:pPr>
              <w:ind w:left="400"/>
              <w:spacing w:after="0"/>
              <w:rPr>
                <w:sz w:val="20"/>
                <w:szCs w:val="20"/>
                <w:color w:val="auto"/>
              </w:rPr>
            </w:pPr>
            <w:r>
              <w:rPr>
                <w:rFonts w:ascii="Arial" w:cs="Arial" w:eastAsia="Arial" w:hAnsi="Arial"/>
                <w:sz w:val="15"/>
                <w:szCs w:val="15"/>
                <w:b w:val="1"/>
                <w:bCs w:val="1"/>
                <w:color w:val="auto"/>
              </w:rPr>
              <w:t>Common Stock</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2"/>
              </w:rPr>
              <w:t>Retained Earnings</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Non-</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08"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4"/>
                <w:szCs w:val="4"/>
                <w:color w:val="auto"/>
              </w:rPr>
            </w:pPr>
          </w:p>
        </w:tc>
        <w:tc>
          <w:tcPr>
            <w:tcW w:w="106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Controlling</w:t>
            </w: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line="20" w:lineRule="exact"/>
              <w:rPr>
                <w:sz w:val="1"/>
                <w:szCs w:val="1"/>
                <w:color w:val="auto"/>
              </w:rPr>
            </w:pPr>
          </w:p>
        </w:tc>
      </w:tr>
      <w:tr>
        <w:trPr>
          <w:trHeight w:val="200"/>
        </w:trPr>
        <w:tc>
          <w:tcPr>
            <w:tcW w:w="4600" w:type="dxa"/>
            <w:vAlign w:val="bottom"/>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4"/>
              </w:rPr>
              <w:t>Deficit)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2"/>
              </w:rPr>
              <w:t>Interest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5"/>
          </w:tcPr>
          <w:p>
            <w:pPr>
              <w:ind w:left="140"/>
              <w:spacing w:after="0"/>
              <w:rPr>
                <w:sz w:val="20"/>
                <w:szCs w:val="20"/>
                <w:color w:val="auto"/>
              </w:rPr>
            </w:pPr>
            <w:r>
              <w:rPr>
                <w:rFonts w:ascii="Arial" w:cs="Arial" w:eastAsia="Arial" w:hAnsi="Arial"/>
                <w:sz w:val="15"/>
                <w:szCs w:val="15"/>
                <w:b w:val="1"/>
                <w:bCs w:val="1"/>
                <w:color w:val="auto"/>
                <w:w w:val="89"/>
              </w:rPr>
              <w:t>($ in millions, shares in thousands)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December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164,273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14,167</w:t>
            </w:r>
          </w:p>
        </w:tc>
        <w:tc>
          <w:tcPr>
            <w:tcW w:w="0" w:type="dxa"/>
            <w:vAlign w:val="bottom"/>
          </w:tcPr>
          <w:p>
            <w:pPr>
              <w:spacing w:after="0"/>
              <w:rPr>
                <w:sz w:val="1"/>
                <w:szCs w:val="1"/>
                <w:color w:val="auto"/>
              </w:rPr>
            </w:pPr>
          </w:p>
        </w:tc>
      </w:tr>
      <w:tr>
        <w:trPr>
          <w:trHeight w:val="149"/>
        </w:trPr>
        <w:tc>
          <w:tcPr>
            <w:tcW w:w="4600" w:type="dxa"/>
            <w:vAlign w:val="bottom"/>
          </w:tcPr>
          <w:p>
            <w:pPr>
              <w:ind w:left="140"/>
              <w:spacing w:after="0" w:line="149" w:lineRule="exact"/>
              <w:rPr>
                <w:sz w:val="20"/>
                <w:szCs w:val="20"/>
                <w:color w:val="auto"/>
              </w:rPr>
            </w:pPr>
            <w:r>
              <w:rPr>
                <w:rFonts w:ascii="Arial" w:cs="Arial" w:eastAsia="Arial" w:hAnsi="Arial"/>
                <w:sz w:val="15"/>
                <w:szCs w:val="15"/>
                <w:color w:val="auto"/>
                <w:w w:val="96"/>
              </w:rPr>
              <w:t>Net proceeds from issuance of common units - Viper Energy Partners</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341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341</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LP</w:t>
            </w: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Net proceeds from issuance of common units - Rattler Midstream LP</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720</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Unit-based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Common units issued for acquisition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paid for tax withholding on vested equity awards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Repurchased shares under buyback program</w:t>
            </w:r>
          </w:p>
        </w:tc>
        <w:tc>
          <w:tcPr>
            <w:tcW w:w="860" w:type="dxa"/>
            <w:vAlign w:val="bottom"/>
          </w:tcPr>
          <w:p>
            <w:pPr>
              <w:jc w:val="right"/>
              <w:spacing w:after="0"/>
              <w:rPr>
                <w:sz w:val="20"/>
                <w:szCs w:val="20"/>
                <w:color w:val="auto"/>
              </w:rPr>
            </w:pPr>
            <w:r>
              <w:rPr>
                <w:rFonts w:ascii="Arial" w:cs="Arial" w:eastAsia="Arial" w:hAnsi="Arial"/>
                <w:sz w:val="15"/>
                <w:szCs w:val="15"/>
                <w:color w:val="auto"/>
              </w:rPr>
              <w:t>(6,385)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(598)</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 to non-controlling interest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Dividend paid</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Exercise of stock and unit options and awards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Change in ownership of consolidated subsidiaries, net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192"/>
        </w:trPr>
        <w:tc>
          <w:tcPr>
            <w:tcW w:w="460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159,002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12,357</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890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1,657</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14,906</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Unit-based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Distribution equivalent rights payments</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Cash paid for tax withholding on vested equity awards</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Repurchased shares under buyback program</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Repurchased units under buyback programs</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 to non-controlling interest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Dividend paid</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206"/>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Exercise of stock options and vesting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4600" w:type="dxa"/>
            <w:vAlign w:val="bottom"/>
          </w:tcPr>
          <w:p>
            <w:pPr>
              <w:ind w:left="140"/>
              <w:spacing w:after="0"/>
              <w:rPr>
                <w:sz w:val="20"/>
                <w:szCs w:val="20"/>
                <w:color w:val="auto"/>
              </w:rPr>
            </w:pPr>
            <w:r>
              <w:rPr>
                <w:rFonts w:ascii="Arial" w:cs="Arial" w:eastAsia="Arial" w:hAnsi="Arial"/>
                <w:sz w:val="15"/>
                <w:szCs w:val="15"/>
                <w:color w:val="auto"/>
              </w:rPr>
              <w:t>Change in ownership of consolidated subsidiaries, net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6"/>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(4,672)</w:t>
            </w:r>
          </w:p>
        </w:tc>
        <w:tc>
          <w:tcPr>
            <w:tcW w:w="0" w:type="dxa"/>
            <w:vAlign w:val="bottom"/>
          </w:tcPr>
          <w:p>
            <w:pPr>
              <w:spacing w:after="0"/>
              <w:rPr>
                <w:sz w:val="1"/>
                <w:szCs w:val="1"/>
                <w:color w:val="auto"/>
              </w:rPr>
            </w:pPr>
          </w:p>
        </w:tc>
      </w:tr>
      <w:tr>
        <w:trPr>
          <w:trHeight w:val="192"/>
        </w:trPr>
        <w:tc>
          <w:tcPr>
            <w:tcW w:w="460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158,088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12,656</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(3,864)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1,010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9,804</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Issuance of common units - Viper Energy Partners LP</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Unit-based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 equivalent rights payments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Common stock issued for acquisitions</w:t>
            </w:r>
          </w:p>
        </w:tc>
        <w:tc>
          <w:tcPr>
            <w:tcW w:w="860" w:type="dxa"/>
            <w:vAlign w:val="bottom"/>
          </w:tcPr>
          <w:p>
            <w:pPr>
              <w:jc w:val="right"/>
              <w:spacing w:after="0"/>
              <w:rPr>
                <w:sz w:val="20"/>
                <w:szCs w:val="20"/>
                <w:color w:val="auto"/>
              </w:rPr>
            </w:pPr>
            <w:r>
              <w:rPr>
                <w:rFonts w:ascii="Arial" w:cs="Arial" w:eastAsia="Arial" w:hAnsi="Arial"/>
                <w:sz w:val="15"/>
                <w:szCs w:val="15"/>
                <w:color w:val="auto"/>
              </w:rPr>
              <w:t>22,795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1,727</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Cash paid for tax withholding on vested equity awards</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6"/>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Repurchased shares under buyback program</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w:t>
            </w:r>
          </w:p>
        </w:tc>
        <w:tc>
          <w:tcPr>
            <w:tcW w:w="0" w:type="dxa"/>
            <w:vAlign w:val="bottom"/>
          </w:tcPr>
          <w:p>
            <w:pPr>
              <w:spacing w:after="0"/>
              <w:rPr>
                <w:sz w:val="1"/>
                <w:szCs w:val="1"/>
                <w:color w:val="auto"/>
              </w:rPr>
            </w:pPr>
          </w:p>
        </w:tc>
      </w:tr>
      <w:tr>
        <w:trPr>
          <w:trHeight w:val="199"/>
        </w:trPr>
        <w:tc>
          <w:tcPr>
            <w:tcW w:w="4600" w:type="dxa"/>
            <w:vAlign w:val="bottom"/>
          </w:tcPr>
          <w:p>
            <w:pPr>
              <w:ind w:left="140"/>
              <w:spacing w:after="0"/>
              <w:rPr>
                <w:sz w:val="20"/>
                <w:szCs w:val="20"/>
                <w:color w:val="auto"/>
              </w:rPr>
            </w:pPr>
            <w:r>
              <w:rPr>
                <w:rFonts w:ascii="Arial" w:cs="Arial" w:eastAsia="Arial" w:hAnsi="Arial"/>
                <w:sz w:val="15"/>
                <w:szCs w:val="15"/>
                <w:color w:val="auto"/>
              </w:rPr>
              <w:t>Repurchased units under buyback programs</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206"/>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 to non-controlling interest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99"/>
        </w:trPr>
        <w:tc>
          <w:tcPr>
            <w:tcW w:w="4600" w:type="dxa"/>
            <w:vAlign w:val="bottom"/>
          </w:tcPr>
          <w:p>
            <w:pPr>
              <w:ind w:left="140"/>
              <w:spacing w:after="0"/>
              <w:rPr>
                <w:sz w:val="20"/>
                <w:szCs w:val="20"/>
                <w:color w:val="auto"/>
              </w:rPr>
            </w:pPr>
            <w:r>
              <w:rPr>
                <w:rFonts w:ascii="Arial" w:cs="Arial" w:eastAsia="Arial" w:hAnsi="Arial"/>
                <w:sz w:val="15"/>
                <w:szCs w:val="15"/>
                <w:color w:val="auto"/>
              </w:rPr>
              <w:t>Dividend paid</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(312)</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9"/>
              </w:rPr>
              <w:t>Exercise of stock options and issuance of restricted stock units and</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awards</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Arial" w:cs="Arial" w:eastAsia="Arial" w:hAnsi="Arial"/>
                <w:sz w:val="15"/>
                <w:szCs w:val="15"/>
                <w:color w:val="auto"/>
              </w:rPr>
              <w:t>Change in ownership of consolidated subsidiaries, net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2,276</w:t>
            </w:r>
          </w:p>
        </w:tc>
        <w:tc>
          <w:tcPr>
            <w:tcW w:w="0" w:type="dxa"/>
            <w:vAlign w:val="bottom"/>
          </w:tcPr>
          <w:p>
            <w:pPr>
              <w:spacing w:after="0"/>
              <w:rPr>
                <w:sz w:val="1"/>
                <w:szCs w:val="1"/>
                <w:color w:val="auto"/>
              </w:rPr>
            </w:pPr>
          </w:p>
        </w:tc>
      </w:tr>
      <w:tr>
        <w:trPr>
          <w:trHeight w:val="200"/>
        </w:trPr>
        <w:tc>
          <w:tcPr>
            <w:tcW w:w="460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177,551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14,084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(1,998)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1,157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13,245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center"/>
              <w:ind w:left="121"/>
              <w:spacing w:after="0"/>
              <w:rPr>
                <w:sz w:val="20"/>
                <w:szCs w:val="20"/>
                <w:color w:val="auto"/>
              </w:rPr>
            </w:pPr>
            <w:r>
              <w:rPr>
                <w:rFonts w:ascii="Arial" w:cs="Arial" w:eastAsia="Arial" w:hAnsi="Arial"/>
                <w:sz w:val="16"/>
                <w:szCs w:val="16"/>
                <w:b w:val="1"/>
                <w:bCs w:val="1"/>
                <w:color w:val="auto"/>
                <w:w w:val="88"/>
              </w:rPr>
              <w:t>Year Ended December 31,</w:t>
            </w:r>
          </w:p>
        </w:tc>
        <w:tc>
          <w:tcPr>
            <w:tcW w:w="1080" w:type="dxa"/>
            <w:vAlign w:val="bottom"/>
            <w:tcBorders>
              <w:bottom w:val="single" w:sz="8" w:color="auto"/>
            </w:tcBorders>
          </w:tcPr>
          <w:p>
            <w:pPr>
              <w:spacing w:after="0"/>
              <w:rPr>
                <w:sz w:val="18"/>
                <w:szCs w:val="18"/>
                <w:color w:val="auto"/>
              </w:rPr>
            </w:pPr>
          </w:p>
        </w:tc>
      </w:tr>
      <w:tr>
        <w:trPr>
          <w:trHeight w:val="200"/>
        </w:trPr>
        <w:tc>
          <w:tcPr>
            <w:tcW w:w="68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2019</w:t>
            </w:r>
          </w:p>
        </w:tc>
      </w:tr>
      <w:tr>
        <w:trPr>
          <w:trHeight w:val="196"/>
        </w:trPr>
        <w:tc>
          <w:tcPr>
            <w:tcW w:w="6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(In millions)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(4,672)</w:t>
            </w:r>
          </w:p>
        </w:tc>
        <w:tc>
          <w:tcPr>
            <w:tcW w:w="12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4"/>
              </w:rPr>
              <w:t>Adjustments to reconcile net income (loss) to net cash provided by (used in) operating activities: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Provision for (benefit from) deferred income taxes</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oil and natural gas properties</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Depreciation, depletion, amortization and accretion</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1,454</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extinguishment of debt</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(Gain) loss on derivative instruments, net</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received (paid) on settlement of derivative instruments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(1,247)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Equity-based compensation expense</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sale of equity method investments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 receivable</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Prepaid expenses and other</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1"/>
        </w:trPr>
        <w:tc>
          <w:tcPr>
            <w:tcW w:w="6820" w:type="dxa"/>
            <w:vAlign w:val="bottom"/>
          </w:tcPr>
          <w:p>
            <w:pPr>
              <w:ind w:left="680"/>
              <w:spacing w:after="0"/>
              <w:rPr>
                <w:sz w:val="20"/>
                <w:szCs w:val="20"/>
                <w:color w:val="auto"/>
              </w:rPr>
            </w:pPr>
            <w:r>
              <w:rPr>
                <w:rFonts w:ascii="Arial" w:cs="Arial" w:eastAsia="Arial" w:hAnsi="Arial"/>
                <w:sz w:val="16"/>
                <w:szCs w:val="16"/>
                <w:color w:val="auto"/>
              </w:rPr>
              <w:t>Revenues and royalties payable</w:t>
            </w:r>
          </w:p>
        </w:tc>
        <w:tc>
          <w:tcPr>
            <w:tcW w:w="88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04"/>
        </w:trPr>
        <w:tc>
          <w:tcPr>
            <w:tcW w:w="6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19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3,944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w:t>
            </w:r>
          </w:p>
        </w:tc>
      </w:tr>
      <w:tr>
        <w:trPr>
          <w:trHeight w:val="184"/>
        </w:trPr>
        <w:tc>
          <w:tcPr>
            <w:tcW w:w="68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Cash flows from investing activities:</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Drilling, completions and infrastructure additions to oil and natural gas properties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(1,457)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(2,677)</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Additions to midstream assets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Property acquisitions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(776)</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assets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Contributions to equity method investments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from equity method investments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9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(1,539)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r>
      <w:tr>
        <w:trPr>
          <w:trHeight w:val="181"/>
        </w:trPr>
        <w:tc>
          <w:tcPr>
            <w:tcW w:w="6820" w:type="dxa"/>
            <w:vAlign w:val="bottom"/>
          </w:tcPr>
          <w:p>
            <w:pPr>
              <w:ind w:left="20"/>
              <w:spacing w:after="0" w:line="181" w:lineRule="exact"/>
              <w:rPr>
                <w:sz w:val="20"/>
                <w:szCs w:val="20"/>
                <w:color w:val="auto"/>
              </w:rPr>
            </w:pPr>
            <w:r>
              <w:rPr>
                <w:rFonts w:ascii="Arial" w:cs="Arial" w:eastAsia="Arial" w:hAnsi="Arial"/>
                <w:sz w:val="16"/>
                <w:szCs w:val="16"/>
                <w:color w:val="auto"/>
              </w:rPr>
              <w:t>Cash flows from financing activities:</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borrowings under credit facilities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Repayments under credit facilities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(1,000)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(3,718)</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senior notes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Repayment of senior notes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(3,193)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(repayments to) joint venture</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Premium on extinguishment of debt</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Public offering costs</w:t>
            </w:r>
          </w:p>
        </w:tc>
        <w:tc>
          <w:tcPr>
            <w:tcW w:w="8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Proceeds from public offerings</w:t>
            </w:r>
          </w:p>
        </w:tc>
        <w:tc>
          <w:tcPr>
            <w:tcW w:w="8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1,106</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Repurchased shares under buyback program</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Repurchased units under buyback program</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to stockholders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01"/>
        </w:trPr>
        <w:tc>
          <w:tcPr>
            <w:tcW w:w="6820" w:type="dxa"/>
            <w:vAlign w:val="bottom"/>
          </w:tcPr>
          <w:p>
            <w:pPr>
              <w:ind w:left="360"/>
              <w:spacing w:after="0"/>
              <w:rPr>
                <w:sz w:val="20"/>
                <w:szCs w:val="20"/>
                <w:color w:val="auto"/>
              </w:rPr>
            </w:pPr>
            <w:r>
              <w:rPr>
                <w:rFonts w:ascii="Arial" w:cs="Arial" w:eastAsia="Arial" w:hAnsi="Arial"/>
                <w:sz w:val="16"/>
                <w:szCs w:val="16"/>
                <w:color w:val="auto"/>
              </w:rPr>
              <w:t>Distributions to non-controlling interest</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04"/>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Financing portion of net cash received (paid) for derivative instruments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9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(1,841)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r>
      <w:tr>
        <w:trPr>
          <w:trHeight w:val="195"/>
        </w:trPr>
        <w:tc>
          <w:tcPr>
            <w:tcW w:w="68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880" w:type="dxa"/>
            <w:vAlign w:val="bottom"/>
          </w:tcPr>
          <w:p>
            <w:pPr>
              <w:spacing w:after="0"/>
              <w:rPr>
                <w:sz w:val="16"/>
                <w:szCs w:val="16"/>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197"/>
        </w:trPr>
        <w:tc>
          <w:tcPr>
            <w:tcW w:w="6820" w:type="dxa"/>
            <w:vAlign w:val="bottom"/>
          </w:tcPr>
          <w:p>
            <w:pPr>
              <w:ind w:left="20"/>
              <w:spacing w:after="0" w:line="197" w:lineRule="exact"/>
              <w:rPr>
                <w:sz w:val="20"/>
                <w:szCs w:val="20"/>
                <w:color w:val="auto"/>
              </w:rPr>
            </w:pPr>
            <w:r>
              <w:rPr>
                <w:rFonts w:ascii="Arial" w:cs="Arial" w:eastAsia="Arial" w:hAnsi="Arial"/>
                <w:sz w:val="16"/>
                <w:szCs w:val="16"/>
                <w:color w:val="auto"/>
              </w:rPr>
              <w:t>Cash, cash equivalents and restricted cash at end of period</w:t>
            </w:r>
            <w:r>
              <w:rPr>
                <w:rFonts w:ascii="Arial" w:cs="Arial" w:eastAsia="Arial" w:hAnsi="Arial"/>
                <w:sz w:val="20"/>
                <w:szCs w:val="20"/>
                <w:color w:val="auto"/>
                <w:vertAlign w:val="superscript"/>
              </w:rPr>
              <w:t>(1)</w:t>
            </w: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0"/>
        </w:trPr>
        <w:tc>
          <w:tcPr>
            <w:tcW w:w="6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See </w:t>
      </w:r>
      <w:hyperlink w:anchor="page90">
        <w:r>
          <w:rPr>
            <w:rFonts w:ascii="Arial" w:cs="Arial" w:eastAsia="Arial" w:hAnsi="Arial"/>
            <w:sz w:val="14"/>
            <w:szCs w:val="14"/>
            <w:u w:val="single" w:color="auto"/>
            <w:color w:val="0000FF"/>
          </w:rPr>
          <w:t>Note 2—Summary of Significant Accounting Policies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Diamondback Energy, Inc. (“Diamondback” or the “Company”) is an independent oil and gas company currently focused on the acquisition, development, exploration and exploitation of unconventional, onshore oil and natural gas reserves in the Permian Basin in West Texas.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wholly-owned subsidiaries of Diamondback, as of December 31, 2021, include Diamondback E&amp;P LLC (“Diamondback E&amp;P”), a Delaware limited liability company, Viper Energy Partners GP LLC, a Delaware limited liability company (“Viper’s General Partner”), Rattler Midstream GP LLC, a Delaware limited liability company (“Rattler’s General Partner”), and QEP Resources, Inc. (“QEP”), a Delaware Corporation. Diamondback O&amp;G LLC (“O&amp;G”), Energen Corporation (“Energen”), Energen Resources Corporation and EGN Services, Inc., former wholly owned subsidiaries of Diamondback, were merged with and into Diamondback E&amp;P LLC effective June 30, 2021 as part of the internal restructuring of the Company’s subsidiaries (the “E&amp;P Merger”).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Diamondback’s publicly traded subsidiaries Viper and Rattler are consolidated in the financial statements of the Company. As of December 31, 2021, the Company owned approximately 54% of Viper’s total units outstanding. The Company’s wholly owned subsidiary, Viper Energy Partners GP LLC, is the general partner of Viper. As of December 31, 2021, the Company owned approximately 74% of Rattler’s total units outstanding. The Company’s wholly owned subsidiary, Rattler Midstream GP LLC, is the general partner of Rattler. The results of operations attributable to the non-controlling interest in Viper and Rattler are presented within equity and net income and are shown separately from the equity and net income attributable to the Company.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reports its operations in two operating segments: (i) the upstream segment, which is engaged in the acquisition, development, exploration and exploitation of unconventional, onshore oil and natural gas reserves primarily in the Permian Basin in West Texas and (ii) the midstream operations segment, which is focused on owning, operating, developing and acquiring midstream infrastructure assets in the Midland and Delaware Basins of the Permian Basin.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Making accurate estimates and assumptions is particularly difficult in the oil and natural gas industry, given the challenges resulting from volatility in oil and natural gas prices and the effects of the ongoing COVID-19 pandemic. Such circumstances generally increase the uncertainty in the Company’s accounting estimates, particularly those involving financial forecasts.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the fair value determination of acquired assets and liabilities assumed, fair value estimates of derivative instruments and estimates of income taxes.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3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considers all highly liquid investments purchased with a maturity of three months or less and money market funds to be cash equivalents. The Company maintains cash and cash equivalents in bank deposit accounts which, at times, may exceed the federally insured limits. The Company has not experienced any significant losses from such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Accounts receivable consist of receivables from joint interest owners on properties the Company operates and from sales of oil and natural gas production delivered to purchasers. The purchasers remit payment for production directly to the Company. Most payments for production are received within three months after the production date.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adopted Accounting Standards Update (“ASU”) 2016-13 and the subsequent applicable modifications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the rule on January 1, 2020. Accounts receivable are stated at amounts due from joint interest owners or purchasers,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joint interest owners or purchasers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At December 31, 2021 and 2020, the Company’s allowances for credit losses related to joint interest receivables and credit losses related to sales of oil and natural gas production were not 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1" w:lineRule="auto"/>
        <w:rPr>
          <w:rFonts w:ascii="Arial" w:cs="Arial" w:eastAsia="Arial" w:hAnsi="Arial"/>
          <w:sz w:val="17"/>
          <w:szCs w:val="17"/>
          <w:color w:val="auto"/>
        </w:rPr>
      </w:pPr>
      <w:r>
        <w:rPr>
          <w:rFonts w:ascii="Arial" w:cs="Arial" w:eastAsia="Arial" w:hAnsi="Arial"/>
          <w:sz w:val="17"/>
          <w:szCs w:val="17"/>
          <w:color w:val="auto"/>
        </w:rPr>
        <w:t>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For commodity derivative instruments and interest rate swaps which have not been designated as hedges for accounting purposes, the Company marks its derivative instruments to fair value and recognizes the cash and non-cash change in fair value on derivative instruments for each period in the consolidated statements of operations. The Company accounts for its interest rate swaps which have been designated as fair value hedges under the “shortcut” method of accounting. As such, gains and losses due to changes in the fair value of the interest rate swaps completely offset changes in the fair value of the hedged portion of the underlying debt. For additional information regarding the Company’s derivative instruments, see Note 15—</w:t>
      </w:r>
      <w:hyperlink w:anchor="page123">
        <w:r>
          <w:rPr>
            <w:rFonts w:ascii="Arial" w:cs="Arial" w:eastAsia="Arial" w:hAnsi="Arial"/>
            <w:sz w:val="17"/>
            <w:szCs w:val="17"/>
            <w:u w:val="single" w:color="auto"/>
            <w:color w:val="0000FF"/>
          </w:rPr>
          <w:t>Derivatives</w:t>
        </w:r>
      </w:hyperlink>
      <w:r>
        <w:rPr>
          <w:rFonts w:ascii="Arial" w:cs="Arial" w:eastAsia="Arial" w:hAnsi="Arial"/>
          <w:sz w:val="17"/>
          <w:szCs w:val="17"/>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they are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and natural liquids. Any income from services provided by subsidiaries to working interest owners of properties in which the Company also owns an interest, to the extent they exceed related costs incurred, are accounted for as reductions of capitalized costs of oil and natural gas properties proportionate to the Company’s investment in the subsidiary.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$8.77, $11.30 and $13.54 for the years ended December 31, 2021, 2020 and 2019, respectively. Depletion expense for oil and natural gas properties was $1.2 billion, $1.2 billion and $1.4 billion for the years ended December 31, 2021, 2020 and 2019, respectively.</w:t>
      </w:r>
    </w:p>
    <w:p>
      <w:pPr>
        <w:spacing w:after="0" w:line="192" w:lineRule="exact"/>
        <w:rPr>
          <w:sz w:val="20"/>
          <w:szCs w:val="20"/>
          <w:color w:val="auto"/>
        </w:rPr>
      </w:pPr>
    </w:p>
    <w:p>
      <w:pPr>
        <w:jc w:val="both"/>
        <w:ind w:firstLine="648"/>
        <w:spacing w:after="0" w:line="270" w:lineRule="auto"/>
        <w:rPr>
          <w:rFonts w:ascii="Arial" w:cs="Arial" w:eastAsia="Arial" w:hAnsi="Arial"/>
          <w:sz w:val="17"/>
          <w:szCs w:val="17"/>
          <w:color w:val="auto"/>
        </w:rPr>
      </w:pPr>
      <w:r>
        <w:rPr>
          <w:rFonts w:ascii="Arial" w:cs="Arial" w:eastAsia="Arial" w:hAnsi="Arial"/>
          <w:sz w:val="17"/>
          <w:szCs w:val="17"/>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For additional information regarding the Company’s impairments on proved oil and natural gas properties, see Note 8—</w:t>
      </w:r>
      <w:hyperlink w:anchor="page105">
        <w:r>
          <w:rPr>
            <w:rFonts w:ascii="Arial" w:cs="Arial" w:eastAsia="Arial" w:hAnsi="Arial"/>
            <w:sz w:val="17"/>
            <w:szCs w:val="17"/>
            <w:u w:val="single" w:color="auto"/>
            <w:color w:val="0000FF"/>
          </w:rPr>
          <w:t>Property and Equipment</w:t>
        </w:r>
      </w:hyperlink>
      <w:r>
        <w:rPr>
          <w:rFonts w:ascii="Arial" w:cs="Arial" w:eastAsia="Arial" w:hAnsi="Arial"/>
          <w:sz w:val="17"/>
          <w:szCs w:val="17"/>
          <w:color w:val="auto"/>
        </w:rPr>
        <w:t>.</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Costs associated with unevaluated properties are excluded from the full cost pool until the Company has made a determination as to the existence of proved reserves. The Company assesses all items classified as unevaluated property on at least an annual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Assets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Real estate assets are stated at cost, less accumulated depreciation and amortization. The Company considers the period of future benefit of each respective asset to determine the appropriate useful life and depreciation and amortization is calculated using the straight-line method over the assigned useful life.</w:t>
      </w:r>
    </w:p>
    <w:p>
      <w:pPr>
        <w:spacing w:after="0" w:line="211" w:lineRule="exact"/>
        <w:rPr>
          <w:sz w:val="20"/>
          <w:szCs w:val="20"/>
          <w:color w:val="auto"/>
        </w:rPr>
      </w:pPr>
    </w:p>
    <w:p>
      <w:pPr>
        <w:jc w:val="both"/>
        <w:ind w:firstLine="648"/>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Upon acquisition of real estate properties, the purchase price is allocated to tangible assets, consisting of land and building, and to identified intangible assets and liabilities, which may include the value of above market and below market leases and the value of in-place leases. The allocation of the purchase price is based upon the fair value of each component of the property. Although independent appraisals may be used to assist in the determination of fair value, in many cases these values will be based upon management’s assessment of each property, the selling prices of comparable </w:t>
      </w:r>
      <w:hyperlink w:anchor="page105">
        <w:r>
          <w:rPr>
            <w:rFonts w:ascii="Arial" w:cs="Arial" w:eastAsia="Arial" w:hAnsi="Arial"/>
            <w:sz w:val="18"/>
            <w:szCs w:val="18"/>
            <w:color w:val="auto"/>
          </w:rPr>
          <w:t>properties and the discounted value of cash flows from the asset. For additional information regarding the Company’s real estate assets, see Note 7—</w:t>
        </w:r>
        <w:r>
          <w:rPr>
            <w:rFonts w:ascii="Arial" w:cs="Arial" w:eastAsia="Arial" w:hAnsi="Arial"/>
            <w:sz w:val="18"/>
            <w:szCs w:val="18"/>
            <w:u w:val="single" w:color="auto"/>
            <w:color w:val="0000FF"/>
          </w:rPr>
          <w:t>Real</w:t>
        </w:r>
      </w:hyperlink>
      <w:r>
        <w:rPr>
          <w:rFonts w:ascii="Arial" w:cs="Arial" w:eastAsia="Arial" w:hAnsi="Arial"/>
          <w:sz w:val="18"/>
          <w:szCs w:val="18"/>
          <w:color w:val="auto"/>
        </w:rPr>
        <w:t xml:space="preserve"> </w:t>
      </w:r>
      <w:hyperlink w:anchor="page105">
        <w:r>
          <w:rPr>
            <w:rFonts w:ascii="Arial" w:cs="Arial" w:eastAsia="Arial" w:hAnsi="Arial"/>
            <w:sz w:val="18"/>
            <w:szCs w:val="18"/>
            <w:u w:val="single" w:color="auto"/>
            <w:color w:val="0000FF"/>
          </w:rPr>
          <w:t>Estate Assets</w:t>
        </w:r>
        <w:r>
          <w:rPr>
            <w:rFonts w:ascii="Arial" w:cs="Arial" w:eastAsia="Arial" w:hAnsi="Arial"/>
            <w:sz w:val="18"/>
            <w:szCs w:val="18"/>
            <w:color w:val="000000"/>
          </w:rPr>
          <w:t>.</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Property, Equipment and Land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equipment and land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operations. Depreciation of other property and equipment is computed using the straight-line method over their estimated useful lives, which range from three to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measures the future cost to retire its tangible long-lived assets and recognizes such cost as a liability for legal obligations associated with the retirement of long-lived assets that result from the acquisition, construction or normal operation of a long-lived asset.</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Asset retirement obligations represent the future abandonment costs of tangible assets, namely wells.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or if there is a change in the estimated liability, the difference is recorded in oil and natural gas properties.</w:t>
      </w:r>
    </w:p>
    <w:p>
      <w:pPr>
        <w:spacing w:after="0" w:line="215"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The initial measurement of asset retirement obligations at fair value is calculated using discounted cash flow techniques and based on internal estimates of future retirement costs associated with the future plugging and abandonment of wells and related facilities. For additional information regarding the Company’s asset retirement obligations, see Note 9—</w:t>
      </w:r>
      <w:hyperlink w:anchor="page107">
        <w:r>
          <w:rPr>
            <w:rFonts w:ascii="Arial" w:cs="Arial" w:eastAsia="Arial" w:hAnsi="Arial"/>
            <w:sz w:val="18"/>
            <w:szCs w:val="18"/>
            <w:u w:val="single" w:color="auto"/>
            <w:color w:val="0000FF"/>
          </w:rPr>
          <w:t>Asset Retirement Obligations</w:t>
        </w:r>
      </w:hyperlink>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and equipment used in operations and midstream assets are reviewed whenever events or circumstances indicate that the carrying amount of an asset may not be recoverable. An impairment loss is recognized only if the carrying amount of a long-lived asset is not recoverable from its estimated future undiscounted cash flows. An impairment loss is the difference between the carrying amount and fair value of the asset. The Company had no significant impairment losses for the years ended December 31, 2021, 2020 and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52"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The Company capitalizes interest on expenditures made in connection with exploration and development projects that are not subject to current amortization. Interest is capitalized only for the period that activities are in progress to bring these unevaluated properties to their intended use. Capitalized interest cannot exceed gross interest expense. See Note 11—</w:t>
      </w:r>
      <w:hyperlink w:anchor="page108">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Inventories are stated at the lower of cost or market and consist of tubular goods and equipment at December 31, 2021 and 2020. The Company’s tubular goods and equipment are primarily comprised of oil and natural gas drilling or repair items such as tubing, casing and pumping units.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Long-term debt includes capitalized costs related to the senior notes, net of accumulated amortization. The costs associated with the senior notes are netted against the senior notes balances and are amortized over the term of the senior notes using the effective interest method. See Note 11—</w:t>
      </w:r>
      <w:hyperlink w:anchor="page108">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The costs associated with the Company’s credit facilities are included in other assets on the consolidated balance sheet and are amortized over the term of the facility.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Accrued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accrued liabilities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6"/>
                <w:szCs w:val="16"/>
                <w:b w:val="1"/>
                <w:bCs w:val="1"/>
                <w:color w:val="auto"/>
              </w:rPr>
              <w:t>December 31,</w:t>
            </w:r>
          </w:p>
        </w:tc>
        <w:tc>
          <w:tcPr>
            <w:tcW w:w="1440" w:type="dxa"/>
            <w:vAlign w:val="bottom"/>
            <w:tcBorders>
              <w:bottom w:val="single" w:sz="8" w:color="auto"/>
            </w:tcBorders>
          </w:tcPr>
          <w:p>
            <w:pPr>
              <w:spacing w:after="0"/>
              <w:rPr>
                <w:sz w:val="18"/>
                <w:szCs w:val="18"/>
                <w:color w:val="auto"/>
              </w:rPr>
            </w:pPr>
          </w:p>
        </w:tc>
      </w:tr>
      <w:tr>
        <w:trPr>
          <w:trHeight w:val="210"/>
        </w:trPr>
        <w:tc>
          <w:tcPr>
            <w:tcW w:w="6940" w:type="dxa"/>
            <w:vAlign w:val="bottom"/>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b w:val="1"/>
                <w:bCs w:val="1"/>
                <w:color w:val="auto"/>
              </w:rPr>
              <w:t>2020</w:t>
            </w:r>
          </w:p>
        </w:tc>
      </w:tr>
      <w:tr>
        <w:trPr>
          <w:trHeight w:val="209"/>
        </w:trPr>
        <w:tc>
          <w:tcPr>
            <w:tcW w:w="6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gridSpan w:val="3"/>
          </w:tcPr>
          <w:p>
            <w:pPr>
              <w:jc w:val="right"/>
              <w:ind w:right="190"/>
              <w:spacing w:after="0"/>
              <w:rPr>
                <w:sz w:val="20"/>
                <w:szCs w:val="20"/>
                <w:color w:val="auto"/>
              </w:rPr>
            </w:pPr>
            <w:r>
              <w:rPr>
                <w:rFonts w:ascii="Arial" w:cs="Arial" w:eastAsia="Arial" w:hAnsi="Arial"/>
                <w:sz w:val="16"/>
                <w:szCs w:val="16"/>
                <w:b w:val="1"/>
                <w:bCs w:val="1"/>
                <w:color w:val="auto"/>
              </w:rPr>
              <w:t>(In millions)</w:t>
            </w:r>
          </w:p>
        </w:tc>
        <w:tc>
          <w:tcPr>
            <w:tcW w:w="1440" w:type="dxa"/>
            <w:vAlign w:val="bottom"/>
          </w:tcPr>
          <w:p>
            <w:pPr>
              <w:spacing w:after="0"/>
              <w:rPr>
                <w:sz w:val="18"/>
                <w:szCs w:val="18"/>
                <w:color w:val="auto"/>
              </w:rPr>
            </w:pPr>
          </w:p>
        </w:tc>
      </w:tr>
      <w:tr>
        <w:trPr>
          <w:trHeight w:val="232"/>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payable</w:t>
            </w:r>
          </w:p>
        </w:tc>
        <w:tc>
          <w:tcPr>
            <w:tcW w:w="1420" w:type="dxa"/>
            <w:vAlign w:val="bottom"/>
            <w:shd w:val="clear" w:color="auto" w:fill="CCEEFF"/>
          </w:tcPr>
          <w:p>
            <w:pPr>
              <w:jc w:val="right"/>
              <w:ind w:right="1233"/>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Lease operating expenses payable</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 valorem taxes payable</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Midstream operating expenses payable</w:t>
            </w: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drilling costs prepaid by joint interest partners</w:t>
            </w: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accrued liabilities</w:t>
            </w:r>
          </w:p>
        </w:tc>
        <w:tc>
          <w:tcPr>
            <w:tcW w:w="1420" w:type="dxa"/>
            <w:vAlign w:val="bottom"/>
            <w:tcBorders>
              <w:bottom w:val="single" w:sz="8" w:color="auto"/>
            </w:tcBorders>
            <w:shd w:val="clear" w:color="auto" w:fill="CCEEFF"/>
          </w:tcPr>
          <w:p>
            <w:pPr>
              <w:jc w:val="right"/>
              <w:ind w:right="123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Royalties Payable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certain oil and natural gas properties, where the Company serves as operator, the Company receives production proceeds from the purchaser and further distributes such amounts to other revenue and royalty owners. Production proceeds that the Company has not yet distributed to other revenue and royalty owners are reflected as revenue and royalties payable in the accompanying consolidated balance sheets. The Company recognizes revenue for only its net revenue interest in oil and natural gas properties.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2"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Non-controlling interests in the accompanying consolidated financial statements represent minority interest ownership in Viper and Rattler and are presented as a component of equity. When the Company’s relative ownership interests in Viper and Rattler change, adjustments to non-controlling interest and additional paid-in-capital, tax effected, will occur. Because these changes in the ownership interests in Viper and Rattler do not result in a change of control, the transactions are accounted for as equity transactions under ASC Topic 810, “Consolidation”, which requires that any differences between the carrying value of the Company’s basis in Viper and Rattler and the fair value of the consideration received are recognized directly in equity and attributed to the controlling interest. See Note 12—</w:t>
      </w:r>
      <w:hyperlink w:anchor="page114">
        <w:r>
          <w:rPr>
            <w:rFonts w:ascii="Arial" w:cs="Arial" w:eastAsia="Arial" w:hAnsi="Arial"/>
            <w:sz w:val="17"/>
            <w:szCs w:val="17"/>
            <w:u w:val="single" w:color="auto"/>
            <w:color w:val="0000FF"/>
          </w:rPr>
          <w:t>Stockholders' Equity and Earnings Per Share</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 discussion of changes of the Company’s ownership interest in consolidated subsidiaries during the year ended December 31,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Oil sales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Natural gas and natural gas liquids sales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Company’s natural gas processing contracts, it delivers natural gas to a midstream processing entity at the wellhead, battery facilities or the inlet of the midstream processing entity’s system. Generally,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Midstream Revenue</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Substantially all revenues from gathering, compression, water handling, disposal and treatment operations are derived from intersegment transactions for services Rattler provides to exploration and production operations. The portion of such fees shown in the Company’s consolidated financial statements represent amounts charged to interest owners in the Company’s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water volumes have been delivered to the frac-water meter for a specified well pad and the wastewater volumes have been metered downstream of the Company’s facilities. For services contracted through third party providers, Rattler’s performance obligation is satisfied when the service performed by the third party provider has been completed. Revenue is recognized based on the per barrel water delivery or a wastewater gathering and disposal fee charged by Rattler in accordance with the water services agreement.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upstream product sales contracts do not originate until production occurs and, therefore, are not considered to exist beyond each days’ production. Therefore, there are no remaining performance obligations under any of our product sales contracts.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Prior-period performance obligations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records revenue in the month production is delivered to the purchaser. However, purchaser and settlement statements for natural gas and natural gas liquids sales may not be received for 30 to 90 days after the date production is delivered, and as a result, the Company is required to estimate the amount of production delivered to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years ended December 31, 2021, 2020 and 2019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3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accounts for its corporate joint ventures under the equity method of accounting in accordance with Financial Accounting Standards Board Accounting Standards Codification (“ASC”) Topic 323 “Investments — Equity Method and Joint Ventures.” The Company also applies the equity method of accounting to investments of less than 50% in an investee over which the Company exercises significant influence but does not have control and investments of greater than 50% in an investee over which the Company does not exercise significant influence or have control. Under the equity method, the Company’s share of the investee’s earnings or loss is recognized in the consolidated statement of operations. As of December 31, 2021, the Company’s proportionate share of the income or loss from equity method investments is recognized on a one-month lag for all equity method investments.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Judgment regarding the level of influence over each equity method investment includes considering key factors such as ownership interest, representation on the board of directors, participation in policy-making decisions, material intercompany transactions and extent of ownership by an investor in relation to the concentration of other shareholdings. Additionally, an </w:t>
      </w:r>
      <w:r>
        <w:rPr>
          <w:rFonts w:ascii="Arial" w:cs="Arial" w:eastAsia="Arial" w:hAnsi="Arial"/>
          <w:sz w:val="18"/>
          <w:szCs w:val="18"/>
          <w:color w:val="101010"/>
        </w:rPr>
        <w:t>investment in a limited liability company that maintains a specific</w:t>
      </w:r>
      <w:r>
        <w:rPr>
          <w:rFonts w:ascii="Arial" w:cs="Arial" w:eastAsia="Arial" w:hAnsi="Arial"/>
          <w:sz w:val="18"/>
          <w:szCs w:val="18"/>
          <w:color w:val="auto"/>
        </w:rPr>
        <w:t xml:space="preserve"> </w:t>
      </w:r>
      <w:r>
        <w:rPr>
          <w:rFonts w:ascii="Arial" w:cs="Arial" w:eastAsia="Arial" w:hAnsi="Arial"/>
          <w:sz w:val="18"/>
          <w:szCs w:val="18"/>
          <w:color w:val="101010"/>
        </w:rPr>
        <w:t>ownership account for each investor shall be viewed as similar to an investment in a limited partnership for purposes of determining whether a noncontrolling investment shall be accounted for using the cost method or the equity method.</w:t>
      </w:r>
    </w:p>
    <w:p>
      <w:pPr>
        <w:spacing w:after="0" w:line="215" w:lineRule="exact"/>
        <w:rPr>
          <w:sz w:val="20"/>
          <w:szCs w:val="20"/>
          <w:color w:val="auto"/>
        </w:rPr>
      </w:pPr>
    </w:p>
    <w:p>
      <w:pPr>
        <w:jc w:val="both"/>
        <w:ind w:firstLine="648"/>
        <w:spacing w:after="0" w:line="311" w:lineRule="auto"/>
        <w:rPr>
          <w:rFonts w:ascii="Arial" w:cs="Arial" w:eastAsia="Arial" w:hAnsi="Arial"/>
          <w:sz w:val="16"/>
          <w:szCs w:val="16"/>
          <w:color w:val="auto"/>
        </w:rPr>
      </w:pPr>
      <w:r>
        <w:rPr>
          <w:rFonts w:ascii="Arial" w:cs="Arial" w:eastAsia="Arial" w:hAnsi="Arial"/>
          <w:sz w:val="16"/>
          <w:szCs w:val="16"/>
          <w:color w:val="auto"/>
        </w:rPr>
        <w:t>The Company reviews its investments to determine if a loss in value which is other than a temporary decline has occurred. If such loss has occurred, the Company would recognize an impairment provision. There were no material impairments of the Company’s equity investments for the years ended December 31, 2021, 2020 and 2019. For additional information on the Company’s investments, see Note 10—</w:t>
      </w:r>
      <w:hyperlink w:anchor="page107">
        <w:r>
          <w:rPr>
            <w:rFonts w:ascii="Arial" w:cs="Arial" w:eastAsia="Arial" w:hAnsi="Arial"/>
            <w:sz w:val="16"/>
            <w:szCs w:val="16"/>
            <w:u w:val="single" w:color="auto"/>
            <w:color w:val="0000FF"/>
          </w:rPr>
          <w:t>Equity Method Investments</w:t>
        </w:r>
      </w:hyperlink>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Equity-Based Compensation</w:t>
      </w:r>
    </w:p>
    <w:p>
      <w:pPr>
        <w:spacing w:after="0" w:line="252" w:lineRule="exact"/>
        <w:rPr>
          <w:sz w:val="20"/>
          <w:szCs w:val="20"/>
          <w:color w:val="auto"/>
        </w:rPr>
      </w:pPr>
    </w:p>
    <w:p>
      <w:pPr>
        <w:jc w:val="both"/>
        <w:ind w:firstLine="648"/>
        <w:spacing w:after="0" w:line="275" w:lineRule="auto"/>
        <w:rPr>
          <w:rFonts w:ascii="Arial" w:cs="Arial" w:eastAsia="Arial" w:hAnsi="Arial"/>
          <w:sz w:val="17"/>
          <w:szCs w:val="17"/>
          <w:color w:val="auto"/>
        </w:rPr>
      </w:pPr>
      <w:r>
        <w:rPr>
          <w:rFonts w:ascii="Arial" w:cs="Arial" w:eastAsia="Arial" w:hAnsi="Arial"/>
          <w:sz w:val="17"/>
          <w:szCs w:val="17"/>
          <w:color w:val="auto"/>
        </w:rPr>
        <w:t>The Company has granted various types of stock-based awards including stock options and restricted stock units. Viper and Rattler have granted various unit-based awards including unit options and phantom units to employees, officers and directors of Viper’s General Partner, Rattler’s General Partner and the Company who perform services for the respective entities. These plans and related accounting policies for material awards are defined and described more fully in Note 13—</w:t>
      </w:r>
      <w:hyperlink w:anchor="page116">
        <w:r>
          <w:rPr>
            <w:rFonts w:ascii="Arial" w:cs="Arial" w:eastAsia="Arial" w:hAnsi="Arial"/>
            <w:sz w:val="17"/>
            <w:szCs w:val="17"/>
            <w:u w:val="single" w:color="auto"/>
            <w:color w:val="0000FF"/>
          </w:rPr>
          <w:t>Equity-Based Compensation</w:t>
        </w:r>
      </w:hyperlink>
      <w:r>
        <w:rPr>
          <w:rFonts w:ascii="Arial" w:cs="Arial" w:eastAsia="Arial" w:hAnsi="Arial"/>
          <w:sz w:val="17"/>
          <w:szCs w:val="17"/>
          <w:color w:val="auto"/>
        </w:rPr>
        <w:t>. Equity compensation awards are measured at fair value on the date of grant and are expensed over the required service period. Forfeitures for these awards are recognized as they occur.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and Remediation</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Environmental compliance and remediation costs, including ongoing maintenance and monitoring, are expensed as incurred. Liabilities are accrued when environmental assessments and remediation are probable, and the costs can be reasonably estimated.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93" w:lineRule="auto"/>
        <w:rPr>
          <w:rFonts w:ascii="Arial" w:cs="Arial" w:eastAsia="Arial" w:hAnsi="Arial"/>
          <w:sz w:val="16"/>
          <w:szCs w:val="16"/>
          <w:color w:val="auto"/>
        </w:rPr>
      </w:pPr>
      <w:r>
        <w:rPr>
          <w:rFonts w:ascii="Arial" w:cs="Arial" w:eastAsia="Arial" w:hAnsi="Arial"/>
          <w:sz w:val="16"/>
          <w:szCs w:val="16"/>
          <w:color w:val="auto"/>
        </w:rPr>
        <w:t>The Company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For additional information regarding income taxes, see Note 14—</w:t>
      </w:r>
      <w:hyperlink w:anchor="page119">
        <w:r>
          <w:rPr>
            <w:rFonts w:ascii="Arial" w:cs="Arial" w:eastAsia="Arial" w:hAnsi="Arial"/>
            <w:sz w:val="16"/>
            <w:szCs w:val="16"/>
            <w:u w:val="single" w:color="auto"/>
            <w:color w:val="0000FF"/>
          </w:rPr>
          <w:t>Income Taxes</w:t>
        </w:r>
      </w:hyperlink>
      <w:r>
        <w:rPr>
          <w:rFonts w:ascii="Arial" w:cs="Arial" w:eastAsia="Arial" w:hAnsi="Arial"/>
          <w:sz w:val="16"/>
          <w:szCs w:val="16"/>
          <w:color w:val="auto"/>
        </w:rPr>
        <w: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2019, the FASB issued ASU 2019-12, "Income Taxes (Topic 740) - Simplifying the Accounting for Income Taxes." This update is intended to simplify the accounting for income taxes by removing certain exceptions and by clarifying and amending existing guidance and is effective for public business entities beginning after December 15, 2020 with early adoption permitted. The Company adopted this update effective January 1, 2021. The adoption of this update did not have a material impact on its financial position, results of operations or liquidity.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October 2021, the FASB issued ASU 2021-08, "Business Combinations (Topic 805) – Accounting for Contract Assets and Contract Liabilities from Contracts with Customers.” This update requires the acquirer in a business combination to record contract asset and liabilities following Topic 606 – “Revenue from Contracts with Customers” at acquisition as if it had originated the contract, rather than at fair value. This update is effective for public business entities beginning after December 15, 2022 with early adoption permitted. The Company continues to evaluate the provisions of this update, but does not believe the adoption will have a material impact on its financial position, results of operations or liquidity.</w:t>
      </w:r>
    </w:p>
    <w:p>
      <w:pPr>
        <w:spacing w:after="0" w:line="2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considers the applicability and impact of all ASUs. ASUs not discussed above were assessed and determined to be either not applicable, the effects of adoption are not expected to be material or are clarifications of ASUs previously disclosed.</w:t>
      </w:r>
    </w:p>
    <w:p>
      <w:pPr>
        <w:spacing w:after="0" w:line="193" w:lineRule="exact"/>
        <w:rPr>
          <w:sz w:val="20"/>
          <w:szCs w:val="20"/>
          <w:color w:val="auto"/>
        </w:rPr>
      </w:pPr>
    </w:p>
    <w:p>
      <w:pPr>
        <w:ind w:left="700" w:right="6540" w:hanging="692"/>
        <w:spacing w:after="0" w:line="534" w:lineRule="auto"/>
        <w:tabs>
          <w:tab w:leader="none" w:pos="32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FROM CONTRACTS WITH CUSTOMERS </w:t>
      </w:r>
      <w:r>
        <w:rPr>
          <w:rFonts w:ascii="Arial" w:cs="Arial" w:eastAsia="Arial" w:hAnsi="Arial"/>
          <w:sz w:val="18"/>
          <w:szCs w:val="18"/>
          <w:b w:val="1"/>
          <w:bCs w:val="1"/>
          <w:i w:val="1"/>
          <w:iCs w:val="1"/>
          <w:color w:val="auto"/>
        </w:rPr>
        <w:t>Revenue from Contracts with Customers</w:t>
      </w:r>
    </w:p>
    <w:p>
      <w:pPr>
        <w:spacing w:after="0" w:line="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Company’s revenue from contracts with customers disaggregated by product type and basin: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center"/>
              <w:ind w:right="72"/>
              <w:spacing w:after="0"/>
              <w:rPr>
                <w:sz w:val="20"/>
                <w:szCs w:val="20"/>
                <w:color w:val="auto"/>
              </w:rPr>
            </w:pPr>
            <w:r>
              <w:rPr>
                <w:rFonts w:ascii="Arial" w:cs="Arial" w:eastAsia="Arial" w:hAnsi="Arial"/>
                <w:sz w:val="16"/>
                <w:szCs w:val="16"/>
                <w:b w:val="1"/>
                <w:bCs w:val="1"/>
                <w:color w:val="auto"/>
                <w:w w:val="91"/>
              </w:rPr>
              <w:t>Year Ended December 31, 2021</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3"/>
              </w:rPr>
              <w:t>Midland Basin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w w:val="89"/>
              </w:rPr>
              <w:t>Delaware Basin</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10"/>
        </w:trPr>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left="714"/>
              <w:spacing w:after="0"/>
              <w:rPr>
                <w:sz w:val="20"/>
                <w:szCs w:val="20"/>
                <w:color w:val="auto"/>
              </w:rPr>
            </w:pPr>
            <w:r>
              <w:rPr>
                <w:rFonts w:ascii="Arial" w:cs="Arial" w:eastAsia="Arial" w:hAnsi="Arial"/>
                <w:sz w:val="16"/>
                <w:szCs w:val="16"/>
                <w:b w:val="1"/>
                <w:bCs w:val="1"/>
                <w:color w:val="auto"/>
                <w:w w:val="95"/>
              </w:rPr>
              <w:t>(In millions)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2120" w:type="dxa"/>
            <w:vAlign w:val="bottom"/>
            <w:gridSpan w:val="2"/>
            <w:shd w:val="clear" w:color="auto" w:fill="CCEEFF"/>
          </w:tcPr>
          <w:p>
            <w:pPr>
              <w:jc w:val="center"/>
              <w:ind w:left="18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1,663</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5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9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23"/>
        </w:trPr>
        <w:tc>
          <w:tcPr>
            <w:tcW w:w="3580" w:type="dxa"/>
            <w:vAlign w:val="bottom"/>
          </w:tcPr>
          <w:p>
            <w:pPr>
              <w:ind w:left="240"/>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2,127</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w:t>
            </w:r>
          </w:p>
        </w:tc>
      </w:tr>
      <w:tr>
        <w:trPr>
          <w:trHeight w:val="20"/>
        </w:trPr>
        <w:tc>
          <w:tcPr>
            <w:tcW w:w="3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71"/>
        </w:trPr>
        <w:tc>
          <w:tcPr>
            <w:tcW w:w="3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ind w:right="72"/>
              <w:spacing w:after="0"/>
              <w:rPr>
                <w:sz w:val="20"/>
                <w:szCs w:val="20"/>
                <w:color w:val="auto"/>
              </w:rPr>
            </w:pPr>
            <w:r>
              <w:rPr>
                <w:rFonts w:ascii="Arial" w:cs="Arial" w:eastAsia="Arial" w:hAnsi="Arial"/>
                <w:sz w:val="16"/>
                <w:szCs w:val="16"/>
                <w:b w:val="1"/>
                <w:bCs w:val="1"/>
                <w:color w:val="auto"/>
                <w:w w:val="91"/>
              </w:rPr>
              <w:t>Year Ended December 31, 2020</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0"/>
        </w:trPr>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3"/>
              </w:rPr>
              <w:t>Midland Basin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w w:val="89"/>
              </w:rPr>
              <w:t>Delaware Basin</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10"/>
        </w:trPr>
        <w:tc>
          <w:tcPr>
            <w:tcW w:w="3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left="714"/>
              <w:spacing w:after="0"/>
              <w:rPr>
                <w:sz w:val="20"/>
                <w:szCs w:val="20"/>
                <w:color w:val="auto"/>
              </w:rPr>
            </w:pPr>
            <w:r>
              <w:rPr>
                <w:rFonts w:ascii="Arial" w:cs="Arial" w:eastAsia="Arial" w:hAnsi="Arial"/>
                <w:sz w:val="16"/>
                <w:szCs w:val="16"/>
                <w:b w:val="1"/>
                <w:bCs w:val="1"/>
                <w:color w:val="auto"/>
                <w:w w:val="95"/>
              </w:rPr>
              <w:t>(In millions)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2120" w:type="dxa"/>
            <w:vAlign w:val="bottom"/>
            <w:gridSpan w:val="2"/>
            <w:shd w:val="clear" w:color="auto" w:fill="CCEEFF"/>
          </w:tcPr>
          <w:p>
            <w:pPr>
              <w:jc w:val="center"/>
              <w:ind w:left="18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1,011</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9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3580" w:type="dxa"/>
            <w:vAlign w:val="bottom"/>
          </w:tcPr>
          <w:p>
            <w:pPr>
              <w:ind w:left="240"/>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1,161</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r>
      <w:tr>
        <w:trPr>
          <w:trHeight w:val="20"/>
        </w:trPr>
        <w:tc>
          <w:tcPr>
            <w:tcW w:w="3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23"/>
        </w:trPr>
        <w:tc>
          <w:tcPr>
            <w:tcW w:w="3580" w:type="dxa"/>
            <w:vAlign w:val="bottom"/>
          </w:tcPr>
          <w:p>
            <w:pPr>
              <w:spacing w:after="0"/>
              <w:rPr>
                <w:sz w:val="24"/>
                <w:szCs w:val="24"/>
                <w:color w:val="auto"/>
              </w:rPr>
            </w:pPr>
          </w:p>
        </w:tc>
        <w:tc>
          <w:tcPr>
            <w:tcW w:w="3360" w:type="dxa"/>
            <w:vAlign w:val="bottom"/>
            <w:gridSpan w:val="3"/>
          </w:tcPr>
          <w:p>
            <w:pPr>
              <w:jc w:val="center"/>
              <w:ind w:left="650"/>
              <w:spacing w:after="0"/>
              <w:rPr>
                <w:sz w:val="20"/>
                <w:szCs w:val="20"/>
                <w:color w:val="auto"/>
              </w:rPr>
            </w:pPr>
            <w:r>
              <w:rPr>
                <w:rFonts w:ascii="Arial" w:cs="Arial" w:eastAsia="Arial" w:hAnsi="Arial"/>
                <w:sz w:val="18"/>
                <w:szCs w:val="18"/>
                <w:color w:val="auto"/>
                <w:w w:val="91"/>
              </w:rPr>
              <w:t>F-15</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3"/>
              </w:rPr>
              <w:t>Three Months Ended December 31, 2019</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0"/>
        </w:trPr>
        <w:tc>
          <w:tcPr>
            <w:tcW w:w="5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3"/>
              </w:rPr>
              <w:t>Midland Basin</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9"/>
              </w:rPr>
              <w:t>Delaware Basin</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Other</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09"/>
        </w:trPr>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1,351</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556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1,494</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Customers</w:t>
      </w:r>
    </w:p>
    <w:p>
      <w:pPr>
        <w:spacing w:after="0" w:line="252" w:lineRule="exact"/>
        <w:rPr>
          <w:sz w:val="20"/>
          <w:szCs w:val="20"/>
          <w:color w:val="auto"/>
        </w:rPr>
      </w:pPr>
    </w:p>
    <w:p>
      <w:pPr>
        <w:jc w:val="both"/>
        <w:ind w:left="20" w:firstLine="648"/>
        <w:spacing w:after="0" w:line="272" w:lineRule="auto"/>
        <w:rPr>
          <w:sz w:val="20"/>
          <w:szCs w:val="20"/>
          <w:color w:val="auto"/>
        </w:rPr>
      </w:pPr>
      <w:r>
        <w:rPr>
          <w:rFonts w:ascii="Arial" w:cs="Arial" w:eastAsia="Arial" w:hAnsi="Arial"/>
          <w:sz w:val="17"/>
          <w:szCs w:val="17"/>
          <w:color w:val="auto"/>
        </w:rPr>
        <w:t>The Company is subject to risk resulting from the concentration of its crude oil and natural gas sales and receivables with several significant purchasers. For the year ended December 31, 2021, three purchasers each accounted for more than 10% of our revenue: Vitol Inc. (“Vitol”) (21%); Shell Trading (USA) Company (“Shell”) (19%); and Plains Marketing LP (“Plains”) (12%). For the year ended December 31, 2020, four purchasers each accounted for more than 10% of the Company’s revenue: Vitol (26%); Shell (22%); Plains (20%); and Trafigura Trading LLC (11%). For the year ended December 31, 2019, three purchasers each accounted for more than 10% of the Company’s revenue: Shell (27%); Plains (23%); and Vitol (15%). The Company does not require collateral and does not believe the loss of any single purchaser would materially impact its operating results, as crude oil and natural gas are fungible products with well-established markets and numerous purchasers.</w:t>
      </w:r>
    </w:p>
    <w:p>
      <w:pPr>
        <w:spacing w:after="0" w:line="200" w:lineRule="exact"/>
        <w:rPr>
          <w:sz w:val="20"/>
          <w:szCs w:val="20"/>
          <w:color w:val="auto"/>
        </w:rPr>
      </w:pPr>
    </w:p>
    <w:p>
      <w:pPr>
        <w:ind w:left="20" w:right="7780" w:firstLine="8"/>
        <w:spacing w:after="0" w:line="440" w:lineRule="auto"/>
        <w:tabs>
          <w:tab w:leader="none" w:pos="32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 2021 Activity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Guidon Operating LLC</w:t>
      </w:r>
    </w:p>
    <w:p>
      <w:pPr>
        <w:spacing w:after="0" w:line="252" w:lineRule="exact"/>
        <w:rPr>
          <w:sz w:val="20"/>
          <w:szCs w:val="20"/>
          <w:color w:val="auto"/>
        </w:rPr>
      </w:pPr>
    </w:p>
    <w:p>
      <w:pPr>
        <w:jc w:val="both"/>
        <w:ind w:left="20" w:firstLine="648"/>
        <w:spacing w:after="0" w:line="279" w:lineRule="auto"/>
        <w:rPr>
          <w:sz w:val="20"/>
          <w:szCs w:val="20"/>
          <w:color w:val="auto"/>
        </w:rPr>
      </w:pPr>
      <w:r>
        <w:rPr>
          <w:rFonts w:ascii="Arial" w:cs="Arial" w:eastAsia="Arial" w:hAnsi="Arial"/>
          <w:sz w:val="17"/>
          <w:szCs w:val="17"/>
          <w:color w:val="auto"/>
        </w:rPr>
        <w:t>On February 26, 2021, the Company closed on its acquisition of all leasehold interests and related assets of Guidon Operating LLC (the “Guidon Acquisition”) which include approximately 32,500 net acres in the Northern Midland Basin in exchange for 10.68 million shares of the Company’s common stock and $375 million of cash. The cash portion of this transaction was funded through a combination of cash on hand and borrowings under the Company’s credit facility. As a result of the Guidon Acquisition, the Company added approximately 210 gross producing wells.</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presents the acquisition consideration paid in the Guidon Acquisition (in millions, except per share data, shares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w:t>
            </w:r>
          </w:p>
        </w:tc>
        <w:tc>
          <w:tcPr>
            <w:tcW w:w="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Shares of Diamondback common stock issued at closing</w:t>
            </w:r>
          </w:p>
        </w:tc>
        <w:tc>
          <w:tcPr>
            <w:tcW w:w="9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10,676</w:t>
            </w: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Closing price per share of Diamondback common stock on the closing date</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r>
      <w:tr>
        <w:trPr>
          <w:trHeight w:val="222"/>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Fair value of Diamondback common stock issued</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29"/>
        </w:trPr>
        <w:tc>
          <w:tcPr>
            <w:tcW w:w="20" w:type="dxa"/>
            <w:vAlign w:val="bottom"/>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9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4"/>
        </w:trPr>
        <w:tc>
          <w:tcPr>
            <w:tcW w:w="8980" w:type="dxa"/>
            <w:vAlign w:val="bottom"/>
            <w:gridSpan w:val="2"/>
          </w:tcPr>
          <w:p>
            <w:pPr>
              <w:spacing w:after="0"/>
              <w:rPr>
                <w:sz w:val="20"/>
                <w:szCs w:val="20"/>
                <w:color w:val="auto"/>
              </w:rPr>
            </w:pPr>
            <w:r>
              <w:rPr>
                <w:rFonts w:ascii="Arial" w:cs="Arial" w:eastAsia="Arial" w:hAnsi="Arial"/>
                <w:sz w:val="16"/>
                <w:szCs w:val="16"/>
                <w:b w:val="1"/>
                <w:bCs w:val="1"/>
                <w:color w:val="auto"/>
              </w:rPr>
              <w:t>Total consideration (including fair value of Diamondback common stock issued)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364"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Guidon Acquisition has been accounted for as a business combination using the acquisition method. The following table represents the allocation of the total purchase price paid in the Guidon Acquisition to the identifiable assets acquired and the liabilities assumed based on the fair values at the acquisition date. The Company expects to complete the purchase price allocation during the 12-month period following the acquisition date and may revise the value of the assets and liabilities as appropriate within that time frame. Through December 31, 2021, there have been no material changes to the allocation presented in the March 31, 2021 10-Q filed with the SEC on May 7, 2021.</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preliminary purchase price allocation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6"/>
        </w:trPr>
        <w:tc>
          <w:tcPr>
            <w:tcW w:w="8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960" w:type="dxa"/>
            <w:vAlign w:val="bottom"/>
          </w:tcPr>
          <w:p>
            <w:pPr>
              <w:ind w:left="240"/>
              <w:spacing w:after="0"/>
              <w:rPr>
                <w:sz w:val="20"/>
                <w:szCs w:val="20"/>
                <w:color w:val="auto"/>
              </w:rPr>
            </w:pPr>
            <w:r>
              <w:rPr>
                <w:rFonts w:ascii="Arial" w:cs="Arial" w:eastAsia="Arial" w:hAnsi="Arial"/>
                <w:sz w:val="18"/>
                <w:szCs w:val="18"/>
                <w:color w:val="auto"/>
              </w:rPr>
              <w:t>Asset retirement obligations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8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2"/>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and gas properties</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8"/>
        </w:trPr>
        <w:tc>
          <w:tcPr>
            <w:tcW w:w="8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Midstream assets</w:t>
            </w: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24"/>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0"/>
        </w:trPr>
        <w:tc>
          <w:tcPr>
            <w:tcW w:w="8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The majority of the measurements of assets acquired and liabilities assumed are based on inputs that are not observable in the market and are therefore considered Level 3 inputs.</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the completion of the Guidon Acquisition, the Company acquired proved properties of $537 million and unproved properties of $573 million. The results of operations attributable to the Guidon Acquisition since the acquisition date have been included in the consolidated statements of operations and include $345 million of total revenue and $170 million of net income for the year ended December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Resources, Inc.</w:t>
      </w:r>
    </w:p>
    <w:p>
      <w:pPr>
        <w:spacing w:after="0" w:line="252" w:lineRule="exact"/>
        <w:rPr>
          <w:sz w:val="20"/>
          <w:szCs w:val="20"/>
          <w:color w:val="auto"/>
        </w:rPr>
      </w:pPr>
    </w:p>
    <w:p>
      <w:pPr>
        <w:jc w:val="both"/>
        <w:ind w:firstLine="648"/>
        <w:spacing w:after="0" w:line="275" w:lineRule="auto"/>
        <w:rPr>
          <w:rFonts w:ascii="Arial" w:cs="Arial" w:eastAsia="Arial" w:hAnsi="Arial"/>
          <w:sz w:val="17"/>
          <w:szCs w:val="17"/>
          <w:color w:val="auto"/>
        </w:rPr>
      </w:pPr>
      <w:r>
        <w:rPr>
          <w:rFonts w:ascii="Arial" w:cs="Arial" w:eastAsia="Arial" w:hAnsi="Arial"/>
          <w:sz w:val="17"/>
          <w:szCs w:val="17"/>
          <w:color w:val="auto"/>
        </w:rPr>
        <w:t>On March 17, 2021, the Company completed its acquisition of QEP in an all-stock transaction (the “QEP Merger”). The addition of QEP’s assets increased the Company’s net acreage in the Midland Basin by approximately 49,000 net acres. Under the terms of the QEP Merger, each eligible share of QEP common stock issued and outstanding immediately prior to the effective time converted into the right to receive 0.050 of a share of Diamondback common stock, with cash being paid in lieu of any fractional shares (the “merger consideration”). At the closing date of the QEP Merger, the carrying value of QEP’s outstanding debt was approximately $1.6 billion. See Note 11—</w:t>
      </w:r>
      <w:hyperlink w:anchor="page108">
        <w:r>
          <w:rPr>
            <w:rFonts w:ascii="Arial" w:cs="Arial" w:eastAsia="Arial" w:hAnsi="Arial"/>
            <w:sz w:val="17"/>
            <w:szCs w:val="17"/>
            <w:u w:val="single" w:color="auto"/>
            <w:color w:val="0000FF"/>
          </w:rPr>
          <w:t>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acquisition consideration paid to QEP stockholders in the QEP Merger (in millions, except per share data, shares in thousands):</w:t>
      </w:r>
    </w:p>
    <w:p>
      <w:pPr>
        <w:sectPr>
          <w:pgSz w:w="11900" w:h="16838" w:orient="portrait"/>
          <w:cols w:equalWidth="0" w:num="1">
            <w:col w:w="11240"/>
          </w:cols>
          <w:pgMar w:left="320" w:top="364"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 w:lineRule="exact"/>
        <w:rPr>
          <w:sz w:val="20"/>
          <w:szCs w:val="20"/>
          <w:color w:val="auto"/>
        </w:rPr>
      </w:pPr>
    </w:p>
    <w:p>
      <w:pPr>
        <w:ind w:left="20" w:right="2120"/>
        <w:spacing w:after="0" w:line="308" w:lineRule="auto"/>
        <w:rPr>
          <w:sz w:val="20"/>
          <w:szCs w:val="20"/>
          <w:color w:val="auto"/>
        </w:rPr>
      </w:pPr>
      <w:r>
        <w:rPr>
          <w:rFonts w:ascii="Arial" w:cs="Arial" w:eastAsia="Arial" w:hAnsi="Arial"/>
          <w:sz w:val="16"/>
          <w:szCs w:val="16"/>
          <w:color w:val="auto"/>
        </w:rPr>
        <w:t>Eligible shares of QEP common stock converted into shares of Diamondback common stock Shares of QEP equity awards included in precombination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right="3780"/>
        <w:spacing w:after="0" w:line="266" w:lineRule="auto"/>
        <w:rPr>
          <w:sz w:val="20"/>
          <w:szCs w:val="20"/>
          <w:color w:val="auto"/>
        </w:rPr>
      </w:pPr>
      <w:r>
        <w:rPr>
          <w:rFonts w:ascii="Arial" w:cs="Arial" w:eastAsia="Arial" w:hAnsi="Arial"/>
          <w:sz w:val="18"/>
          <w:szCs w:val="18"/>
          <w:color w:val="auto"/>
        </w:rPr>
        <w:t>Total shares of QEP common stock eligible for merger consideration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right="3660"/>
        <w:spacing w:after="0" w:line="331" w:lineRule="auto"/>
        <w:rPr>
          <w:sz w:val="20"/>
          <w:szCs w:val="20"/>
          <w:color w:val="auto"/>
        </w:rPr>
      </w:pPr>
      <w:r>
        <w:rPr>
          <w:rFonts w:ascii="Arial" w:cs="Arial" w:eastAsia="Arial" w:hAnsi="Arial"/>
          <w:sz w:val="16"/>
          <w:szCs w:val="16"/>
          <w:color w:val="auto"/>
        </w:rPr>
        <w:t>Shares of Diamondback common stock issued as merger consideration Closing price per share of Diamondback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Total consideration (fair value of the Company's common stock issued)</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238,153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2001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242,374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0.050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12,119</w:t>
      </w:r>
    </w:p>
    <w:p>
      <w:pPr>
        <w:spacing w:after="0" w:line="23" w:lineRule="exact"/>
        <w:rPr>
          <w:sz w:val="20"/>
          <w:szCs w:val="20"/>
          <w:color w:val="auto"/>
        </w:rPr>
      </w:pPr>
    </w:p>
    <w:p>
      <w:pPr>
        <w:spacing w:after="0"/>
        <w:tabs>
          <w:tab w:leader="none" w:pos="14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81.41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12001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1"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1200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58420</wp:posOffset>
            </wp:positionV>
            <wp:extent cx="1200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809" w:lineRule="exact"/>
        <w:rPr>
          <w:sz w:val="20"/>
          <w:szCs w:val="20"/>
          <w:color w:val="auto"/>
        </w:rPr>
      </w:pPr>
    </w:p>
    <w:p>
      <w:pPr>
        <w:sectPr>
          <w:pgSz w:w="11900" w:h="16838" w:orient="portrait"/>
          <w:cols w:equalWidth="0" w:num="2">
            <w:col w:w="8640" w:space="720"/>
            <w:col w:w="1880"/>
          </w:cols>
          <w:pgMar w:left="320" w:top="364" w:right="339" w:bottom="1440" w:gutter="0" w:footer="0" w:header="0"/>
          <w:type w:val="continuous"/>
        </w:sectPr>
      </w:pPr>
    </w:p>
    <w:p>
      <w:pPr>
        <w:spacing w:after="0" w:line="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QEP Merger has been accounted for as a business combination using the acquisition method. The following table represents the preliminary allocation of the total purchase price for the acquisition of QEP to the identifiable assets acquired and the liabilities assumed based on the fair values at the acquisition date. Although the purchase price allocation is substantially complete as of the date of this filing, certain data necessary to complete the purchase price allocation is not yet available and includes, but is not limited to, final tax returns that provide the underlying tax basis of QEP’s assets and liabilities and final valuations of the acquired oil and natural gas properties. As such, there may be further adjustments to the fair value of certain assets acquired and liabilities assumed. The Company expects to complete the purchase price allocation during the 12-month period following the acquisition date.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preliminary purchase price allocation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16"/>
        </w:trPr>
        <w:tc>
          <w:tcPr>
            <w:tcW w:w="8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960" w:type="dxa"/>
            <w:vAlign w:val="bottom"/>
          </w:tcPr>
          <w:p>
            <w:pPr>
              <w:ind w:left="240"/>
              <w:spacing w:after="0"/>
              <w:rPr>
                <w:sz w:val="20"/>
                <w:szCs w:val="20"/>
                <w:color w:val="auto"/>
              </w:rPr>
            </w:pPr>
            <w:r>
              <w:rPr>
                <w:rFonts w:ascii="Arial" w:cs="Arial" w:eastAsia="Arial" w:hAnsi="Arial"/>
                <w:sz w:val="18"/>
                <w:szCs w:val="18"/>
                <w:color w:val="auto"/>
              </w:rPr>
              <w:t>Accounts payable - trade</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capital expenditures</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Other accrued liabilities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Revenues and royalties payable</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Derivative instruments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1"/>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Asset retirement obligations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9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Amount attributable to liabilities assumed</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w:t>
            </w:r>
          </w:p>
        </w:tc>
      </w:tr>
      <w:tr>
        <w:trPr>
          <w:trHeight w:val="197"/>
        </w:trPr>
        <w:tc>
          <w:tcPr>
            <w:tcW w:w="8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2"/>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cash equivalents and restricted cash</w:t>
            </w:r>
          </w:p>
        </w:tc>
        <w:tc>
          <w:tcPr>
            <w:tcW w:w="96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Accounts receivable - joint interest and other, net</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 oil and natural gas sales, net</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89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receivable</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8"/>
        </w:trPr>
        <w:tc>
          <w:tcPr>
            <w:tcW w:w="896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and natural gas properties</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r>
      <w:tr>
        <w:trPr>
          <w:trHeight w:val="229"/>
        </w:trPr>
        <w:tc>
          <w:tcPr>
            <w:tcW w:w="8960" w:type="dxa"/>
            <w:vAlign w:val="bottom"/>
          </w:tcPr>
          <w:p>
            <w:pPr>
              <w:ind w:left="240"/>
              <w:spacing w:after="0"/>
              <w:rPr>
                <w:sz w:val="20"/>
                <w:szCs w:val="20"/>
                <w:color w:val="auto"/>
              </w:rPr>
            </w:pPr>
            <w:r>
              <w:rPr>
                <w:rFonts w:ascii="Arial" w:cs="Arial" w:eastAsia="Arial" w:hAnsi="Arial"/>
                <w:sz w:val="18"/>
                <w:szCs w:val="18"/>
                <w:color w:val="auto"/>
              </w:rPr>
              <w:t>Other property, equipment and land</w:t>
            </w: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8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r>
      <w:tr>
        <w:trPr>
          <w:trHeight w:val="224"/>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60" w:type="dxa"/>
            <w:vAlign w:val="bottom"/>
            <w:tcBorders>
              <w:bottom w:val="single" w:sz="8" w:color="auto"/>
            </w:tcBorders>
          </w:tcPr>
          <w:p>
            <w:pPr>
              <w:jc w:val="right"/>
              <w:ind w:right="7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0"/>
        </w:trPr>
        <w:tc>
          <w:tcPr>
            <w:tcW w:w="8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purchase price allocation above is based on estimates of the fair values of the assets and liabilities of QEP as of the closing date of the QEP Merger. The majority of the measurements of assets acquired and liabilities assumed are based on inputs that are not observable in the market and are therefore considered Level 3 inputs. The fair value of acquired property and equipment, including midstream assets classified in oil and natural gas properties,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QEP’s outstanding senior unsecured notes was based on unadjusted quoted prices in an active market, which are considered Level 1 inputs. The value of derivative instruments was based on observable inputs including forward commodity price curves which are considered Level 2 inputs. Deferred income taxes represent the tax effects of differences in the tax basis and merger-date fair values of assets acquired and liabilities assumed.</w:t>
      </w:r>
    </w:p>
    <w:p>
      <w:pPr>
        <w:spacing w:after="0" w:line="2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With the completion of the QEP Merger, the Company acquired proved properties of $2.0 billion and unproved properties of $742 million, primarily in the Midland Basin and the Williston Basin. The Williston Basin assets were divested in October 2021 as discussed further below. Through December 31, 2021, the fair value allocated to proved properties acquired in the QEP Merger has decreased by $300 million and the fair value allocated to unproved properties has increased by $300 million based on management’s continuing assessment of the inputs utilized in the fair value estimates discussed above. There have been no other material changes to the allocation presented in the March 31, 2021 10-Q filed with the SEC on May 7, 2021.</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results of operations attributable to the QEP Merger since the acquisition date have been included in the consolidated statements of operations and include $1.1 billion of total revenue and $455 million of net income for the year ended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unaudited summary pro forma financial information for the years ended December 31, 2021 and 2020 has been prepared to give effect to the QEP Merger and the Guidon Acquisition as if they had occurred on January 1, 2020.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below information reflects pro forma adjustments for the issuance of the Company’s common stock in exchange for QEP’s outstanding shares of common stock, as well as pro forma adjustments based on available information and certain assumptions that the Company believes are reasonable, including adjustments to depreciation, depletion and amortization based on the full cost method of accounting and the purchase price allocated to property, plant, and equipment as well as adjustments to interest expense and the provision for (benefit from) income taxes.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Additionally, pro forma earnings were adjusted to exclude acquisition-related costs incurred by the Company for the QEP Merger and the Guidon Acquisition of approximately $78 million for the year ended December 31, 2021 and acquisition-related costs incurred by QEP of $31 million through the closing date of the QEP Merger. These acquisition-related costs primarily consist of one-time severance costs and the accelerated or change-in-control vesting of certain QEP share-based awards for former QEP employees based on the terms of the merger agreement relating to the QEP Merger and other bank, legal and advisory fees. The pro forma results of operations do not include any cost savings or other synergies that may result from the QEP Merger and the Guidon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2860" w:type="dxa"/>
            <w:vAlign w:val="bottom"/>
            <w:tcBorders>
              <w:bottom w:val="single" w:sz="8" w:color="auto"/>
            </w:tcBorders>
            <w:gridSpan w:val="3"/>
          </w:tcPr>
          <w:p>
            <w:pPr>
              <w:jc w:val="center"/>
              <w:ind w:left="533"/>
              <w:spacing w:after="0"/>
              <w:rPr>
                <w:sz w:val="20"/>
                <w:szCs w:val="20"/>
                <w:color w:val="auto"/>
              </w:rPr>
            </w:pPr>
            <w:r>
              <w:rPr>
                <w:rFonts w:ascii="Arial" w:cs="Arial" w:eastAsia="Arial" w:hAnsi="Arial"/>
                <w:sz w:val="16"/>
                <w:szCs w:val="16"/>
                <w:b w:val="1"/>
                <w:bCs w:val="1"/>
                <w:color w:val="auto"/>
                <w:w w:val="91"/>
              </w:rPr>
              <w:t>Year Ended December 31,</w:t>
            </w:r>
          </w:p>
        </w:tc>
        <w:tc>
          <w:tcPr>
            <w:tcW w:w="620" w:type="dxa"/>
            <w:vAlign w:val="bottom"/>
            <w:tcBorders>
              <w:bottom w:val="single" w:sz="8" w:color="auto"/>
            </w:tcBorders>
          </w:tcPr>
          <w:p>
            <w:pPr>
              <w:spacing w:after="0"/>
              <w:rPr>
                <w:sz w:val="18"/>
                <w:szCs w:val="18"/>
                <w:color w:val="auto"/>
              </w:rPr>
            </w:pPr>
          </w:p>
        </w:tc>
      </w:tr>
      <w:tr>
        <w:trPr>
          <w:trHeight w:val="210"/>
        </w:trPr>
        <w:tc>
          <w:tcPr>
            <w:tcW w:w="7760" w:type="dxa"/>
            <w:vAlign w:val="bottom"/>
          </w:tcPr>
          <w:p>
            <w:pPr>
              <w:spacing w:after="0"/>
              <w:rPr>
                <w:sz w:val="18"/>
                <w:szCs w:val="18"/>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3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(In millions, except per share amounts)</w:t>
            </w:r>
          </w:p>
        </w:tc>
      </w:tr>
      <w:tr>
        <w:trPr>
          <w:trHeight w:val="232"/>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7,069</w:t>
            </w:r>
          </w:p>
        </w:tc>
        <w:tc>
          <w:tcPr>
            <w:tcW w:w="114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3,727</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4,182</w:t>
            </w:r>
          </w:p>
        </w:tc>
        <w:tc>
          <w:tcPr>
            <w:tcW w:w="114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(5,771)</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2,186</w:t>
            </w:r>
          </w:p>
        </w:tc>
        <w:tc>
          <w:tcPr>
            <w:tcW w:w="114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(4,641)</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12.09</w:t>
            </w:r>
          </w:p>
        </w:tc>
        <w:tc>
          <w:tcPr>
            <w:tcW w:w="1140" w:type="dxa"/>
            <w:vAlign w:val="bottom"/>
          </w:tcPr>
          <w:p>
            <w:pPr>
              <w:jc w:val="right"/>
              <w:ind w:right="872"/>
              <w:spacing w:after="0"/>
              <w:rPr>
                <w:sz w:val="20"/>
                <w:szCs w:val="20"/>
                <w:color w:val="auto"/>
              </w:rPr>
            </w:pPr>
            <w:r>
              <w:rPr>
                <w:rFonts w:ascii="Arial" w:cs="Arial" w:eastAsia="Arial" w:hAnsi="Arial"/>
                <w:sz w:val="18"/>
                <w:szCs w:val="18"/>
                <w:color w:val="auto"/>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(25.67)</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114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(25.67)</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 of Certain Non-Core Assets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3, 2021 and June 7, 2021, respectively, the Company closed transactions to divest certain non-core Permian assets including over 7,000 net acres of non-core Southern Midland Basin acreage in Upton county, Texas and approximately 1,300 net acres of non-core, non-operated Delaware Basin assets in Lea county, New Mexico for combined net cash proceeds of $82 million, after customary closing adjustments. The Company used its net proceeds from these transactions toward debt reduction.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Williston Basin Divestiture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21, 2021, the Company completed the divestiture of its Williston Basin oil and natural gas assets, consisting of approximately 95,000 net acres, to Oasis Petroleum Inc., for net cash proceeds of approximately $586 million, after customary closing adjustments. This transaction did not result in a significant alteration of the relationship between the Company’s capitalized costs and proved reserves and, accordingly, the Company recorded the proceeds as a reduction of its full cost pool with no gain or loss recognized on the sale. The Company used its net proceeds from this transaction toward debt reduction.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Gathering Assets Divestiture</w:t>
      </w:r>
    </w:p>
    <w:p>
      <w:pPr>
        <w:spacing w:after="0" w:line="22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November 1, 2021, the Company completed the sale of certain gas gathering assets to Brazos Delaware Gas, LLC, an affiliate of Brazos Midstream (“Brazos”), for net cash proceeds of approximately $54 million, after customary closing adjustments.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Drop Down Transaction</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1, 2021, Diamondback completed the sale of certain water midstream assets to Rattler in exchange for cash proceeds of approximately $160 million, in a drop down transaction (the “Drop Down”). The midstream assets consist primarily of produced water gathering and disposal systems, produced water recycling facilities, and sourced water gathering and storage assets acquired by the Company through the Guidon Acquisition and the QEP Merger with a carrying value of approximately $160 million. The Company and Rattler have also mutually agreed to amend their commercial agreements covering produced water gathering and disposal and sourced water gathering services to add certain Diamondback leasehold acreage to Rattler’s dedication. The Drop Down transaction was accounted for as a transaction between entities under common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Swallowtail Acquisition</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2021, Viper acquired certain mineral and royalty interests from the Swallowtail entities pursuant to a definitive purchase and sale agreement for 15.25 million of Viper’s common units and approximately $225 million in cash (the “Swallowtail Acquisition”). The mineral and royalty interests acquired in the Swallowtail Acquisition represent approximately 2,313 net royalty acres primarily in the Northern Midland Basin, of which approximately 62% are operated by Diamondback. The Swallowtail Acquisition had an effective date of August 1, 2021. The cash portion of this transaction was funded through a combination of Viper’s cash on hand and approximately $190 million of borrowings under Viper LLC’s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WTG Joint Venture Acquisition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5, 2021, Rattler and a private affiliate of an investment fund formed the WTG joint venture. Rattler contributed approximately $104 million in cash for a 25% membership interest in the WTG joint venture, which then completed the acquisition of a majority interest in WTG Midstream from West Texas Gas, Inc. and its affiliates. WTG Midstream’s assets primarily consist of an interconnected gas gathering system and six major gas processing plants servicing the Midland Basin with 925 MMcf/d of total processing capacity with additional gas gathering and processing expansions planned.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Gas Gathering Divestiture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1, 2021, Rattler completed the sale of its gas gathering assets to Brazos for aggregate total gross potential consideration of $93 million, consisting of (i) $83 million due at closing, after customary closing adjustments, (ii) a $5 million contingent payment due in 2023 if the aggregate actual deliveries of gas volumes into the gas gathering system by and/or on behalf of the Company and its affiliates exceed certain specified thresholds during 2022, and (iii) a $5 million contingent payment due in 2024 if the aggregate actual deliveries of gas volumes into the gas gathering system by and/or on behalf of the Company and its affiliates exceed certain specified thresholds during 2022 and 2023. The contingent payments will be recorded if and when they become realizable.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Activity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Acquisition of Certain Mineral and Royalty Interests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Viper acquired, from unrelated third-party sellers, mineral and royalty interests representing 4,948 gross (417 net royalty) acres in the Permian Basin for an aggregate purchase price of approximately $64 million, including post-closing adjustments. Viper funded these acquisitions with cash on hand and borrowings under Viper LLC’s revolving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Activity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 of Certain Conventional and Non-Core Assets Acquired from Energen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23, 2019, the Company completed its divestiture of 6,589 net acres of certain conventional and non-core Permian assets, which were acquired by the Company in its merger with Energen, for an aggregate sale price of $37 million. This divestiture did not result in a gain or loss because it did not have a significant effect on the Company’s reserve base or depreciation, depletion and amortization rate.</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July 1, 2019, the Company completed its divestiture of 103,750 net acres of certain conventional and non-core Permian assets, which were acquired by the Company in the merger with Energen, for an aggregate sale price of $285 million. This divestiture did not result in a gain or loss because it did not have a significant effect on the Company’s reserve base or depreciation, depletion and amortization 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Drop-Down Transaction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On July 29, 2019, the Company entered into a definitive purchase agreement to divest certain mineral and royalty interests to Viper for approximately 18 million of Viper’s newly-issued Class B units, approximately 18 million newly-issued units of Viper LLC </w:t>
      </w:r>
      <w:r>
        <w:rPr>
          <w:rFonts w:ascii="Arial" w:cs="Arial" w:eastAsia="Arial" w:hAnsi="Arial"/>
          <w:sz w:val="18"/>
          <w:szCs w:val="18"/>
          <w:color w:val="231F20"/>
        </w:rPr>
        <w:t>with a fair value of</w:t>
      </w:r>
      <w:r>
        <w:rPr>
          <w:rFonts w:ascii="Arial" w:cs="Arial" w:eastAsia="Arial" w:hAnsi="Arial"/>
          <w:sz w:val="18"/>
          <w:szCs w:val="18"/>
          <w:color w:val="auto"/>
        </w:rPr>
        <w:t xml:space="preserve"> $497 million and $190 million in cash, after giving effect to closing adjustments for net title benefits. The mineral and royalty interests divested in the drop down transaction represented approximately 5,490 net royalty acres across the Midland and Delaware Basins, of which over 95% were operated by the Company, and had an average net royalty interest of approximately 3.2%. The drop down transaction closed on October 1, 2019 and was effective as of July 1, 2019. Viper funded the cash portion of the purchase price of the drop down transaction through a combination of cash on hand and borrowings under Viper LLC’s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VIPER ENERGY PARTNERS LP</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Viper is a publicly traded Delaware limited partnership, the common units of which are listed on the Nasdaq Global Select Market under the symbol “VNOM”. Viper was formed by Diamondback to, among other things, own, acquire and exploit oil and natural gas properties in the Permian Basin in North America. Viper LLC (“Viper’s General Partner”), a wholly owned subsidiary of Diamondback, serves as the general partner of viper. As of December 31, 2021, Diamondback owned approximately 54% of Viper’s total units outstanding.</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2019, Viper completed an underwritten public offering of 10,925,000 common units, which included 1,425,000 common units issued pursuant to an option to purchase additional common units granted to the underwriters. Viper received net proceeds from this offering of approximately $341 million, after deducting underwriting discounts and commissions and estimated offering expenses. There were no equity offerings during the years ended December 31, 2021 and 2020.</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years ended December 31, 2021, 2020, and 2019, Diamondback received distributions of $101 million, $62 million and $133 million, respectively, in respect of its interests in Viper and Viper LLC.</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party to a partnership agreement and tax sharing agreement with Viper which govern the reimbursement of various expenses and state, local and other taxes, respectively. No significant transactions occurred under these agreements during the years ended December 31, 2021, 2020 and 2019.</w:t>
      </w:r>
    </w:p>
    <w:p>
      <w:pPr>
        <w:spacing w:after="0" w:line="211"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4—</w:t>
      </w:r>
      <w:hyperlink w:anchor="page98">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discussions of Viper’s acquisitions and divestitures.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Viper’s Common Unit Repurchase Program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On November 6, 2020, the board of directors of Viper’s general partner approved a common unit repurchase program to acquire up to $100 million of Viper’s outstanding common units. The common unit repurchase program was initially authorized to extended through December 31, 2021, but in November 2021, the board of directors of Viper’s general partner increased the repurchase program authorization to $150 million and extended the program indefinitely. During the year ended December 31, 2021, Viper repurchased approximately $46 million of its common units under its repurchase program. As of December 31, 2021, $80 million remained available for use to repurchase common units under Viper’s common unit repurchase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 LLC’s Revolving Credit Facility</w:t>
      </w:r>
    </w:p>
    <w:p>
      <w:pPr>
        <w:spacing w:after="0" w:line="252"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Viper has entered into a secured revolving credit facility with Wells Fargo Bank, National Association, (“Wells Fargo”) as administrative agent sole book runner and lead arranger. See Note 11—</w:t>
      </w:r>
      <w:hyperlink w:anchor="page108">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description of this credit facility.</w:t>
      </w: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RATTLER MIDSTREAM LP</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Rattler is a publicly traded Delaware limited partnership, the common units of which are listed on the Nasdaq Global Select Market under the symbol “RTLR”. Rattler was formed by Diamondback in July 2018 to own, operate, develop and acquire midstream infrastructure assets in the Midland and Delaware Basins of the Permian Basin. Rattler Midstream GP LLC (“Rattler’s General Partner”), a wholly owned subsidiary of Diamondback, serves as the general partner of Rattler. As of December 31, 2021, Diamondback owned approximately 74% of Rattler’s total units outstanding.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completion of Rattler’s initial public offering (the “Rattler Offering”) in May of 2019, Diamondback owned all of the general and limited partner interests in Rattler. The Rattler Offering consisted of 43,700,000 common units representing approximately 29% of the limited partner interests in Rattler at a price to the public of $17.50 per common unit. Rattler received net proceeds of approximately $720 million from the sale of these common units, after deducting offering expenses and underwriting discounts and commissions.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completion of the Rattler Offering, Rattler (i) issued 107,815,152 Class B Units representing an aggregate 71% voting limited partner interest in Rattler in exchange for a $1 million cash contribution from Diamondback, (ii) issued a general partner interest in Rattler to Rattler’s General Partner, in exchange for a $1 million cash contribution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from Rattler’s General Partner and (iii) caused Rattler LLC to make a distribution of approximately $727 million to Diamondback.</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years ended December 31, 2021, 2020, and 2019, Diamondback received distributions of $97 million, $115 million and $36 million, respectively, in respect of its interests in Rattler and Rattler Midstream GP LLC.</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party to a partnership agreement, services and secondment agreement and tax sharing agreement with Rattler which govern the reimbursement of various expenses and state, local and other taxes, respectively. No significant transactions occurred under these agreements during the years ended December 31, 2021, 2020 and 2019.</w:t>
      </w:r>
    </w:p>
    <w:p>
      <w:pPr>
        <w:spacing w:after="0" w:line="211"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4—</w:t>
      </w:r>
      <w:hyperlink w:anchor="page98">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discussions of Rattler’s acquisitions and divestitures.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of Rattler’s Common Unit Repurchase Program</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October 29, 2020, the board of directors of Rattler’s general partner approved a common unit repurchase program to acquire up to $100 million of Rattler’s outstanding common units. The common unit repurchase program was initially authorized to extend through December 31, 2021, but in October 2021, the board of directors of Rattler’s general partner increased the repurchase program authorization to $150 million and extended the program indefinitely. During the year ended December 31, 2021, Rattler repurchased approximately $48 million of its common units under its repurchase program. As of December 31, 2021, $88 million remained available for use to repurchase common units under Rattler’s common unit repurchase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LLC’s Revolving Credit Facility</w:t>
      </w:r>
    </w:p>
    <w:p>
      <w:pPr>
        <w:spacing w:after="0" w:line="252"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Rattler LLC has entered into a secured revolving credit facility with Wells Fargo, as administrative agent, sole book runner and lead arranger. See Note 11—</w:t>
      </w:r>
      <w:hyperlink w:anchor="page108">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description of this credit facility.</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REAL ESTATE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schedules present the cost and related accumulated depreciation related to Diamondback’s significant real estate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Estimated Useful</w:t>
            </w: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07"/>
        </w:trPr>
        <w:tc>
          <w:tcPr>
            <w:tcW w:w="65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Lives</w:t>
            </w:r>
          </w:p>
        </w:tc>
        <w:tc>
          <w:tcPr>
            <w:tcW w:w="340" w:type="dxa"/>
            <w:vAlign w:val="bottom"/>
          </w:tcPr>
          <w:p>
            <w:pPr>
              <w:spacing w:after="0"/>
              <w:rPr>
                <w:sz w:val="17"/>
                <w:szCs w:val="17"/>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491"/>
              <w:spacing w:after="0"/>
              <w:rPr>
                <w:sz w:val="20"/>
                <w:szCs w:val="20"/>
                <w:color w:val="auto"/>
              </w:rPr>
            </w:pPr>
            <w:r>
              <w:rPr>
                <w:rFonts w:ascii="Arial" w:cs="Arial" w:eastAsia="Arial" w:hAnsi="Arial"/>
                <w:sz w:val="16"/>
                <w:szCs w:val="16"/>
                <w:b w:val="1"/>
                <w:bCs w:val="1"/>
                <w:color w:val="auto"/>
              </w:rPr>
              <w:t>2020</w:t>
            </w:r>
          </w:p>
        </w:tc>
      </w:tr>
      <w:tr>
        <w:trPr>
          <w:trHeight w:val="209"/>
        </w:trPr>
        <w:tc>
          <w:tcPr>
            <w:tcW w:w="652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Borders>
              <w:top w:val="single" w:sz="8" w:color="auto"/>
            </w:tcBorders>
          </w:tcPr>
          <w:p>
            <w:pPr>
              <w:spacing w:after="0"/>
              <w:rPr>
                <w:sz w:val="18"/>
                <w:szCs w:val="18"/>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5 - 15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 improvements</w:t>
            </w:r>
          </w:p>
        </w:tc>
        <w:tc>
          <w:tcPr>
            <w:tcW w:w="15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5 - 15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real estate assets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accumulated depreciation</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investment in land and buildings, net</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includes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r>
      <w:tr>
        <w:trPr>
          <w:trHeight w:val="210"/>
        </w:trPr>
        <w:tc>
          <w:tcPr>
            <w:tcW w:w="8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4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24,418</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19,884</w:t>
            </w: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r>
      <w:tr>
        <w:trPr>
          <w:trHeight w:val="223"/>
        </w:trPr>
        <w:tc>
          <w:tcPr>
            <w:tcW w:w="8140" w:type="dxa"/>
            <w:vAlign w:val="bottom"/>
          </w:tcPr>
          <w:p>
            <w:pPr>
              <w:ind w:left="220"/>
              <w:spacing w:after="0"/>
              <w:rPr>
                <w:sz w:val="20"/>
                <w:szCs w:val="20"/>
                <w:color w:val="auto"/>
              </w:rPr>
            </w:pPr>
            <w:r>
              <w:rPr>
                <w:rFonts w:ascii="Arial" w:cs="Arial" w:eastAsia="Arial" w:hAnsi="Arial"/>
                <w:sz w:val="18"/>
                <w:szCs w:val="18"/>
                <w:color w:val="auto"/>
              </w:rPr>
              <w:t>Gross oil and natural gas properties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32,914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27,377</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(5,434)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impairment</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(7,954)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r>
      <w:tr>
        <w:trPr>
          <w:trHeight w:val="22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and natural gas properties, net</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19,526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w:t>
            </w:r>
          </w:p>
        </w:tc>
      </w:tr>
      <w:tr>
        <w:trPr>
          <w:trHeight w:val="223"/>
        </w:trPr>
        <w:tc>
          <w:tcPr>
            <w:tcW w:w="8140" w:type="dxa"/>
            <w:vAlign w:val="bottom"/>
          </w:tcPr>
          <w:p>
            <w:pPr>
              <w:ind w:left="220"/>
              <w:spacing w:after="0"/>
              <w:rPr>
                <w:sz w:val="20"/>
                <w:szCs w:val="20"/>
                <w:color w:val="auto"/>
              </w:rPr>
            </w:pPr>
            <w:r>
              <w:rPr>
                <w:rFonts w:ascii="Arial" w:cs="Arial" w:eastAsia="Arial" w:hAnsi="Arial"/>
                <w:sz w:val="18"/>
                <w:szCs w:val="18"/>
                <w:color w:val="auto"/>
              </w:rPr>
              <w:t>Midstream assets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29"/>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property, equipment and land</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8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depreciation and impairment</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20,619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costs not subject to depletion: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Incurred in 2021</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Incurred in 2020</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Incurred in 2019</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8140" w:type="dxa"/>
            <w:vAlign w:val="bottom"/>
          </w:tcPr>
          <w:p>
            <w:pPr>
              <w:ind w:left="480"/>
              <w:spacing w:after="0"/>
              <w:rPr>
                <w:sz w:val="20"/>
                <w:szCs w:val="20"/>
                <w:color w:val="auto"/>
              </w:rPr>
            </w:pPr>
            <w:r>
              <w:rPr>
                <w:rFonts w:ascii="Arial" w:cs="Arial" w:eastAsia="Arial" w:hAnsi="Arial"/>
                <w:sz w:val="18"/>
                <w:szCs w:val="18"/>
                <w:color w:val="auto"/>
              </w:rPr>
              <w:t>Total not subject to depletion</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Capitalized internal costs were approximately $60 million, $53 million and $49 million for the years ended December 31, 2021, 2020 and 2019,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ten years.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full cost method of accounting, the Company is required to perform a ceiling test each quarter which determines a limit, or ceiling, on the book value of proved oil and natural gas properties. No impairment expense was recorded for the year ended December 31, 2021. The Company recorded non-cash ceiling test impairments for the years ended December 31, 2020 and 2019 of $6.0 billion and $790 million, respectively, which are included in accumulated depletion, depreciation, amortization and impairment on the consolidated balance sheet. The impairment charge affected the Company’s reported net income but did not reduce its cash flow.</w:t>
      </w:r>
    </w:p>
    <w:p>
      <w:pPr>
        <w:spacing w:after="0" w:line="20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In connection with the QEP Merger and the Guidon Acquisition, the Company recorded the oil and natural gas properties acquired at fair value, based on forward strip oil and natural gas pricing existing at the closing date of the respective transactions, in accordance with ASC 820 Fair Value Measurement. Pursuant to SEC guidance, the Company determined that the fair value of the properties acquired in the QEP Merger and the Guidon Acquisition clearly exceeded the related full cost ceiling limitation beyond a reasonable doubt. As such, the Company requested and received a waiver from the SEC to exclude the properties acquired from the ceiling test calculation for the quarter ended March 31, 2021. As a result, no impairment expense related to the QEP Merger and the Guidon Acquisition was recorded for the three months ended March 31, 2021. Had the Company not received a waiver from the SEC, an impairment charge of approximately $1.1 billion would have been recorded for such period. Management affirmed there has not been a decline in the fair value of these acquired assets. The properties acquired in the QEP Merger and the Guidon Acquisition had total unamortized costs at March 31, 2021 of $3.0 billion and $1.1 billion, respectively.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to commodity prices, the Company’s production rates, levels of proved reserves, future development costs, transfers of unevaluated properties and other factors will determine its actual ceiling test calculation and impairment analysis in future periods. If the trailing 12-month commodity prices decline as compared to the commodity prices used in prior quarters, the Company may have material write downs in subsequent quarters. Given the rate of change impacting the oil and natural gas industry described above, it is possible that circumstances requiring additional impairment testing will occur in future interim periods, which could result in potentially material impairment charges being recorded.</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December 31, 2021, there were $135 million in exploration costs and development costs and $124 million in capitalized interest that are not subject to depletion. At December 31, 2020, there were $85 million in exploration costs and development costs and $51 million capitalized interest that were not subject to depletion.</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ASSET RETIREMENT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r>
      <w:tr>
        <w:trPr>
          <w:trHeight w:val="209"/>
        </w:trPr>
        <w:tc>
          <w:tcPr>
            <w:tcW w:w="8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3"/>
          </w:tcPr>
          <w:p>
            <w:pPr>
              <w:jc w:val="right"/>
              <w:ind w:right="573"/>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102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Additional liabilities incurred</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acquired</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Liabilities settled and divested</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Revisions in estimated liabilities</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81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3"/>
                <w:szCs w:val="23"/>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obligations - long-term</w:t>
            </w: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The current portion of the asset retirement obligation is included in other accrued liabilities in the Company’s consolidated balance sheets.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EQUITY METHOD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2021 and 2020, Rattler had the following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Ownership Interest</w:t>
            </w:r>
          </w:p>
        </w:tc>
        <w:tc>
          <w:tcPr>
            <w:tcW w:w="160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2021</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2020</w:t>
            </w:r>
          </w:p>
        </w:tc>
      </w:tr>
      <w:tr>
        <w:trPr>
          <w:trHeight w:val="210"/>
        </w:trPr>
        <w:tc>
          <w:tcPr>
            <w:tcW w:w="64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(In millions)</w:t>
            </w:r>
          </w:p>
        </w:tc>
        <w:tc>
          <w:tcPr>
            <w:tcW w:w="720" w:type="dxa"/>
            <w:vAlign w:val="bottom"/>
            <w:tcBorders>
              <w:top w:val="single" w:sz="8" w:color="auto"/>
            </w:tcBorders>
          </w:tcPr>
          <w:p>
            <w:pPr>
              <w:spacing w:after="0"/>
              <w:rPr>
                <w:sz w:val="18"/>
                <w:szCs w:val="18"/>
                <w:color w:val="auto"/>
              </w:rPr>
            </w:pPr>
          </w:p>
        </w:tc>
      </w:tr>
      <w:tr>
        <w:trPr>
          <w:trHeight w:val="232"/>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6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6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Wink to Webster Pipeline LLC</w:t>
            </w:r>
            <w:r>
              <w:rPr>
                <w:rFonts w:ascii="Arial" w:cs="Arial" w:eastAsia="Arial" w:hAnsi="Arial"/>
                <w:sz w:val="23"/>
                <w:szCs w:val="23"/>
                <w:color w:val="auto"/>
                <w:vertAlign w:val="superscript"/>
              </w:rPr>
              <w:t>(1)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64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6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Amarillo Rattler, LLC</w:t>
            </w:r>
            <w:r>
              <w:rPr>
                <w:rFonts w:ascii="Arial" w:cs="Arial" w:eastAsia="Arial" w:hAnsi="Arial"/>
                <w:sz w:val="23"/>
                <w:szCs w:val="23"/>
                <w:color w:val="auto"/>
                <w:vertAlign w:val="superscript"/>
              </w:rPr>
              <w:t>(2)</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Remuda Midstream Holdings LLC</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55"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Wink to Webster joint venture is developing a crude oil pipeline (the “Wink to Webster pipeline”). The Wink to Webster pipeline’s main segment began interim service operation in the fourth quarter of 2020, and the joint venture is expected to begin full commercial operations in the first quarter of 2022.</w:t>
      </w:r>
    </w:p>
    <w:p>
      <w:pPr>
        <w:spacing w:after="0" w:line="2" w:lineRule="exact"/>
        <w:rPr>
          <w:rFonts w:ascii="Arial" w:cs="Arial" w:eastAsia="Arial" w:hAnsi="Arial"/>
          <w:sz w:val="18"/>
          <w:szCs w:val="18"/>
          <w:color w:val="auto"/>
        </w:rPr>
      </w:pPr>
    </w:p>
    <w:p>
      <w:pPr>
        <w:ind w:left="340" w:right="20" w:hanging="332"/>
        <w:spacing w:after="0" w:line="260"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ownership interest in Amarillo Rattler was 50% at December 31, 2020. See Note 4—</w:t>
      </w:r>
      <w:hyperlink w:anchor="page98">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discussion regarding the sale of this equity method investment during the second quarter of 2021.</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(loss) and distributions from Rattler’s equity method investees were not material for the years ended December 31, 2021, 2020 or 2019.</w:t>
      </w:r>
    </w:p>
    <w:p>
      <w:pPr>
        <w:spacing w:after="0" w:line="2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reviews its equity method investments to determine if a loss in value which is other than temporary has occurred when events indicate the carrying value of the investment may not be recoverable. Based on indicators present at December 31, 2021, the Company reviewed its investment in EPIC and determined the carrying value of the investment was less than its estimated fair value due to a reduction in expected future cash flow. However, based on the Company’s review of various factors leading to the decline in the fair value of the investment, it was determined the carrying value of the EPIC investment will recover in the near term and therefore an other than temporary impairment in the carrying value of the EPIC equity method investment did not exist at December 31, 2021. However, should the conclusions on certain factors included in the Company’s analysis, including estimates of EPIC’s future cash flows, change, the Company may recognize an impairment that could materially impact it’s consolidated financial statements. No significant impairments were recorded for Rattler’s equity method investments for the years ended December 31, 2020 or 2019. Rattler’s investees all serve customers in the oil and natural gas industry, which experienced economic challenges due to the COVID-19 pandemic and other macroeconomic factors during 2020 prior to recovering in 2021. If similar economic challenges occur in future interim periods, it could result in circumstances requiring Rattler to record potentially material impairment charges on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69"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debt consisted of the following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tcBorders>
              <w:bottom w:val="single" w:sz="8" w:color="auto"/>
            </w:tcBorders>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2020</w:t>
            </w:r>
          </w:p>
        </w:tc>
      </w:tr>
      <w:tr>
        <w:trPr>
          <w:trHeight w:val="210"/>
        </w:trPr>
        <w:tc>
          <w:tcPr>
            <w:tcW w:w="6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rPr>
              <w:t>(In millions)</w:t>
            </w:r>
          </w:p>
        </w:tc>
        <w:tc>
          <w:tcPr>
            <w:tcW w:w="1380" w:type="dxa"/>
            <w:vAlign w:val="bottom"/>
          </w:tcPr>
          <w:p>
            <w:pPr>
              <w:spacing w:after="0"/>
              <w:rPr>
                <w:sz w:val="18"/>
                <w:szCs w:val="18"/>
                <w:color w:val="auto"/>
              </w:rPr>
            </w:pPr>
          </w:p>
        </w:tc>
      </w:tr>
      <w:tr>
        <w:trPr>
          <w:trHeight w:val="232"/>
        </w:trPr>
        <w:tc>
          <w:tcPr>
            <w:tcW w:w="7100" w:type="dxa"/>
            <w:vAlign w:val="bottom"/>
            <w:gridSpan w:val="2"/>
            <w:shd w:val="clear" w:color="auto" w:fill="CCEEFF"/>
          </w:tcPr>
          <w:p>
            <w:pPr>
              <w:ind w:left="20"/>
              <w:spacing w:after="0" w:line="232" w:lineRule="exact"/>
              <w:rPr>
                <w:sz w:val="20"/>
                <w:szCs w:val="20"/>
                <w:color w:val="auto"/>
              </w:rPr>
            </w:pPr>
            <w:r>
              <w:rPr>
                <w:rFonts w:ascii="Arial" w:cs="Arial" w:eastAsia="Arial" w:hAnsi="Arial"/>
                <w:sz w:val="18"/>
                <w:szCs w:val="18"/>
                <w:color w:val="auto"/>
              </w:rPr>
              <w:t>4.625% Notes due 2021</w:t>
            </w:r>
            <w:r>
              <w:rPr>
                <w:rFonts w:ascii="Arial" w:cs="Arial" w:eastAsia="Arial" w:hAnsi="Arial"/>
                <w:sz w:val="23"/>
                <w:szCs w:val="23"/>
                <w:color w:val="auto"/>
                <w:vertAlign w:val="superscript"/>
              </w:rPr>
              <w:t>(1)</w:t>
            </w:r>
          </w:p>
        </w:tc>
        <w:tc>
          <w:tcPr>
            <w:tcW w:w="1360" w:type="dxa"/>
            <w:vAlign w:val="bottom"/>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5.375%</w:t>
            </w:r>
          </w:p>
        </w:tc>
        <w:tc>
          <w:tcPr>
            <w:tcW w:w="6500" w:type="dxa"/>
            <w:vAlign w:val="bottom"/>
          </w:tcPr>
          <w:p>
            <w:pPr>
              <w:ind w:left="20"/>
              <w:spacing w:after="0" w:line="230" w:lineRule="exact"/>
              <w:rPr>
                <w:sz w:val="20"/>
                <w:szCs w:val="20"/>
                <w:color w:val="auto"/>
              </w:rPr>
            </w:pPr>
            <w:r>
              <w:rPr>
                <w:rFonts w:ascii="Arial" w:cs="Arial" w:eastAsia="Arial" w:hAnsi="Arial"/>
                <w:sz w:val="18"/>
                <w:szCs w:val="18"/>
                <w:color w:val="auto"/>
              </w:rPr>
              <w:t>Senior Notes due 2022</w:t>
            </w:r>
            <w:r>
              <w:rPr>
                <w:rFonts w:ascii="Arial" w:cs="Arial" w:eastAsia="Arial" w:hAnsi="Arial"/>
                <w:sz w:val="23"/>
                <w:szCs w:val="23"/>
                <w:color w:val="auto"/>
                <w:vertAlign w:val="superscript"/>
              </w:rPr>
              <w:t>(3)</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7.320%</w:t>
            </w:r>
          </w:p>
        </w:tc>
        <w:tc>
          <w:tcPr>
            <w:tcW w:w="6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Medium-term Notes, Series A, due 2022</w:t>
            </w:r>
            <w:r>
              <w:rPr>
                <w:rFonts w:ascii="Arial" w:cs="Arial" w:eastAsia="Arial" w:hAnsi="Arial"/>
                <w:sz w:val="23"/>
                <w:szCs w:val="23"/>
                <w:color w:val="auto"/>
                <w:vertAlign w:val="superscript"/>
              </w:rPr>
              <w:t>(4)</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5.250%</w:t>
            </w:r>
          </w:p>
        </w:tc>
        <w:tc>
          <w:tcPr>
            <w:tcW w:w="6500" w:type="dxa"/>
            <w:vAlign w:val="bottom"/>
          </w:tcPr>
          <w:p>
            <w:pPr>
              <w:ind w:left="20"/>
              <w:spacing w:after="0" w:line="230" w:lineRule="exact"/>
              <w:rPr>
                <w:sz w:val="20"/>
                <w:szCs w:val="20"/>
                <w:color w:val="auto"/>
              </w:rPr>
            </w:pPr>
            <w:r>
              <w:rPr>
                <w:rFonts w:ascii="Arial" w:cs="Arial" w:eastAsia="Arial" w:hAnsi="Arial"/>
                <w:sz w:val="18"/>
                <w:szCs w:val="18"/>
                <w:color w:val="auto"/>
              </w:rPr>
              <w:t>Senior Notes due 2023</w:t>
            </w:r>
            <w:r>
              <w:rPr>
                <w:rFonts w:ascii="Arial" w:cs="Arial" w:eastAsia="Arial" w:hAnsi="Arial"/>
                <w:sz w:val="23"/>
                <w:szCs w:val="23"/>
                <w:color w:val="auto"/>
                <w:vertAlign w:val="superscript"/>
              </w:rPr>
              <w:t>(3)</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2.875%</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4.750%</w:t>
            </w:r>
          </w:p>
        </w:tc>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Notes due 2025</w:t>
            </w:r>
            <w:r>
              <w:rPr>
                <w:rFonts w:ascii="Arial" w:cs="Arial" w:eastAsia="Arial" w:hAnsi="Arial"/>
                <w:sz w:val="23"/>
                <w:szCs w:val="23"/>
                <w:color w:val="auto"/>
                <w:vertAlign w:val="superscript"/>
              </w:rPr>
              <w:t>(2)</w:t>
            </w:r>
          </w:p>
        </w:tc>
        <w:tc>
          <w:tcPr>
            <w:tcW w:w="1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3.250%</w:t>
            </w:r>
          </w:p>
        </w:tc>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2026</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5.625%</w:t>
            </w:r>
          </w:p>
        </w:tc>
        <w:tc>
          <w:tcPr>
            <w:tcW w:w="6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Notes due 2026</w:t>
            </w:r>
            <w:r>
              <w:rPr>
                <w:rFonts w:ascii="Arial" w:cs="Arial" w:eastAsia="Arial" w:hAnsi="Arial"/>
                <w:sz w:val="23"/>
                <w:szCs w:val="23"/>
                <w:color w:val="auto"/>
                <w:vertAlign w:val="superscript"/>
              </w:rPr>
              <w:t>(3)</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7.125%</w:t>
            </w:r>
          </w:p>
        </w:tc>
        <w:tc>
          <w:tcPr>
            <w:tcW w:w="6500" w:type="dxa"/>
            <w:vAlign w:val="bottom"/>
          </w:tcPr>
          <w:p>
            <w:pPr>
              <w:ind w:left="20"/>
              <w:spacing w:after="0" w:line="230" w:lineRule="exact"/>
              <w:rPr>
                <w:sz w:val="20"/>
                <w:szCs w:val="20"/>
                <w:color w:val="auto"/>
              </w:rPr>
            </w:pPr>
            <w:r>
              <w:rPr>
                <w:rFonts w:ascii="Arial" w:cs="Arial" w:eastAsia="Arial" w:hAnsi="Arial"/>
                <w:sz w:val="18"/>
                <w:szCs w:val="18"/>
                <w:color w:val="auto"/>
              </w:rPr>
              <w:t>Medium-term Notes, Series B, due 2028</w:t>
            </w:r>
            <w:r>
              <w:rPr>
                <w:rFonts w:ascii="Arial" w:cs="Arial" w:eastAsia="Arial" w:hAnsi="Arial"/>
                <w:sz w:val="23"/>
                <w:szCs w:val="23"/>
                <w:color w:val="auto"/>
                <w:vertAlign w:val="superscript"/>
              </w:rPr>
              <w:t>(4)</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3.500%</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2029</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3.125%</w:t>
            </w:r>
          </w:p>
        </w:tc>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2031</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4.400%</w:t>
            </w: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2051</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DrillCo Agreement</w:t>
            </w:r>
            <w:r>
              <w:rPr>
                <w:rFonts w:ascii="Arial" w:cs="Arial" w:eastAsia="Arial" w:hAnsi="Arial"/>
                <w:sz w:val="23"/>
                <w:szCs w:val="23"/>
                <w:color w:val="auto"/>
                <w:vertAlign w:val="superscript"/>
              </w:rPr>
              <w:t>(5)</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Unamortized discount costs</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premium costs</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1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Fair value of interest rate swap agreements</w:t>
            </w:r>
            <w:r>
              <w:rPr>
                <w:rFonts w:ascii="Arial" w:cs="Arial" w:eastAsia="Arial" w:hAnsi="Arial"/>
                <w:sz w:val="23"/>
                <w:szCs w:val="23"/>
                <w:color w:val="auto"/>
                <w:vertAlign w:val="superscript"/>
              </w:rPr>
              <w:t>(6)</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Viper revolving credit facility</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Viper 5.375% Senior Notes due 2027</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Rattler revolving credit facility</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Rattler 5.625% Senior Notes due 2025</w:t>
            </w: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Total debt, net</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5,815</w:t>
            </w: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Total long-term debt</w:t>
            </w:r>
          </w:p>
        </w:tc>
        <w:tc>
          <w:tcPr>
            <w:tcW w:w="1360" w:type="dxa"/>
            <w:vAlign w:val="bottom"/>
            <w:tcBorders>
              <w:bottom w:val="single" w:sz="8" w:color="auto"/>
            </w:tcBorders>
          </w:tcPr>
          <w:p>
            <w:pPr>
              <w:jc w:val="right"/>
              <w:ind w:right="115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r>
      <w:tr>
        <w:trPr>
          <w:trHeight w:val="20"/>
        </w:trPr>
        <w:tc>
          <w:tcPr>
            <w:tcW w:w="6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line="258" w:lineRule="auto"/>
        <w:tabs>
          <w:tab w:leader="none" w:pos="4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June 2021, the Company redeemed the remaining $191 million principal amount of outstanding legacy 4.625% senior notes due September 1, 2021 of Energen.</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August 2021, the Company redeemed the remaining $432 million principal amount of its outstanding 5.375% 2025 Senior Notes.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At the effective time of the QEP Merger, QEP became a wholly owned subsidiary of the Company and remained the issuer of these senior notes.</w:t>
      </w:r>
    </w:p>
    <w:p>
      <w:pPr>
        <w:spacing w:after="0" w:line="32" w:lineRule="exact"/>
        <w:rPr>
          <w:rFonts w:ascii="Arial" w:cs="Arial" w:eastAsia="Arial" w:hAnsi="Arial"/>
          <w:sz w:val="16"/>
          <w:szCs w:val="16"/>
          <w:color w:val="auto"/>
        </w:rPr>
      </w:pPr>
    </w:p>
    <w:p>
      <w:pPr>
        <w:ind w:left="340" w:hanging="332"/>
        <w:spacing w:after="0" w:line="250" w:lineRule="auto"/>
        <w:tabs>
          <w:tab w:leader="none" w:pos="4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November 2018, Energen became the Company’s wholly owned subsidiary and remained the issuer of these senior notes. In connection with the E&amp;P Merger, Diamondback E&amp;P became the successor issuer under the indenture.</w:t>
      </w:r>
    </w:p>
    <w:p>
      <w:pPr>
        <w:jc w:val="both"/>
        <w:ind w:left="340" w:right="20" w:hanging="332"/>
        <w:spacing w:after="0" w:line="265" w:lineRule="auto"/>
        <w:tabs>
          <w:tab w:leader="none" w:pos="53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entered into a participation and development agreement (the “DrillCo Agreement”), dated September 10, 2018, with Obsidian Resources, L.L.C. (“CEMOF”) to fund oil and natural gas development. As of December 31, 2021, the amount due to CEMOF related to this alliance was $58 million. As of December 31, 2021, fifteen joint wells under this agreement have been drilled and completed.</w:t>
      </w:r>
    </w:p>
    <w:p>
      <w:pPr>
        <w:ind w:left="340" w:hanging="332"/>
        <w:spacing w:after="0" w:line="260" w:lineRule="auto"/>
        <w:tabs>
          <w:tab w:leader="none" w:pos="418" w:val="left"/>
        </w:tabs>
        <w:numPr>
          <w:ilvl w:val="0"/>
          <w:numId w:val="43"/>
        </w:numPr>
        <w:rPr>
          <w:rFonts w:ascii="Arial" w:cs="Arial" w:eastAsia="Arial" w:hAnsi="Arial"/>
          <w:sz w:val="18"/>
          <w:szCs w:val="18"/>
          <w:color w:val="0000FF"/>
        </w:rPr>
      </w:pPr>
      <w:r>
        <w:rPr>
          <w:rFonts w:ascii="Arial" w:cs="Arial" w:eastAsia="Arial" w:hAnsi="Arial"/>
          <w:sz w:val="18"/>
          <w:szCs w:val="18"/>
          <w:color w:val="auto"/>
        </w:rPr>
        <w:t xml:space="preserve">The Company has two interest rate swap agreements in place on the Company’s $1.2 billion 3.500% fixed rate senior notes due 2029. See Note 15— </w:t>
      </w:r>
      <w:hyperlink w:anchor="page123">
        <w:r>
          <w:rPr>
            <w:rFonts w:ascii="Arial" w:cs="Arial" w:eastAsia="Arial" w:hAnsi="Arial"/>
            <w:sz w:val="18"/>
            <w:szCs w:val="18"/>
            <w:u w:val="single" w:color="auto"/>
            <w:color w:val="0000FF"/>
          </w:rPr>
          <w:t>Derivatives</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additional information on the Company’s interest rate swaps designated as fair value hedges.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9" w:name="page110"/>
    <w:bookmarkEnd w:id="109"/>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left="100" w:firstLine="648"/>
        <w:spacing w:after="0" w:line="277" w:lineRule="auto"/>
        <w:rPr>
          <w:sz w:val="20"/>
          <w:szCs w:val="20"/>
          <w:color w:val="auto"/>
        </w:rPr>
      </w:pPr>
      <w:r>
        <w:rPr>
          <w:rFonts w:ascii="Arial" w:cs="Arial" w:eastAsia="Arial" w:hAnsi="Arial"/>
          <w:sz w:val="18"/>
          <w:szCs w:val="18"/>
          <w:color w:val="auto"/>
        </w:rPr>
        <w:t>Debt maturities as of December 31, 2021, excluding debt issuance costs, premiums and discounts and fair value of interest rate swap premiums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jc w:val="right"/>
              <w:ind w:right="3773"/>
              <w:spacing w:after="0"/>
              <w:rPr>
                <w:sz w:val="20"/>
                <w:szCs w:val="20"/>
                <w:color w:val="auto"/>
              </w:rPr>
            </w:pPr>
            <w:r>
              <w:rPr>
                <w:rFonts w:ascii="Arial" w:cs="Arial" w:eastAsia="Arial" w:hAnsi="Arial"/>
                <w:sz w:val="16"/>
                <w:szCs w:val="16"/>
                <w:b w:val="1"/>
                <w:bCs w:val="1"/>
                <w:color w:val="auto"/>
              </w:rPr>
              <w:t>Year Ending December 31,</w:t>
            </w:r>
          </w:p>
        </w:tc>
        <w:tc>
          <w:tcPr>
            <w:tcW w:w="1640" w:type="dxa"/>
            <w:vAlign w:val="bottom"/>
            <w:tcBorders>
              <w:bottom w:val="single" w:sz="8" w:color="auto"/>
            </w:tcBorders>
          </w:tcPr>
          <w:p>
            <w:pPr>
              <w:spacing w:after="0"/>
              <w:rPr>
                <w:sz w:val="18"/>
                <w:szCs w:val="18"/>
                <w:color w:val="auto"/>
              </w:rPr>
            </w:pPr>
          </w:p>
        </w:tc>
      </w:tr>
      <w:tr>
        <w:trPr>
          <w:trHeight w:val="207"/>
        </w:trPr>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640" w:type="dxa"/>
            <w:vAlign w:val="bottom"/>
          </w:tcPr>
          <w:p>
            <w:pPr>
              <w:jc w:val="right"/>
              <w:ind w:right="471"/>
              <w:spacing w:after="0"/>
              <w:rPr>
                <w:sz w:val="20"/>
                <w:szCs w:val="20"/>
                <w:color w:val="auto"/>
              </w:rPr>
            </w:pPr>
            <w:r>
              <w:rPr>
                <w:rFonts w:ascii="Arial" w:cs="Arial" w:eastAsia="Arial" w:hAnsi="Arial"/>
                <w:sz w:val="16"/>
                <w:szCs w:val="16"/>
                <w:b w:val="1"/>
                <w:bCs w:val="1"/>
                <w:color w:val="auto"/>
              </w:rPr>
              <w:t>(In millions)</w:t>
            </w:r>
          </w:p>
        </w:tc>
      </w:tr>
      <w:tr>
        <w:trPr>
          <w:trHeight w:val="235"/>
        </w:trPr>
        <w:tc>
          <w:tcPr>
            <w:tcW w:w="2100" w:type="dxa"/>
            <w:vAlign w:val="bottom"/>
            <w:gridSpan w:val="2"/>
          </w:tcPr>
          <w:p>
            <w:pPr>
              <w:spacing w:after="0"/>
              <w:rPr>
                <w:sz w:val="20"/>
                <w:szCs w:val="20"/>
                <w:color w:val="auto"/>
              </w:rPr>
            </w:pPr>
            <w:r>
              <w:rPr>
                <w:rFonts w:ascii="Arial" w:cs="Arial" w:eastAsia="Arial" w:hAnsi="Arial"/>
                <w:sz w:val="18"/>
                <w:szCs w:val="18"/>
                <w:color w:val="auto"/>
              </w:rPr>
              <w:t>22</w:t>
            </w:r>
          </w:p>
        </w:tc>
        <w:tc>
          <w:tcPr>
            <w:tcW w:w="72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2100" w:type="dxa"/>
            <w:vAlign w:val="bottom"/>
            <w:gridSpan w:val="2"/>
          </w:tcPr>
          <w:p>
            <w:pPr>
              <w:spacing w:after="0"/>
              <w:rPr>
                <w:sz w:val="20"/>
                <w:szCs w:val="20"/>
                <w:color w:val="auto"/>
              </w:rPr>
            </w:pPr>
            <w:r>
              <w:rPr>
                <w:rFonts w:ascii="Arial" w:cs="Arial" w:eastAsia="Arial" w:hAnsi="Arial"/>
                <w:sz w:val="18"/>
                <w:szCs w:val="18"/>
                <w:color w:val="auto"/>
              </w:rPr>
              <w:t>23</w:t>
            </w:r>
          </w:p>
        </w:tc>
        <w:tc>
          <w:tcPr>
            <w:tcW w:w="7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100" w:type="dxa"/>
            <w:vAlign w:val="bottom"/>
            <w:gridSpan w:val="2"/>
          </w:tcPr>
          <w:p>
            <w:pPr>
              <w:spacing w:after="0"/>
              <w:rPr>
                <w:sz w:val="20"/>
                <w:szCs w:val="20"/>
                <w:color w:val="auto"/>
              </w:rPr>
            </w:pPr>
            <w:r>
              <w:rPr>
                <w:rFonts w:ascii="Arial" w:cs="Arial" w:eastAsia="Arial" w:hAnsi="Arial"/>
                <w:sz w:val="18"/>
                <w:szCs w:val="18"/>
                <w:color w:val="auto"/>
              </w:rPr>
              <w:t>24</w:t>
            </w:r>
          </w:p>
        </w:tc>
        <w:tc>
          <w:tcPr>
            <w:tcW w:w="7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1,195</w:t>
            </w: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rPr>
              <w:t>25</w:t>
            </w:r>
          </w:p>
        </w:tc>
        <w:tc>
          <w:tcPr>
            <w:tcW w:w="7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1,304</w:t>
            </w:r>
          </w:p>
        </w:tc>
      </w:tr>
      <w:tr>
        <w:trPr>
          <w:trHeight w:val="229"/>
        </w:trPr>
        <w:tc>
          <w:tcPr>
            <w:tcW w:w="2100" w:type="dxa"/>
            <w:vAlign w:val="bottom"/>
            <w:gridSpan w:val="2"/>
          </w:tcPr>
          <w:p>
            <w:pPr>
              <w:spacing w:after="0"/>
              <w:rPr>
                <w:sz w:val="20"/>
                <w:szCs w:val="20"/>
                <w:color w:val="auto"/>
              </w:rPr>
            </w:pPr>
            <w:r>
              <w:rPr>
                <w:rFonts w:ascii="Arial" w:cs="Arial" w:eastAsia="Arial" w:hAnsi="Arial"/>
                <w:sz w:val="18"/>
                <w:szCs w:val="18"/>
                <w:color w:val="auto"/>
              </w:rPr>
              <w:t>26</w:t>
            </w:r>
          </w:p>
        </w:tc>
        <w:tc>
          <w:tcPr>
            <w:tcW w:w="7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rPr>
              <w:t>ereafter</w:t>
            </w:r>
          </w:p>
        </w:tc>
        <w:tc>
          <w:tcPr>
            <w:tcW w:w="72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w:t>
            </w:r>
          </w:p>
        </w:tc>
      </w:tr>
      <w:tr>
        <w:trPr>
          <w:trHeight w:val="223"/>
        </w:trPr>
        <w:tc>
          <w:tcPr>
            <w:tcW w:w="2100" w:type="dxa"/>
            <w:vAlign w:val="bottom"/>
            <w:gridSpan w:val="2"/>
          </w:tcPr>
          <w:p>
            <w:pPr>
              <w:spacing w:after="0"/>
              <w:rPr>
                <w:sz w:val="20"/>
                <w:szCs w:val="20"/>
                <w:color w:val="auto"/>
              </w:rPr>
            </w:pPr>
            <w:r>
              <w:rPr>
                <w:rFonts w:ascii="Arial" w:cs="Arial" w:eastAsia="Arial" w:hAnsi="Arial"/>
                <w:sz w:val="18"/>
                <w:szCs w:val="18"/>
                <w:color w:val="auto"/>
              </w:rPr>
              <w:t>tal</w:t>
            </w:r>
          </w:p>
        </w:tc>
        <w:tc>
          <w:tcPr>
            <w:tcW w:w="72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r>
      <w:tr>
        <w:trPr>
          <w:trHeight w:val="21"/>
        </w:trPr>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-1062355</wp:posOffset>
            </wp:positionV>
            <wp:extent cx="692658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6926580"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-770890</wp:posOffset>
            </wp:positionV>
            <wp:extent cx="692658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6926580"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-479425</wp:posOffset>
            </wp:positionV>
            <wp:extent cx="692658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6926580"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-187960</wp:posOffset>
            </wp:positionV>
            <wp:extent cx="692658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6926580" cy="171450"/>
                    </a:xfrm>
                    <a:prstGeom prst="rect">
                      <a:avLst/>
                    </a:prstGeom>
                    <a:noFill/>
                  </pic:spPr>
                </pic:pic>
              </a:graphicData>
            </a:graphic>
          </wp:anchor>
        </w:drawing>
      </w:r>
    </w:p>
    <w:p>
      <w:pPr>
        <w:spacing w:after="0" w:line="30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References in this section to the Company shall mean Diamondback Energy, Inc. and Diamondback E&amp;P, collectively, unless otherwise specified.</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52" w:lineRule="exact"/>
        <w:rPr>
          <w:sz w:val="20"/>
          <w:szCs w:val="20"/>
          <w:color w:val="auto"/>
        </w:rPr>
      </w:pPr>
    </w:p>
    <w:p>
      <w:pPr>
        <w:jc w:val="both"/>
        <w:ind w:left="100" w:firstLine="648"/>
        <w:spacing w:after="0" w:line="288" w:lineRule="auto"/>
        <w:rPr>
          <w:sz w:val="20"/>
          <w:szCs w:val="20"/>
          <w:color w:val="auto"/>
        </w:rPr>
      </w:pPr>
      <w:r>
        <w:rPr>
          <w:rFonts w:ascii="Arial" w:cs="Arial" w:eastAsia="Arial" w:hAnsi="Arial"/>
          <w:sz w:val="16"/>
          <w:szCs w:val="16"/>
          <w:color w:val="auto"/>
        </w:rPr>
        <w:t>The Company and Diamondback O&amp;G LLC, as borrower, entered into the second amended and restated credit agreement, dated November 1, 2013, as amended, with a syndicate of banks, including Wells Fargo, as administrative agent, and its affiliate Wells Fargo Securities, LLC, as sole book runner and lead arranger. On June 2, 2021, Diamondback Energy, Inc., as parent guarantor, and O&amp;G, as borrower (the “Borrower”), entered into a twelfth amendment (the “Amendment”) to the Second Amended and Restated Credit Agreement, dated as of November 1, 2013, with Wells Fargo Bank, National Association, as administrative agent (the “Administrative Agent”), and the lenders party thereto. The Amendment, among other things, (i) extended the maturity date to June 2, 2026, which may be further extended by two one-year extensions pursuant to the terms set forth in the credit agreement, (ii) decreased the total revolving loan commitments from $2.0 billion to $1.6 billion, which may be increased in an amount up to $1.0 billion (for a total maximum commitment amount of $2.6 billion) upon election of the Borrower, subject to obtaining additional lender commitments and satisfaction of customary conditions pursuant to the terms set forth in the credit agreement, (iii) added the ability of the Borrower to incur up to $100 million of the loans under the credit agreement as swingline loans and (iv) changed the interest rate applicable to the loans and certain fees payable under the credit agreement.</w:t>
      </w:r>
    </w:p>
    <w:p>
      <w:pPr>
        <w:spacing w:after="0" w:line="195" w:lineRule="exact"/>
        <w:rPr>
          <w:sz w:val="20"/>
          <w:szCs w:val="20"/>
          <w:color w:val="auto"/>
        </w:rPr>
      </w:pPr>
    </w:p>
    <w:p>
      <w:pPr>
        <w:jc w:val="both"/>
        <w:ind w:left="100" w:firstLine="648"/>
        <w:spacing w:after="0" w:line="273" w:lineRule="auto"/>
        <w:rPr>
          <w:sz w:val="20"/>
          <w:szCs w:val="20"/>
          <w:color w:val="auto"/>
        </w:rPr>
      </w:pPr>
      <w:r>
        <w:rPr>
          <w:rFonts w:ascii="Arial" w:cs="Arial" w:eastAsia="Arial" w:hAnsi="Arial"/>
          <w:sz w:val="17"/>
          <w:szCs w:val="17"/>
          <w:color w:val="auto"/>
        </w:rPr>
        <w:t>Outstanding borrowings under the credit agreement bear interest at a per annum rate elected by the Borrower that is equal to an alternate base rate (which is equal to the greatest of the prime rate, the Federal Funds effective rate plus 0.50%, and 3-month LIBOR plus 1.0%) or LIBOR, in each case plus the applicable margin. After giving effect to the Amendment, (i) the applicable margin ranges from 0.250% to 1.125% per annum in the case of the alternate base rate, and from 1.250% to 2.125% per annum in the case of LIBOR, in each case based on the pricing level, and (ii) the commitment fee ranges from 0.150% to 0.350% per annum on the average daily unused portion of the commitments, based on the pricing level. The pricing level depends on certain ratings agencies’ ratings of the Company’s long-term senior unsecured debt.</w:t>
      </w:r>
    </w:p>
    <w:p>
      <w:pPr>
        <w:spacing w:after="0" w:line="205" w:lineRule="exact"/>
        <w:rPr>
          <w:sz w:val="20"/>
          <w:szCs w:val="20"/>
          <w:color w:val="auto"/>
        </w:rPr>
      </w:pPr>
    </w:p>
    <w:p>
      <w:pPr>
        <w:jc w:val="both"/>
        <w:ind w:left="100" w:firstLine="648"/>
        <w:spacing w:after="0" w:line="257" w:lineRule="auto"/>
        <w:rPr>
          <w:sz w:val="20"/>
          <w:szCs w:val="20"/>
          <w:color w:val="auto"/>
        </w:rPr>
      </w:pPr>
      <w:r>
        <w:rPr>
          <w:rFonts w:ascii="Arial" w:cs="Arial" w:eastAsia="Arial" w:hAnsi="Arial"/>
          <w:sz w:val="18"/>
          <w:szCs w:val="18"/>
          <w:color w:val="auto"/>
        </w:rPr>
        <w:t>On June 30, 2021, Diamondback E&amp;P, as successor borrower to Diamondback O&amp;G LLC, Diamondback Energy, Inc., as parent guarantor, and the Administrative Agent entered into a Successor Borrower Joinder Agreement (the “Joinder Agreement”) in connection with the E&amp;P Merger. Pursuant to the Joinder Agreement, Diamondback E&amp;P assumed all obligations (including, without limitation, all of the indebtedness) of O&amp;G as the borrower under the credit agreement, the Second Amended and Restated Guaranty Agreement, dated as of November 20, 2019, made by O&amp;G and Diamondback Energy, Inc., and the other documents entered into connection therewith.</w:t>
      </w:r>
    </w:p>
    <w:p>
      <w:pPr>
        <w:spacing w:after="0" w:line="215" w:lineRule="exact"/>
        <w:rPr>
          <w:sz w:val="20"/>
          <w:szCs w:val="20"/>
          <w:color w:val="auto"/>
        </w:rPr>
      </w:pPr>
    </w:p>
    <w:p>
      <w:pPr>
        <w:jc w:val="both"/>
        <w:ind w:left="100" w:firstLine="648"/>
        <w:spacing w:after="0" w:line="259" w:lineRule="auto"/>
        <w:rPr>
          <w:sz w:val="20"/>
          <w:szCs w:val="20"/>
          <w:color w:val="auto"/>
        </w:rPr>
      </w:pPr>
      <w:r>
        <w:rPr>
          <w:rFonts w:ascii="Arial" w:cs="Arial" w:eastAsia="Arial" w:hAnsi="Arial"/>
          <w:sz w:val="18"/>
          <w:szCs w:val="18"/>
          <w:color w:val="auto"/>
        </w:rPr>
        <w:t>As of December 31, 2021, the maximum credit amount available under the credit agreement is $1.6 billion which was fully available for future borrowings, except for an aggregate of $3 million in outstanding letters of credit, which reduce available borrowings under the credit agreement on a dollar for dollar basis. The weighted average interest rate on borrowings under the credit agreement was 1.67%, 2.02% and 4.10%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364"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 principal may be optionally repaid from time to time without premium or penalty (other than customary LIBOR breakage). Loan principal is required to be repaid (a) to the extent the loan amount exceeds the commitment due to any termination or reduction of the aggregate maximum credit amount and (b) at the maturity date of November 1, 2022.</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credit agreement contains a financial covenant that requires us to maintain a Total Net Debt to Capitalization Ratio (as defined in the credit agreement) of no more than 65%. Our non-guarantor restricted subsidiaries may incur debt for borrowed money in an aggregate principal amount up to 15% of consolidated net tangible assets (as defined in the credit agreement) and we and our restricted subsidiaries may incur liens if the aggregate amount of debt secured by such liens does not exceed 15% of consolidated net tangible assets. As of December 31, 2021 and 2020, the Company was in compliance with all financial maintenance covenants under the revolving credit facility, as then in effect.</w:t>
      </w:r>
    </w:p>
    <w:p>
      <w:pPr>
        <w:spacing w:after="0" w:line="20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lenders may accelerate all of the indebtedness under the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Issuances of Notes</w:t>
      </w:r>
    </w:p>
    <w:p>
      <w:pPr>
        <w:spacing w:after="0" w:line="23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On March 24, 2021, Diamondback Energy, Inc. issued $650 million aggregate principal amount of 0.900% Senior Notes due March 24, 2023 (the “2023 Notes”), $900 million aggregate principal amount of 3.125% Senior Notes due March 24, 2031 (the “2031 Notes”) and $650 million aggregate principal amount of 4.400% Senior Notes due March 24, 2051 (the “2051 Notes” and together with the 2023 Notes and the 2031 Notes, the “March 2021 Notes”) and received proceeds, net of $24 million in debt issuance costs and discounts, of $2.18 billion. The net proceeds were primarily used to fund the repurchase of other senior notes outstanding as discussed further below. Interest on the March 2021 Notes is payable semi-annually in March and September, beginning in September 2021. The Company redeemed the 2023 Notes in November 2021 as discussed in “—Redemptions of Diamondback Notes” below.</w:t>
      </w:r>
    </w:p>
    <w:p>
      <w:pPr>
        <w:spacing w:after="0" w:line="22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2031 Notes and the 2051 Notes are the Company’s senior unsecured obligations and are fully and unconditionally guaranteed by Diamondback E&amp;P. The 2031 Notes and the 2051 Notes are senior in right of payment to any of the Company’s future subordinated indebtedness and rank equal in right of payment with all of the Company’s existing and future senior indebtedness. The 2031 Notes and the 2051 Notes are effectively subordinated to the Company’s existing and future secured indebtedness, if any, to the extent of the value of the collateral securing such indebtedness, and structurally subordinated to all of the existing and future indebtedness and other liabilities of the Company’s subsidiaries other than Diamondback E&amp;P.</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redeem (i) the 2031 Notes in whole or in part at any time prior to December 24, 2030 and (ii) the 2051 Notes in whole or in part at any time prior to September 24, 2050, in each case at the redemption price set forth in the IG Indenture. If the 2031 Notes or the 2051 Notes are redeemed on or after the dates noted above, in each case, they may be redeemed at a redemption price equal to 100% of the principal amount of the 2031 Notes or 2051 Notes to be redeemed plus interest accrued thereon to but not including the redemption date.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occurrence of a change of control triggering event as defined in the IG Indenture, holders may require the Company to purchase some or all of its 2031 Notes or 2051 Notes for cash at a price equal to 101% of the principal amount being purchased, plus accrued and unpaid interest, if any, to the date of purchase.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Redemptions of Notes</w:t>
      </w:r>
    </w:p>
    <w:p>
      <w:pPr>
        <w:spacing w:after="0" w:line="252" w:lineRule="exact"/>
        <w:rPr>
          <w:sz w:val="20"/>
          <w:szCs w:val="20"/>
          <w:color w:val="auto"/>
        </w:rPr>
      </w:pPr>
    </w:p>
    <w:p>
      <w:pPr>
        <w:jc w:val="both"/>
        <w:ind w:firstLine="648"/>
        <w:spacing w:after="0" w:line="254" w:lineRule="auto"/>
        <w:rPr>
          <w:rFonts w:ascii="Arial" w:cs="Arial" w:eastAsia="Arial" w:hAnsi="Arial"/>
          <w:sz w:val="18"/>
          <w:szCs w:val="18"/>
          <w:color w:val="auto"/>
        </w:rPr>
      </w:pPr>
      <w:r>
        <w:rPr>
          <w:rFonts w:ascii="Arial" w:cs="Arial" w:eastAsia="Arial" w:hAnsi="Arial"/>
          <w:sz w:val="18"/>
          <w:szCs w:val="18"/>
          <w:color w:val="auto"/>
        </w:rPr>
        <w:t>On March 17, 2021, at the time of the QEP Merger discussed in Note 4—</w:t>
      </w:r>
      <w:hyperlink w:anchor="page98">
        <w:r>
          <w:rPr>
            <w:rFonts w:ascii="Arial" w:cs="Arial" w:eastAsia="Arial" w:hAnsi="Arial"/>
            <w:sz w:val="18"/>
            <w:szCs w:val="18"/>
            <w:u w:val="single" w:color="auto"/>
            <w:color w:val="0000FF"/>
          </w:rPr>
          <w:t>Acquisitions and Divestitures</w:t>
        </w:r>
      </w:hyperlink>
      <w:r>
        <w:rPr>
          <w:rFonts w:ascii="Arial" w:cs="Arial" w:eastAsia="Arial" w:hAnsi="Arial"/>
          <w:sz w:val="18"/>
          <w:szCs w:val="18"/>
          <w:color w:val="auto"/>
        </w:rPr>
        <w:t>, QEP had outstanding debt at fair values consisting of $478 million of 5.375% Senior Notes due 2022 (the “QEP 2022 Notes”), $673 million of 5.250% Senior Notes due 2023 (the “QEP 2023 Notes”) and $558 million of 5.625% Senior Notes due 2026 (the “QEP 2026 Notes” and together with the QEP 2022 Notes and QEP 2023 Notes, the “QEP Notes”). Subsequent to the QEP Merger, in March 2021, the Company repurchased pursuant to tender offers commenced by the Company, approximately $1.65 billion in fair value carrying amount of the QEP Notes for total cash consideration of $1.7 billion, including redemption and early premium fees of $152 million, which resulted in a loss on extinguishment of debt during the year ended December 31, 2021 of approximately $47 million. The aggregate fair value of the QEP Notes repurchased consisted of (i) $453 million, or 94.65%, of the outstanding fair value carrying amount of the QEP 2022 Notes, (ii) $663 million, or 98.43%, of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fair value carrying amount of the QEP 2023 Notes and (iii) $538 million, or 96.35%, of the outstanding fair value carrying amount of the QEP 2026 Notes.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March 2021, the Company also repurchased an aggregate of $368 million principal amount of its 5.375% 2025 Senior Notes representing approximately 45.97% of the outstanding 2025 Senior Notes, for total cash consideration of $381 million, including redemption and early premium fees of $13 million. This resulted in a loss on extinguishment of debt during the year ended December 31, 2021 of $14 million. The Company funded the repurchases of the QEP Notes and 2025 Senior Notes with the proceeds from the March 2021 Notes offering discussed above.</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tender offers to repurchase the QEP Notes discussed above, the Company also solicited consents from holders of the QEP Notes to amend the indenture for the QEP Notes to, among other things, eliminate substantially all of the restrictive covenants and related provisions and certain events of default contained in the indenture under which the QEP Notes were issued. The Company received the requisite number of consents and, on March 23, 2021, entered into a supplemental indenture relating to the QEP Notes adopting these amendments.</w:t>
      </w:r>
    </w:p>
    <w:p>
      <w:pPr>
        <w:spacing w:after="0" w:line="198" w:lineRule="exact"/>
        <w:rPr>
          <w:sz w:val="20"/>
          <w:szCs w:val="20"/>
          <w:color w:val="auto"/>
        </w:rPr>
      </w:pPr>
    </w:p>
    <w:p>
      <w:pPr>
        <w:jc w:val="both"/>
        <w:ind w:firstLine="648"/>
        <w:spacing w:after="0" w:line="279" w:lineRule="auto"/>
        <w:rPr>
          <w:rFonts w:ascii="Arial" w:cs="Arial" w:eastAsia="Arial" w:hAnsi="Arial"/>
          <w:sz w:val="17"/>
          <w:szCs w:val="17"/>
          <w:color w:val="auto"/>
        </w:rPr>
      </w:pPr>
      <w:r>
        <w:rPr>
          <w:rFonts w:ascii="Arial" w:cs="Arial" w:eastAsia="Arial" w:hAnsi="Arial"/>
          <w:sz w:val="17"/>
          <w:szCs w:val="17"/>
          <w:color w:val="auto"/>
        </w:rPr>
        <w:t>In June 2021, the Company redeemed the remaining $191 million principal amount of the outstanding 4.625% senior notes of Energen due on September 1, 2021. The Company recorded an immaterial pre-tax loss on extinguishment of debt related to the redemption, which included the write-off of unamortized debt discounts associated with the redeemed notes. The Company funded the redemption with internally generated cash flow from operations as well as proceeds from the divestitures of certain non-core assets as discussed in Note 4—</w:t>
      </w:r>
      <w:hyperlink w:anchor="page98">
        <w:r>
          <w:rPr>
            <w:rFonts w:ascii="Arial" w:cs="Arial" w:eastAsia="Arial" w:hAnsi="Arial"/>
            <w:sz w:val="17"/>
            <w:szCs w:val="17"/>
            <w:u w:val="single" w:color="auto"/>
            <w:color w:val="0000FF"/>
          </w:rPr>
          <w:t>Acquisitions and Divestitures</w:t>
        </w:r>
      </w:hyperlink>
      <w:r>
        <w:rPr>
          <w:rFonts w:ascii="Arial" w:cs="Arial" w:eastAsia="Arial" w:hAnsi="Arial"/>
          <w:sz w:val="17"/>
          <w:szCs w:val="17"/>
          <w:color w:val="auto"/>
        </w:rPr>
        <w:t>.</w:t>
      </w:r>
    </w:p>
    <w:p>
      <w:pPr>
        <w:spacing w:after="0" w:line="19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August 2021, the Company redeemed the remaining $432 million principal amount of its outstanding 5.375% 2025 Senior Notes for total cash consideration of $449 million, including redemption and early premium fees of $12 million, which resulted in a loss on extinguishment of debt during the year ended December 31, 2021 of $12 million. The Company funded the redemption with cash on hand and borrowings under its revolving credit facility.</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1, 2021, the Company redeemed the aggregate $650 million principal amount of its outstanding 2023 Notes at a redemption price equal to 100% of the principal amount, plus accrued and unpaid interest up to, but not including, the redemption date. The Company funded the redemption with proceeds received from the divestiture of its Williston Basin assets and cash on hand.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June 2, 2021, Viper LLC entered into the seventh amendment to the existing credit agreement, which (i) extended the maturity date under the credit agreement to June 2, 2025, (ii) changed the interest rates applicable to the loans under the credit agreement and certain fees payable under the credit agreement, and (iii) added a financial covenant requiring the ratio of secured debt to EBITDAX (as each is defined in the credit agreement) to be not greater than 2.50 to 1.0. On November 15, 2021, Viper LLC entered into the eighth amendment to the existing credit agreement, which maintained the maximum amount of the revolving credit facility of $2.0 billion, reaffirmed the borrowing base of $580 million based on Viper LLC’s oil and natural gas reserves and other factors and added new provisions that allow Viper LLC to elect a commitment amount that is less than its borrowing base as determined by the lenders. The borrowing base is scheduled to be redetermined semi-annually in May and November. In addition, Viper LLC and Wells Fargo may each request up to three interim redeterminations of the borrowing base during any 12-month period. As of December 31, 2021, Viper LLC had elected a commitment amount of $500 million, with $304 million of outstanding borrowings and $196 million available for future borrowings under the Viper credit agreement.</w:t>
      </w:r>
    </w:p>
    <w:p>
      <w:pPr>
        <w:spacing w:after="0" w:line="21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outstanding borrowings under the Viper credit agreement bear interest at a rate elected by Viper LLC that is equal to an alternate base rate (which is equal to the greatest of the prime rate, the Federal Funds effective rate plus 0.50% and 3-month LIBOR plus 1.0%) or LIBOR, in each case plus the applicable margin. The applicable margin ranges from 1.00% to 2.00% per annum in the case of the alternate base rate and from 2.00% to 3.00% per annum in the case of LIBOR, in each case depending on the amount of loans outstanding in relation to the commitment, which is calculated using the least of the maximum credit amount, the aggregate elected commitment amount and the borrowing base. Viper LLC is obligated to pay a quarterly commitment fee ranging from 0.375% to 0.500% per year on the unused portion of the commitment, which is also dependent on the amount of loans and letters of credit outstanding in relation to the commitment. Loan principal may be optionally repaid from time to time without premium or penalty (other than customary breakage), and is required to be repaid (i) to the extent the loan amount exceeds the commitment or the borrowing base, whether due to a borrowing base redetermination or otherwise (in some cases subject to a cure period), (ii) in an amount equal to the net cash proceeds from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sale of property when a borrowing base deficiency or event of default exists under the credit agreement and (iii) at the maturity date. The loan is secured by substantially all of the assets of Viper and Viper LLC. The weighted average interest rates on borrowings under the Viper credit agreement were 2.35%, 2.20%, and 4.51% for the years ended December 31, 2021, 2020 and 2019, respectively.</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Covenant</w:t>
            </w:r>
          </w:p>
        </w:tc>
        <w:tc>
          <w:tcPr>
            <w:tcW w:w="3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Required Ratio</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total net debt to EBITDAX, as defined in the Viper credit agreement</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greater than 4.0 to 1.0</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Ratio of current assets to liabilities, as defined in the Viper credit agreement</w:t>
            </w:r>
          </w:p>
        </w:tc>
        <w:tc>
          <w:tcPr>
            <w:tcW w:w="3780" w:type="dxa"/>
            <w:vAlign w:val="bottom"/>
          </w:tcPr>
          <w:p>
            <w:pPr>
              <w:jc w:val="right"/>
              <w:spacing w:after="0"/>
              <w:rPr>
                <w:sz w:val="20"/>
                <w:szCs w:val="20"/>
                <w:color w:val="auto"/>
              </w:rPr>
            </w:pPr>
            <w:r>
              <w:rPr>
                <w:rFonts w:ascii="Arial" w:cs="Arial" w:eastAsia="Arial" w:hAnsi="Arial"/>
                <w:sz w:val="18"/>
                <w:szCs w:val="18"/>
                <w:color w:val="auto"/>
              </w:rPr>
              <w:t>Not less than 1.0 to 1.0</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secured debt to EBITDAX, as defined in the Viper credit agreement</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greater than 2.5 to 1.0</w:t>
            </w:r>
          </w:p>
        </w:tc>
      </w:tr>
    </w:tbl>
    <w:p>
      <w:pPr>
        <w:spacing w:after="0" w:line="3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December 31, 2021, Viper LLC was in compliance with all financial maintenance covenants under the Viper credit agreement. The lenders may accelerate all of the indebtedness under the Viper credit agreement upon the occurrence and during the continuance of any event of default. The Viper credit agreement contains customary events of default, including non-payment, breach of covenants, materially incorrect representations, cross-default, bankruptcy and change of control. With certain specified exceptions, the terms and provisions of the credit agreement generally may be amended with the consent of the lenders holding a majority of the outstanding loans or commitments to lend.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Rattler Offering, Rattler, as parent, and Rattler LLC, as borrower, entered into a credit agreement, dated May 28, 2019, with Wells Fargo, as administrative agent, and a syndicate of banks, as lenders party thereto (the “Rattler credit agreement”).</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Rattler credit agreement, as amended, provides for a revolving credit facility in the maximum credit amount of $600 million, which is expandable to $1.0 billion upon Rattler’s election, subject to obtaining additional lender commitments and satisfaction of customary conditions. Loan principal may be optionally repaid from time to time without premium or penalty (other than customary breakage), and is required to be paid at the maturity date of May 28, 2024. The Rattler credit agreement is guaranteed by Rattler, Tall City, Rattler OMOG LLC, Rattler Ajax Processing LLC, Rattler WTG LLC and Rattler Holdings and is secured by substantially all of the assets of Rattler and Rattler LLC. On December 21, 2021, Rattler, as parent, entered into a third amendment (the “Third Amendment”) to the Credit Agreement, dated as of May 28, 2019, with Rattler LLC, as borrower, Wells Fargo Bank, National Association, as administrative agent, and the lenders from time to time party thereto to, among other things, (i) permit the Rattler internal reorganization, including, without limitation, the formation of Rattler Holdings LLC (“Rattler Holdings”) and the contribution of 100% of the limited liability company interests Rattler held in Rattler LLC to Rattler Holdings and (ii) provide for the addition of Rattler Holdings as a guarantor and restricted subsidiary. As of December 31, 2021, Rattler LLC had $195 million of outstanding borrowings and $405 million available for future borrowings under the Rattler credit agreement.</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outstanding borrowings under the Rattler credit agreement bear interest at a rate elected by Rattler LLC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Rattler credit agreement). Rattler LLC is obligated to pay a quarterly commitment fee ranging from 0.250% to 0.375% per annum on the unused portion of the commitment, which fee is also dependent on the Consolidated Total Leverage Ratio. The weighted average interest rates on borrowings under the Rattler credit agreement were 1.41%, 2.10%, and 3.13%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Rattler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Rattler, Rattler LLC and their restricted subsidiaries. The covenants are subject to exceptions set forth in the Rattler credit agreement, including an exception allowing Rattler or Rattler LLC to issue unsecured debt securities and an exception allowing payment of distributions if no default exists.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Rattler credit agreement also contains financial maintenance covenants that require the maintenance of the financial ratios described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Financial Covenant</w:t>
            </w: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Required Ratio</w:t>
            </w:r>
          </w:p>
        </w:tc>
        <w:tc>
          <w:tcPr>
            <w:tcW w:w="0" w:type="dxa"/>
            <w:vAlign w:val="bottom"/>
          </w:tcPr>
          <w:p>
            <w:pPr>
              <w:spacing w:after="0"/>
              <w:rPr>
                <w:sz w:val="1"/>
                <w:szCs w:val="1"/>
                <w:color w:val="auto"/>
              </w:rPr>
            </w:pPr>
          </w:p>
        </w:tc>
      </w:tr>
      <w:tr>
        <w:trPr>
          <w:trHeight w:val="172"/>
        </w:trPr>
        <w:tc>
          <w:tcPr>
            <w:tcW w:w="72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Consolidated Total Leverage Ratio</w:t>
            </w:r>
          </w:p>
        </w:tc>
        <w:tc>
          <w:tcPr>
            <w:tcW w:w="400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89"/>
              </w:rPr>
              <w:t>Not greater than 5.00 to 1.00 (or not greater than 5.50</w:t>
            </w:r>
          </w:p>
        </w:tc>
        <w:tc>
          <w:tcPr>
            <w:tcW w:w="0" w:type="dxa"/>
            <w:vAlign w:val="bottom"/>
          </w:tcPr>
          <w:p>
            <w:pPr>
              <w:spacing w:after="0"/>
              <w:rPr>
                <w:sz w:val="1"/>
                <w:szCs w:val="1"/>
                <w:color w:val="auto"/>
              </w:rPr>
            </w:pPr>
          </w:p>
        </w:tc>
      </w:tr>
      <w:tr>
        <w:trPr>
          <w:trHeight w:val="176"/>
        </w:trPr>
        <w:tc>
          <w:tcPr>
            <w:tcW w:w="7240" w:type="dxa"/>
            <w:vAlign w:val="bottom"/>
            <w:shd w:val="clear" w:color="auto" w:fill="CCEEFF"/>
          </w:tcPr>
          <w:p>
            <w:pPr>
              <w:spacing w:after="0"/>
              <w:rPr>
                <w:sz w:val="15"/>
                <w:szCs w:val="15"/>
                <w:color w:val="auto"/>
              </w:rPr>
            </w:pPr>
          </w:p>
        </w:tc>
        <w:tc>
          <w:tcPr>
            <w:tcW w:w="4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to 1.00 for 3 fiscal quarters following certain</w:t>
            </w: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spacing w:after="0"/>
              <w:rPr>
                <w:sz w:val="15"/>
                <w:szCs w:val="15"/>
                <w:color w:val="auto"/>
              </w:rPr>
            </w:pPr>
          </w:p>
        </w:tc>
        <w:tc>
          <w:tcPr>
            <w:tcW w:w="4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acquisitions), but if the Financial Covenant Election</w:t>
            </w:r>
          </w:p>
        </w:tc>
        <w:tc>
          <w:tcPr>
            <w:tcW w:w="0" w:type="dxa"/>
            <w:vAlign w:val="bottom"/>
          </w:tcPr>
          <w:p>
            <w:pPr>
              <w:spacing w:after="0"/>
              <w:rPr>
                <w:sz w:val="1"/>
                <w:szCs w:val="1"/>
                <w:color w:val="auto"/>
              </w:rPr>
            </w:pPr>
          </w:p>
        </w:tc>
      </w:tr>
      <w:tr>
        <w:trPr>
          <w:trHeight w:val="176"/>
        </w:trPr>
        <w:tc>
          <w:tcPr>
            <w:tcW w:w="7240" w:type="dxa"/>
            <w:vAlign w:val="bottom"/>
            <w:shd w:val="clear" w:color="auto" w:fill="CCEEFF"/>
          </w:tcPr>
          <w:p>
            <w:pPr>
              <w:spacing w:after="0"/>
              <w:rPr>
                <w:sz w:val="15"/>
                <w:szCs w:val="15"/>
                <w:color w:val="auto"/>
              </w:rPr>
            </w:pPr>
          </w:p>
        </w:tc>
        <w:tc>
          <w:tcPr>
            <w:tcW w:w="4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(as defined in the Rattler credit agreement) is made,</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spacing w:after="0"/>
              <w:rPr>
                <w:sz w:val="19"/>
                <w:szCs w:val="19"/>
                <w:color w:val="auto"/>
              </w:rPr>
            </w:pP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then not greater than 5.25 to 1.00)</w:t>
            </w:r>
          </w:p>
        </w:tc>
        <w:tc>
          <w:tcPr>
            <w:tcW w:w="0" w:type="dxa"/>
            <w:vAlign w:val="bottom"/>
          </w:tcPr>
          <w:p>
            <w:pPr>
              <w:spacing w:after="0"/>
              <w:rPr>
                <w:sz w:val="1"/>
                <w:szCs w:val="1"/>
                <w:color w:val="auto"/>
              </w:rPr>
            </w:pPr>
          </w:p>
        </w:tc>
      </w:tr>
      <w:tr>
        <w:trPr>
          <w:trHeight w:val="176"/>
        </w:trPr>
        <w:tc>
          <w:tcPr>
            <w:tcW w:w="7240" w:type="dxa"/>
            <w:vAlign w:val="bottom"/>
          </w:tcPr>
          <w:p>
            <w:pPr>
              <w:ind w:left="20"/>
              <w:spacing w:after="0" w:line="176" w:lineRule="exact"/>
              <w:rPr>
                <w:sz w:val="20"/>
                <w:szCs w:val="20"/>
                <w:color w:val="auto"/>
              </w:rPr>
            </w:pPr>
            <w:r>
              <w:rPr>
                <w:rFonts w:ascii="Arial" w:cs="Arial" w:eastAsia="Arial" w:hAnsi="Arial"/>
                <w:sz w:val="18"/>
                <w:szCs w:val="18"/>
                <w:color w:val="auto"/>
                <w:w w:val="91"/>
              </w:rPr>
              <w:t>Consolidated Senior Secured Leverage Ratio commencing with the last day of any fiscal quarter in</w:t>
            </w:r>
          </w:p>
        </w:tc>
        <w:tc>
          <w:tcPr>
            <w:tcW w:w="4000" w:type="dxa"/>
            <w:vAlign w:val="bottom"/>
            <w:vMerge w:val="restart"/>
          </w:tcPr>
          <w:p>
            <w:pPr>
              <w:jc w:val="center"/>
              <w:spacing w:after="0"/>
              <w:rPr>
                <w:sz w:val="20"/>
                <w:szCs w:val="20"/>
                <w:color w:val="auto"/>
              </w:rPr>
            </w:pPr>
            <w:r>
              <w:rPr>
                <w:rFonts w:ascii="Arial" w:cs="Arial" w:eastAsia="Arial" w:hAnsi="Arial"/>
                <w:sz w:val="18"/>
                <w:szCs w:val="18"/>
                <w:color w:val="auto"/>
                <w:w w:val="90"/>
              </w:rPr>
              <w:t>Not greater than 3.50 to 1.00</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which the Financial Covenant Election (as defined in the Rattler credit agreement) is made</w:t>
            </w:r>
          </w:p>
        </w:tc>
        <w:tc>
          <w:tcPr>
            <w:tcW w:w="4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Interest Coverage Ratio (as defined in the Rattler credit agreement)</w:t>
            </w:r>
          </w:p>
        </w:tc>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Not less than 2.50 to 1.00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2021, Rattler LLC was in compliance with all financial maintenance covenants under the Rattler credit agreement. The lenders may accelerate all of the indebtedness under the Rattler credit agreement upon the occurrence and during the continuance of any event of default. The Rattler credit agreement contains customary events of default, including non-payment, breach of covenants, materially incorrect representations, cross-default, bankruptcy and change in control. There are no cure periods for events of default due to non-payment of principal and breaches of negative and financial maintenance covenants, but non-payment of interest and breaches of certain affirmative covenants are subject to customary cure periods. With certain specified exceptions, the terms and provisions of the Credit Agreement generally may be amended with the consent of the lenders holding a majority of the outstanding loans or commitments to lend.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amounts have been incurred and charged to interest expense for the years ended December 31, 2021, 2020 and 2019: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09"/>
        </w:trPr>
        <w:tc>
          <w:tcPr>
            <w:tcW w:w="6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Other fees and expenses</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 income</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capitalized interest</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48"/>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STOCKHOLDERS’ EQUITY AND 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did not complete any equity offerings during the years ended December 31, 2021, 2020 and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2021, the Company’s board of directors approved a stock repurchase program to acquire up to $2 billion of the Company’s outstanding common stock.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number of shares. This repurchase program may be suspended from time to time, modified, extended or discontinued by the board of directors at any time. During the year ended December 31, 2021, the Company repurchased approximately $431 million of common stock under this repurchase program, respectively. As of December 31, 2021, $1.6 billion remained available for use to repurchase shares under the Company’s common stock repurchase program.</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2019, the Company’s board of directors approved a stock repurchase program to acquire up to $2 billion of the Company’s outstanding common stock through December 31, 2020. Purchases under the repurchase program were made from time to time in open market or privately negotiated transactions, and were subject to market conditions, applicable legal requirements, contractual obligations and other factors. The repurchase program did not require the Company to acquire any specific number of shares. During the years ended December 31, 2020 and 2019, the Company repurchased $98 million and $598 million, respectively, of its common stock under the repurchase program. The repurchase program was suspended beginning in the first quarter of 2020 and expired on December 31, 2020.</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Non-controlling interests in the accompanying consolidated financial statements represent minority interest ownership in Viper and Rattler and are presented as a component of equity. The Company’s ownership percentage in Viper and Rattler change as a result of public offerings, issuance of units for acquisitions, issuance of unit-based compensation, repurchases of common units and distribution equivalent rights paid on its units. These changes in ownership percentage and the disproportionate allocation of net income to the Company result in the difference between the Company’s share of the underlying net book value in Viper and Rattler. When the Company’s relative ownership interests in Viper and Rattler change, adjustments to non-controlling interest and additional paid-in-capital, tax effected, will occur.</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the ownership interest in consolidated subsidiaries during the period: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2,182</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Change in ownership of consolidated subsidiaries</w:t>
            </w:r>
            <w:r>
              <w:rPr>
                <w:rFonts w:ascii="Arial" w:cs="Arial" w:eastAsia="Arial" w:hAnsi="Arial"/>
                <w:sz w:val="23"/>
                <w:szCs w:val="23"/>
                <w:color w:val="auto"/>
                <w:vertAlign w:val="superscript"/>
              </w:rPr>
              <w:t>(1)</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3"/>
              </w:rPr>
              <w:t>(33)</w:t>
            </w:r>
          </w:p>
        </w:tc>
        <w:tc>
          <w:tcPr>
            <w:tcW w:w="0" w:type="dxa"/>
            <w:vAlign w:val="bottom"/>
          </w:tcPr>
          <w:p>
            <w:pPr>
              <w:spacing w:after="0"/>
              <w:rPr>
                <w:sz w:val="1"/>
                <w:szCs w:val="1"/>
                <w:color w:val="auto"/>
              </w:rPr>
            </w:pPr>
          </w:p>
        </w:tc>
      </w:tr>
      <w:tr>
        <w:trPr>
          <w:trHeight w:val="155"/>
        </w:trPr>
        <w:tc>
          <w:tcPr>
            <w:tcW w:w="6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Change from net income (loss) attributable to the Company's stockholders and transfers to</w:t>
            </w:r>
          </w:p>
        </w:tc>
        <w:tc>
          <w:tcPr>
            <w:tcW w:w="960" w:type="dxa"/>
            <w:vAlign w:val="bottom"/>
            <w:vMerge w:val="restart"/>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2,248</w:t>
            </w:r>
          </w:p>
        </w:tc>
        <w:tc>
          <w:tcPr>
            <w:tcW w:w="3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non-controlling interest</w:t>
            </w:r>
          </w:p>
        </w:tc>
        <w:tc>
          <w:tcPr>
            <w:tcW w:w="96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line="263" w:lineRule="auto"/>
        <w:tabs>
          <w:tab w:leader="none" w:pos="2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year ended December 31, 2020 includes an adjustment to non-controlling interest for Rattler of $329 million and to additional paid-in-capital of $329 million to reflect the ownership structure that was effective at June 30, 2020. The adjustment had no impact on the consolidated statement of income or consolidated statement of cash flows for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 Unitholders’ Equity</w:t>
      </w:r>
    </w:p>
    <w:p>
      <w:pPr>
        <w:spacing w:after="0" w:line="252"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information regarding Viper’s significant equity transactions, refer to Note 5—</w:t>
      </w:r>
      <w:hyperlink w:anchor="page103">
        <w:r>
          <w:rPr>
            <w:rFonts w:ascii="Arial" w:cs="Arial" w:eastAsia="Arial" w:hAnsi="Arial"/>
            <w:sz w:val="18"/>
            <w:szCs w:val="18"/>
            <w:u w:val="single" w:color="auto"/>
            <w:color w:val="0000FF"/>
          </w:rPr>
          <w:t>Viper Energy Partners LP</w:t>
        </w:r>
      </w:hyperlink>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Unitholders’ Equity</w:t>
      </w:r>
    </w:p>
    <w:p>
      <w:pPr>
        <w:spacing w:after="0" w:line="252"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information regarding Rattler’s significant equity transactions, refer to Note 6—</w:t>
      </w:r>
      <w:hyperlink w:anchor="page104">
        <w:r>
          <w:rPr>
            <w:rFonts w:ascii="Arial" w:cs="Arial" w:eastAsia="Arial" w:hAnsi="Arial"/>
            <w:sz w:val="18"/>
            <w:szCs w:val="18"/>
            <w:u w:val="single" w:color="auto"/>
            <w:color w:val="0000FF"/>
          </w:rPr>
          <w:t>Rattler Midstream LP</w:t>
        </w:r>
      </w:hyperlink>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(loss) per share amounts have been computed based on the weighted-average number of shares of common stock outstanding for the period. Diluted earnings per share include the effect of potentially dilutive shares outstanding for the period. Additionally, the per share earnings of Viper and Rattler are included in the consolidated earnings per share computation based on the consolidated group’s holdings of the subsidiaries.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(loss) per common share is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gridSpan w:val="8"/>
          </w:tcPr>
          <w:p>
            <w:pPr>
              <w:jc w:val="center"/>
              <w:ind w:right="91"/>
              <w:spacing w:after="0"/>
              <w:rPr>
                <w:sz w:val="20"/>
                <w:szCs w:val="20"/>
                <w:color w:val="auto"/>
              </w:rPr>
            </w:pPr>
            <w:r>
              <w:rPr>
                <w:rFonts w:ascii="Arial" w:cs="Arial" w:eastAsia="Arial" w:hAnsi="Arial"/>
                <w:sz w:val="16"/>
                <w:szCs w:val="16"/>
                <w:b w:val="1"/>
                <w:bCs w:val="1"/>
                <w:color w:val="auto"/>
                <w:w w:val="89"/>
              </w:rPr>
              <w:t>(In millions, except per share amounts, shares in thousands)</w:t>
            </w:r>
          </w:p>
        </w:tc>
        <w:tc>
          <w:tcPr>
            <w:tcW w:w="0" w:type="dxa"/>
            <w:vAlign w:val="bottom"/>
          </w:tcPr>
          <w:p>
            <w:pPr>
              <w:spacing w:after="0"/>
              <w:rPr>
                <w:sz w:val="1"/>
                <w:szCs w:val="1"/>
                <w:color w:val="auto"/>
              </w:rPr>
            </w:pPr>
          </w:p>
        </w:tc>
      </w:tr>
      <w:tr>
        <w:trPr>
          <w:trHeight w:val="25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5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shares outstanding</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176,643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163,493</w:t>
            </w:r>
          </w:p>
        </w:tc>
        <w:tc>
          <w:tcPr>
            <w:tcW w:w="0" w:type="dxa"/>
            <w:vAlign w:val="bottom"/>
          </w:tcPr>
          <w:p>
            <w:pPr>
              <w:spacing w:after="0"/>
              <w:rPr>
                <w:sz w:val="1"/>
                <w:szCs w:val="1"/>
                <w:color w:val="auto"/>
              </w:rPr>
            </w:pPr>
          </w:p>
        </w:tc>
      </w:tr>
      <w:tr>
        <w:trPr>
          <w:trHeight w:val="229"/>
        </w:trPr>
        <w:tc>
          <w:tcPr>
            <w:tcW w:w="652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Potential common shares issuable</w:t>
            </w:r>
            <w:r>
              <w:rPr>
                <w:rFonts w:ascii="Arial" w:cs="Arial" w:eastAsia="Arial" w:hAnsi="Arial"/>
                <w:sz w:val="23"/>
                <w:szCs w:val="23"/>
                <w:color w:val="auto"/>
                <w:vertAlign w:val="superscript"/>
              </w:rPr>
              <w:t>(1)(2)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8"/>
                <w:szCs w:val="18"/>
                <w:color w:val="auto"/>
              </w:rPr>
              <w:t>Diluted weighted average common shares outstanding</w:t>
            </w: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177,359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157,976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163,843</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attributable to common stock</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Diluted net income (loss) attributable to common stock</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12.30</w:t>
            </w:r>
          </w:p>
        </w:tc>
        <w:tc>
          <w:tcPr>
            <w:tcW w:w="5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40" w:hanging="332"/>
        <w:spacing w:after="0" w:line="258" w:lineRule="auto"/>
        <w:tabs>
          <w:tab w:leader="none" w:pos="5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year ended December 31, 2021, there were 115,865 potential common shares excluded from the computation of diluted earnings per share because their inclusion would have been anti-dilutive under the treasury stock method.</w:t>
      </w:r>
    </w:p>
    <w:p>
      <w:pPr>
        <w:spacing w:after="0" w:line="1" w:lineRule="exact"/>
        <w:rPr>
          <w:rFonts w:ascii="Arial" w:cs="Arial" w:eastAsia="Arial" w:hAnsi="Arial"/>
          <w:sz w:val="18"/>
          <w:szCs w:val="18"/>
          <w:color w:val="auto"/>
        </w:rPr>
      </w:pPr>
    </w:p>
    <w:p>
      <w:pPr>
        <w:ind w:left="340" w:hanging="332"/>
        <w:spacing w:after="0" w:line="260" w:lineRule="auto"/>
        <w:tabs>
          <w:tab w:leader="none" w:pos="5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year ended December 31, 2020, there were 696,223 potential common shares excluded from the computation of diluted earnings per share because their inclusion would have been anti-dilutive due to recording a net loss.</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EQUITY-BASED COMPENSATION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 2021, the Company’s stockholders approved and adopted the Company’s 2021 amended and restated equity incentive plan (the “Equity Plan”), which, among other things, increased total shares authorized for issuance from 8.3 million to 11.8 million. At December 31, 2021, the Company had 6.9 million shares of common stock available for future grants.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Equity Plan, approved by the Board of Directors, the Company is authorized to issue incentive and non-statutory stock options, restricted stock awards and restricted stock units, performance awards and stock appreciation rights to eligible employees. At December 31, 2021, the Company had outstanding restricted stock units, performance-based restricted stock units, immaterial amounts of restricted share awards which were assumed in connection with the QEP Merger, and immaterial amounts of stock options and stock appreciation rights.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effects of the equity and stock based compensation plans and related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w w:val="89"/>
              </w:rPr>
              <w:t>2020</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155"/>
              <w:spacing w:after="0"/>
              <w:rPr>
                <w:sz w:val="20"/>
                <w:szCs w:val="20"/>
                <w:color w:val="auto"/>
              </w:rPr>
            </w:pPr>
            <w:r>
              <w:rPr>
                <w:rFonts w:ascii="Arial" w:cs="Arial" w:eastAsia="Arial" w:hAnsi="Arial"/>
                <w:sz w:val="16"/>
                <w:szCs w:val="16"/>
                <w:b w:val="1"/>
                <w:bCs w:val="1"/>
                <w:color w:val="auto"/>
                <w:w w:val="95"/>
              </w:rPr>
              <w:t>(In millions)</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line="176" w:lineRule="exact"/>
              <w:rPr>
                <w:sz w:val="20"/>
                <w:szCs w:val="20"/>
                <w:color w:val="auto"/>
              </w:rPr>
            </w:pPr>
            <w:r>
              <w:rPr>
                <w:rFonts w:ascii="Arial" w:cs="Arial" w:eastAsia="Arial" w:hAnsi="Arial"/>
                <w:sz w:val="18"/>
                <w:szCs w:val="18"/>
                <w:color w:val="auto"/>
                <w:w w:val="92"/>
              </w:rPr>
              <w:t>Equity-based compensation capitalized pursuant to full cost method of accounting for oil</w:t>
            </w:r>
          </w:p>
        </w:tc>
        <w:tc>
          <w:tcPr>
            <w:tcW w:w="1080" w:type="dxa"/>
            <w:vAlign w:val="bottom"/>
            <w:vMerge w:val="restart"/>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38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ind w:right="15"/>
              <w:spacing w:after="0"/>
              <w:rPr>
                <w:sz w:val="20"/>
                <w:szCs w:val="20"/>
                <w:color w:val="auto"/>
              </w:rPr>
            </w:pPr>
            <w:r>
              <w:rPr>
                <w:rFonts w:ascii="Arial" w:cs="Arial" w:eastAsia="Arial" w:hAnsi="Arial"/>
                <w:sz w:val="18"/>
                <w:szCs w:val="18"/>
                <w:color w:val="auto"/>
              </w:rPr>
              <w:t>16</w:t>
            </w:r>
          </w:p>
        </w:tc>
        <w:tc>
          <w:tcPr>
            <w:tcW w:w="42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and natural gas properties</w:t>
            </w:r>
          </w:p>
        </w:tc>
        <w:tc>
          <w:tcPr>
            <w:tcW w:w="108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estimates the fair values of restricted stock awards and units as the closing price of the Company’s common stock on the grant date of the award, which is expensed over the applicable vesting period.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the Company’s restricted stock unit activity under the Equity Plan during the year ended December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208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Restricted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2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spacing w:after="0"/>
              <w:rPr>
                <w:sz w:val="20"/>
                <w:szCs w:val="20"/>
                <w:color w:val="auto"/>
              </w:rPr>
            </w:pPr>
            <w:r>
              <w:rPr>
                <w:rFonts w:ascii="Arial" w:cs="Arial" w:eastAsia="Arial" w:hAnsi="Arial"/>
                <w:sz w:val="18"/>
                <w:szCs w:val="18"/>
                <w:color w:val="auto"/>
              </w:rPr>
              <w:t>776,045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(713,777)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(96,159)</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1,079,589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restricted stock units that vested during the years ended December 31, 2021, 2020 and 2019 was $46 million, $25 million and $45 million, respectively. As of December 31, 2021, the Company’s unrecognized compensation cost related to unvested restricted stock units was $52 million. Such cost is expected to be recognized over a weighted-average period of 2.0 years.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2020, the Company modified an insignificant amount of restricted stock units to include dividend equivalent rights during the vesting period which did not result in any incremental compensation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2019, eligible employees received performance restricted stock unit awards totaling 199,723 units from which a minimum of 0% and a maximum of 200% units could be awarded based upon the TSR during the performance period of January 1, 2019 to December 31, 2021, subject to continued employment. All remaining awards under this grant cliff vested at December 31, 2021 at 100% based on the final TSR In March 2019, eligible employees received performance restricted stock unit awards totaling 32,958 units from which a minimum of 0% and a maximum of 200% units could be awarded. The awards had a performance period of January 1, 2019 to December 31, 2021 and were awarded at 100% based upon the final TSR. The awards under this grant vest in five equal installments beginning on March 1, 2025.</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2020, eligible employees received performance restricted stock unit awards totaling 225,047 units from which a minimum of 0% and a maximum of 200% units could be awarded based upon the TSR during the three-year performance period of January 1, 2020 to December 31, 2022 and cliff vest at December 31, 2022 subject to continued employment. The initial payout of the March 2020 awards will be further adjusted by a TSR modifier that may reduce the payout or increase the payout up to a maximum of 250%.</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2021, eligible employees received performance restricted stock unit awards totaling 198,454 units from which a minimum of 0% and a maximum of 200% of the units could be awarded based upon the measurement of total stockholder return of the Company’s common stock as compared to a designated peer group during the three-year performance period of January 1, 2021 to December 31, 2023 and cliff vest at December 31, 2023 subject to continued employment. The initial payout of the March 2021 awards will be further adjusted by a TSR modifier that may reduce the payout or increase the payout up to a maximum of 250%.</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awards granted during the period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137.22</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Grant-date fair value (5-year vesting)</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132.48</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Company volatility</w:t>
            </w:r>
          </w:p>
        </w:tc>
        <w:tc>
          <w:tcPr>
            <w:tcW w:w="1500" w:type="dxa"/>
            <w:vAlign w:val="bottom"/>
          </w:tcPr>
          <w:p>
            <w:pPr>
              <w:jc w:val="right"/>
              <w:spacing w:after="0"/>
              <w:rPr>
                <w:sz w:val="20"/>
                <w:szCs w:val="20"/>
                <w:color w:val="auto"/>
              </w:rPr>
            </w:pPr>
            <w:r>
              <w:rPr>
                <w:rFonts w:ascii="Arial" w:cs="Arial" w:eastAsia="Arial" w:hAnsi="Arial"/>
                <w:sz w:val="18"/>
                <w:szCs w:val="18"/>
                <w:color w:val="auto"/>
              </w:rPr>
              <w:t>69.60 %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35.00 %</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performance restricted stock unit activity under the Equity Plan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w w:val="93"/>
              </w:rPr>
              <w:t>Performance Restricted</w:t>
            </w:r>
          </w:p>
        </w:tc>
        <w:tc>
          <w:tcPr>
            <w:tcW w:w="10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Weighted Average Grant-</w:t>
            </w:r>
          </w:p>
        </w:tc>
      </w:tr>
      <w:tr>
        <w:trPr>
          <w:trHeight w:val="213"/>
        </w:trPr>
        <w:tc>
          <w:tcPr>
            <w:tcW w:w="74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Stock Units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Date Fair Value</w:t>
            </w:r>
          </w:p>
        </w:tc>
      </w:tr>
      <w:tr>
        <w:trPr>
          <w:trHeight w:val="22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r>
      <w:tr>
        <w:trPr>
          <w:trHeight w:val="229"/>
        </w:trPr>
        <w:tc>
          <w:tcPr>
            <w:tcW w:w="74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198,454</w:t>
            </w:r>
          </w:p>
        </w:tc>
        <w:tc>
          <w:tcPr>
            <w:tcW w:w="36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131.06</w:t>
            </w:r>
          </w:p>
        </w:tc>
      </w:tr>
      <w:tr>
        <w:trPr>
          <w:trHeight w:val="230"/>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(153,582)</w:t>
            </w:r>
          </w:p>
        </w:tc>
        <w:tc>
          <w:tcPr>
            <w:tcW w:w="3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137.22</w:t>
            </w:r>
          </w:p>
        </w:tc>
      </w:tr>
      <w:tr>
        <w:trPr>
          <w:trHeight w:val="229"/>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Unvested at December 31, 2021</w:t>
            </w:r>
            <w:r>
              <w:rPr>
                <w:rFonts w:ascii="Arial" w:cs="Arial" w:eastAsia="Arial" w:hAnsi="Arial"/>
                <w:sz w:val="23"/>
                <w:szCs w:val="23"/>
                <w:color w:val="auto"/>
                <w:vertAlign w:val="superscript"/>
              </w:rPr>
              <w:t>(1)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456,459</w:t>
            </w:r>
          </w:p>
        </w:tc>
        <w:tc>
          <w:tcPr>
            <w:tcW w:w="360" w:type="dxa"/>
            <w:vAlign w:val="bottom"/>
            <w:tcBorders>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A maximum of 1,091,711 units could be awarded based upon the Company’s final TSR ranking.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the Company’s unrecognized compensation cost related to unvested performance based restricted stock awards and units was $26 million, which is expected to be recognized over a weighted-average period of 1.9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Long-Term Incentive Plan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22, 2019, the board of directors of Rattler’s General Partner adopted the Rattler Midstream LP Long Term Incentive Plan (“Rattler LTIP”) which authorized a total of 15.2 million common units for issuance, for employees, consultants and directors of Rattler’s General Partner and any of its affiliates, including Diamondback, who perform services for Rattler. The Rattler LTIP provides for the grant of unit options, unit appreciation rights, restricted units, unit awards, phantom units, distribution equivalent rights, cash awards, performance awards, other unit-based awards and substitute awards. Excluding unvested common units, as of December 31, 2021, a total of 12,696,146 common units had been reserved for future issuance pursuant to the Rattler LTIP. Common units that are cancelled, forfeited or withheld to satisfy exercise prices or tax withholding obligations will be available for delivery pursuant to other awards. The Rattler LTIP is administered by the board of directors of Rattler’s General Partner or a committee thereof.</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Rattler LTIP, the board of directors of Rattler’s General Partner is authorized to issue phantom units to eligible employees and non-employee directors. Rattler estimates the fair value of phantom units based on closing price of Rattler’s common units on the grant date of the award, and expenses this value over the applicable vesting period. Upon vesting, the phantom units entitle the recipient to one common unit of Rattler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Rattler LTIP for the year ended December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42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Phantom</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tcPr>
          <w:p>
            <w:pPr>
              <w:jc w:val="center"/>
              <w:ind w:right="193"/>
              <w:spacing w:after="0" w:line="162"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2,089,668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259,916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(571,341)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(40,718)</w:t>
            </w:r>
          </w:p>
        </w:tc>
        <w:tc>
          <w:tcPr>
            <w:tcW w:w="36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1,737,525</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phantom units that vested during the year ended December 31, 2021 was $9 million. As of December 31, 2021, the unrecognized compensation cost related to unvested phantom units was $23 million which is expected to be recognized over a weighted-average period of 2.3 years.</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the Texas margin tax. The Company and its subsidiaries, other than Viper, Viper LLC, Rattler and Rattler LLC, file a federal corporate income tax return on a consolidated basis. As discussed further below, Viper is a taxable entity for federal income tax purposes effective May 10, 2018, and as such files a federal corporate income tax return including the activity of its investment in Viper LLC. Subsequent to Rattler’s election to be treated as a corporation for federal income tax purposes effective May 24, 2019, Rattler is also a taxable entity and as such files a federal corporate income tax return including the activity of its investment in Rattler LLC. Viper’s and Rattler’s provision for income taxes is included in the Company’s consolidated income tax provision and, to the extent applicable, in net income attributable to the non-controlling interest.</w:t>
      </w: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effective income tax rates were 21.7%, 19.1% and 13.0% for the years ended December 31, 2021, 2020 and 2019, respectively. Total income tax expense for the year ended December 31, 2021 differed from amounts computed by applying the United States federal statutory tax rate to pre-tax income for the period primarily due to state income taxes, net of federal benefit. Total income tax benefit for the year ended December 31, 2020 differed from amounts computed by applying the United States federal statutory tax rate to pre-tax loss for the period primarily due to the impact of recording a valuation allowance on Viper’s deferred tax assets, partially offset by state income taxes net of federal benefit and by tax benefit resulting from the carryback of federal net operating losses. Total income tax expense for the year ended December 31, 2019 differed from amounts computed by applying the United States federal statutory tax rate to pre-tax income for the period primarily due to the impact of deferred taxes recognized as a result of Viper’s change in tax status and state income taxes net of federal benefit.</w:t>
      </w:r>
    </w:p>
    <w:p>
      <w:pPr>
        <w:spacing w:after="0" w:line="20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The Company considered the impact of the American Rescue Plan Act, enacted on March 11, 2021, and concluded its provisions related to U.S. income taxes for corporations did not materially affect the Company’s current or deferred tax balances. Under provisions enacted March 27, 2020 in the Coronavirus Aid, Relief, and Economic Security Act (“CARES Act”), the Company realized income tax benefit of $25 million in the period of enactment related to the carryback of approximately $179 million of the Company’s federal net operating losses to tax years in which the corporate income tax rate was 35%. Prior to the enactment of the CARES Act in the first quarter of 2020, there was no tax refund available to the Company with respect to its losses,</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resulting in deferred tax assets associated with federal net operating loss carryforwards at the statutory 21% corporate income tax rate. As a result of the refund associated with such carryback as well as the accelerated refund available for minimum tax credits, the Company received a refund of federal taxes in the first quarter of 2021 of approximately $100 million. In addition, the Company received in the third quarter of 2021 a federal tax refund of approximately $50 million related to refundable minimum tax credits resulting from carryback of certain federal net operating losses acquired from QEP.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The components of the Company’s consolidated provision for income taxes from continuing operations for the years ended December 31, 2021, 2020 and 2019 are as follows:</w:t>
      </w: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2020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provision (benefit):</w:t>
            </w: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180" w:type="dxa"/>
            <w:vAlign w:val="bottom"/>
            <w:gridSpan w:val="2"/>
          </w:tcPr>
          <w:p>
            <w:pPr>
              <w:jc w:val="right"/>
              <w:ind w:right="97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980" w:type="dxa"/>
            <w:vAlign w:val="bottom"/>
          </w:tcPr>
          <w:p>
            <w:pPr>
              <w:ind w:left="680"/>
              <w:spacing w:after="0"/>
              <w:rPr>
                <w:sz w:val="20"/>
                <w:szCs w:val="20"/>
                <w:color w:val="auto"/>
              </w:rPr>
            </w:pPr>
            <w:r>
              <w:rPr>
                <w:rFonts w:ascii="Arial" w:cs="Arial" w:eastAsia="Arial" w:hAnsi="Arial"/>
                <w:sz w:val="18"/>
                <w:szCs w:val="18"/>
                <w:color w:val="auto"/>
              </w:rPr>
              <w:t>Total current income tax provision (benefit)</w:t>
            </w:r>
          </w:p>
        </w:tc>
        <w:tc>
          <w:tcPr>
            <w:tcW w:w="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 (benefit):</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Federal</w:t>
            </w: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23"/>
        </w:trPr>
        <w:tc>
          <w:tcPr>
            <w:tcW w:w="5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income tax provision (benefit)</w:t>
            </w:r>
          </w:p>
        </w:tc>
        <w:tc>
          <w:tcPr>
            <w:tcW w:w="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(1,042)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1180" w:type="dxa"/>
            <w:vAlign w:val="bottom"/>
            <w:tcBorders>
              <w:bottom w:val="single" w:sz="8" w:color="auto"/>
            </w:tcBorders>
            <w:gridSpan w:val="2"/>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9940" w:type="dxa"/>
            <w:vAlign w:val="bottom"/>
            <w:gridSpan w:val="13"/>
          </w:tcPr>
          <w:p>
            <w:pPr>
              <w:ind w:left="660"/>
              <w:spacing w:after="0"/>
              <w:rPr>
                <w:sz w:val="20"/>
                <w:szCs w:val="20"/>
                <w:color w:val="auto"/>
              </w:rPr>
            </w:pPr>
            <w:r>
              <w:rPr>
                <w:rFonts w:ascii="Arial" w:cs="Arial" w:eastAsia="Arial" w:hAnsi="Arial"/>
                <w:sz w:val="18"/>
                <w:szCs w:val="18"/>
                <w:color w:val="auto"/>
                <w:w w:val="93"/>
              </w:rPr>
              <w:t>A reconciliation of the statutory federal income tax amount from continuing operations to the recorded expense is as follows: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1"/>
        </w:trPr>
        <w:tc>
          <w:tcPr>
            <w:tcW w:w="5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center"/>
              <w:ind w:right="290"/>
              <w:spacing w:after="0"/>
              <w:rPr>
                <w:sz w:val="20"/>
                <w:szCs w:val="20"/>
                <w:color w:val="auto"/>
              </w:rPr>
            </w:pPr>
            <w:r>
              <w:rPr>
                <w:rFonts w:ascii="Arial" w:cs="Arial" w:eastAsia="Arial" w:hAnsi="Arial"/>
                <w:sz w:val="16"/>
                <w:szCs w:val="16"/>
                <w:b w:val="1"/>
                <w:bCs w:val="1"/>
                <w:color w:val="auto"/>
                <w:w w:val="91"/>
              </w:rPr>
              <w:t>Year Ended December 31,</w:t>
            </w: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0"/>
        </w:trPr>
        <w:tc>
          <w:tcPr>
            <w:tcW w:w="5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9"/>
              </w:rPr>
              <w:t>2020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5"/>
              </w:rPr>
              <w:t>(In millions)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the federal statutory rate (21%)</w:t>
            </w:r>
          </w:p>
        </w:tc>
        <w:tc>
          <w:tcPr>
            <w:tcW w:w="1180" w:type="dxa"/>
            <w:vAlign w:val="bottom"/>
            <w:gridSpan w:val="2"/>
            <w:shd w:val="clear" w:color="auto" w:fill="CCEEFF"/>
          </w:tcPr>
          <w:p>
            <w:pPr>
              <w:jc w:val="right"/>
              <w:ind w:right="95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20"/>
                <w:szCs w:val="20"/>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Income tax benefit relating to net operating loss carryback</w:t>
            </w: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 expense, net of federal tax effect</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Non-deductible compensation</w:t>
            </w: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Deferred taxes related to change in Viper LP's tax status</w:t>
            </w: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40" w:type="dxa"/>
            <w:vAlign w:val="bottom"/>
          </w:tcPr>
          <w:p>
            <w:pPr>
              <w:spacing w:after="0"/>
              <w:rPr>
                <w:sz w:val="19"/>
                <w:szCs w:val="19"/>
                <w:color w:val="auto"/>
              </w:rPr>
            </w:pPr>
          </w:p>
        </w:tc>
        <w:tc>
          <w:tcPr>
            <w:tcW w:w="1140" w:type="dxa"/>
            <w:vAlign w:val="bottom"/>
            <w:tcBorders>
              <w:bottom w:val="single" w:sz="8" w:color="auto"/>
            </w:tcBorders>
          </w:tcPr>
          <w:p>
            <w:pPr>
              <w:jc w:val="right"/>
              <w:ind w:right="95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and liabilities as of December 31, 2021 and 2020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Borders>
              <w:bottom w:val="single" w:sz="8" w:color="auto"/>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2020</w:t>
            </w:r>
          </w:p>
        </w:tc>
      </w:tr>
      <w:tr>
        <w:trPr>
          <w:trHeight w:val="209"/>
        </w:trPr>
        <w:tc>
          <w:tcPr>
            <w:tcW w:w="7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gridSpan w:val="3"/>
          </w:tcPr>
          <w:p>
            <w:pPr>
              <w:ind w:left="260"/>
              <w:spacing w:after="0"/>
              <w:rPr>
                <w:sz w:val="20"/>
                <w:szCs w:val="20"/>
                <w:color w:val="auto"/>
              </w:rPr>
            </w:pPr>
            <w:r>
              <w:rPr>
                <w:rFonts w:ascii="Arial" w:cs="Arial" w:eastAsia="Arial" w:hAnsi="Arial"/>
                <w:sz w:val="16"/>
                <w:szCs w:val="16"/>
                <w:b w:val="1"/>
                <w:bCs w:val="1"/>
                <w:color w:val="auto"/>
              </w:rPr>
              <w:t>(In millions)</w:t>
            </w:r>
          </w:p>
        </w:tc>
        <w:tc>
          <w:tcPr>
            <w:tcW w:w="1300" w:type="dxa"/>
            <w:vAlign w:val="bottom"/>
          </w:tcPr>
          <w:p>
            <w:pPr>
              <w:spacing w:after="0"/>
              <w:rPr>
                <w:sz w:val="18"/>
                <w:szCs w:val="18"/>
                <w:color w:val="auto"/>
              </w:rPr>
            </w:pPr>
          </w:p>
        </w:tc>
      </w:tr>
      <w:tr>
        <w:trPr>
          <w:trHeight w:val="232"/>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Net operating loss and other carryforwards</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Derivative instruments</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320" w:type="dxa"/>
            <w:vAlign w:val="bottom"/>
          </w:tcPr>
          <w:p>
            <w:pPr>
              <w:ind w:left="560"/>
              <w:spacing w:after="0"/>
              <w:rPr>
                <w:sz w:val="20"/>
                <w:szCs w:val="20"/>
                <w:color w:val="auto"/>
              </w:rPr>
            </w:pPr>
            <w:r>
              <w:rPr>
                <w:rFonts w:ascii="Arial" w:cs="Arial" w:eastAsia="Arial" w:hAnsi="Arial"/>
                <w:sz w:val="18"/>
                <w:szCs w:val="18"/>
                <w:color w:val="auto"/>
              </w:rPr>
              <w:t>Stock based compensation</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Viper's investment in Viper LLC</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7320" w:type="dxa"/>
            <w:vAlign w:val="bottom"/>
          </w:tcPr>
          <w:p>
            <w:pPr>
              <w:ind w:left="560"/>
              <w:spacing w:after="0"/>
              <w:rPr>
                <w:sz w:val="20"/>
                <w:szCs w:val="20"/>
                <w:color w:val="auto"/>
              </w:rPr>
            </w:pPr>
            <w:r>
              <w:rPr>
                <w:rFonts w:ascii="Arial" w:cs="Arial" w:eastAsia="Arial" w:hAnsi="Arial"/>
                <w:sz w:val="18"/>
                <w:szCs w:val="18"/>
                <w:color w:val="auto"/>
              </w:rPr>
              <w:t>Rattler's investment in Rattler LLC</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320" w:type="dxa"/>
            <w:vAlign w:val="bottom"/>
          </w:tcPr>
          <w:p>
            <w:pPr>
              <w:ind w:left="800"/>
              <w:spacing w:after="0"/>
              <w:rPr>
                <w:sz w:val="20"/>
                <w:szCs w:val="20"/>
                <w:color w:val="auto"/>
              </w:rPr>
            </w:pPr>
            <w:r>
              <w:rPr>
                <w:rFonts w:ascii="Arial" w:cs="Arial" w:eastAsia="Arial" w:hAnsi="Arial"/>
                <w:sz w:val="18"/>
                <w:szCs w:val="18"/>
                <w:color w:val="auto"/>
              </w:rPr>
              <w:t>Deferred tax assets</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29"/>
        </w:trPr>
        <w:tc>
          <w:tcPr>
            <w:tcW w:w="7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Valuation allowance</w:t>
            </w: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5"/>
              </w:rPr>
              <w:t>(315)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7320" w:type="dxa"/>
            <w:vAlign w:val="bottom"/>
          </w:tcPr>
          <w:p>
            <w:pPr>
              <w:ind w:left="1000"/>
              <w:spacing w:after="0"/>
              <w:rPr>
                <w:sz w:val="20"/>
                <w:szCs w:val="20"/>
                <w:color w:val="auto"/>
              </w:rPr>
            </w:pPr>
            <w:r>
              <w:rPr>
                <w:rFonts w:ascii="Arial" w:cs="Arial" w:eastAsia="Arial" w:hAnsi="Arial"/>
                <w:sz w:val="18"/>
                <w:szCs w:val="18"/>
                <w:color w:val="auto"/>
              </w:rPr>
              <w:t>Deferred tax assets, net of valuation allowance</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Oil and natural gas properties and equipment</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30"/>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Midstream investments</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73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3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deferred tax liabilities</w:t>
            </w:r>
          </w:p>
        </w:tc>
        <w:tc>
          <w:tcPr>
            <w:tcW w:w="1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r>
      <w:tr>
        <w:trPr>
          <w:trHeight w:val="223"/>
        </w:trPr>
        <w:tc>
          <w:tcPr>
            <w:tcW w:w="7320" w:type="dxa"/>
            <w:vAlign w:val="bottom"/>
          </w:tcPr>
          <w:p>
            <w:pPr>
              <w:ind w:left="1980"/>
              <w:spacing w:after="0"/>
              <w:rPr>
                <w:sz w:val="20"/>
                <w:szCs w:val="20"/>
                <w:color w:val="auto"/>
              </w:rPr>
            </w:pPr>
            <w:r>
              <w:rPr>
                <w:rFonts w:ascii="Arial" w:cs="Arial" w:eastAsia="Arial" w:hAnsi="Arial"/>
                <w:sz w:val="18"/>
                <w:szCs w:val="18"/>
                <w:color w:val="auto"/>
              </w:rPr>
              <w:t>Net deferred tax liabilities</w:t>
            </w: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r>
      <w:tr>
        <w:trPr>
          <w:trHeight w:val="21"/>
        </w:trPr>
        <w:tc>
          <w:tcPr>
            <w:tcW w:w="7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had net deferred tax liabilities of approximately $1.3 billion and $0.7 billion at December 31, 2021 and 2020, respectively.</w:t>
      </w:r>
    </w:p>
    <w:p>
      <w:pPr>
        <w:spacing w:after="0" w:line="2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December 31, 2021, the Company had approximately $0.5 billion of federal NOLs expiring in 2037 and $2.0 billion of federal NOLs with an indefinite carryforward life, including NOLs acquired from QEP. The Company principally operates in the state of Texas and is subject to Texas Margin Tax, which currently does not include an NOL carryover provision. The Company’s federal tax attributes, including those acquired from QEP, are subject to an annual limitation under Section 382 of the Internal Revenue Code of 1986, as amended, which relates to tax attribute limitations upon the 50% or greater change of ownership of an entity during any three-year look back period. Other than as described below regarding realization of tax attributes acquired from QEP, the Company believes that the application of Section 382 will not have an adverse effect on future usage of the Company’s NOLs and credits.</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17, 2021, the Company completed its acquisition of QEP. For federal income tax purposes, the transaction qualified as a nontaxable merger whereby the Company acquired carryover tax basis in QEP’s assets and liabilities. As of December 31, 2021, QEP’s opening balance sheet net deferred tax asset was approximately $40 million, primarily consisting of deferred tax assets related to tax attributes acquired from QEP, partially offset by a valuation allowance, and deferred tax liabilities resulting from the excess of financial reporting carrying value over tax basis of oil and natural gas properties and other assets acquired from QEP. The acquired income tax attributes, including federal net operating loss and credit carryforwards, are subject to an annual limitation under Section 382. The Company has considered the positive and negative evidence regarding realizability of these federal tax attributes including taxable income in prior carryback years, the annual limitation imposed by Section 382, and the anticipated timing of reversal of its deferred tax liabilities, resulting in a valuation allowance of $23 million on the portion of QEP’s federal tax attributes estimated not more likely than not to be realized prior to expiration. Acquired tax attributes also include state net operating loss carryforwards for which a valuation allowance of $117 million has been provided, since the Company does not believe the state net operating losses are more likely than not to be realized based on its assessment of anticipated future operations in those states.</w:t>
      </w:r>
    </w:p>
    <w:p>
      <w:pPr>
        <w:spacing w:after="0" w:line="2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as of December 31, 2021, the Company had a valuation allowance of $6 million primarily related to certain state NOL carryforwards which the Company does not believe are realizable as it does not anticipate future operations in those states and a valuation allowance of $169 million related to Viper’s deferred tax assets, as discussed further below. Management’s assessment at each balance sheet date included consideration of all available positive and negative evidence including the anticipated timing of reversal of deferred tax liabilities. Management believes that the balance of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Company’s NOLs are realizable to the extent of future taxable income primarily related to the excess of book carrying value of properties over their respective tax bases. As of December 31, 2021, management determined that it is more likely than not that the Company will realize its remaining deferred tax assets.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December 31, 2021, the Company’s net deferred tax liabilities include deferred tax assets of approximately $6 million related to Viper’s NOL carryforwards and approximately $163 million related to Viper’s investment in Viper LLC. Subsequent to Viper’s change in tax status, deferred taxes are provided on the difference between Viper’s basis for financial accounting purposes and basis for federal income tax purposes in its investment in Viper LLC. As of December 31, 2021, Viper had federal NOL carryforwards of approximately $29 million which may be carried forward indefinitely to offset future taxable income.</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2021, Viper had a valuation allowance of approximately $169 million related to deferred tax assets that Viper does not believe are more likely than not to be realized. Management considers the likelihood that Viper’s NOLs and other deferred tax attributes will be utilized prior to their expiration, if applicable. The determination to record a valuation allowance was based on Management’s assessment of all available evidence, both positive and negative, supporting realizability of Viper’s deferred tax assets as required by applicable accounting standards. In light of those criteria for recognizing the tax benefit of deferred tax assets, the assessment resulted in application of a valuation allowance against Viper’s federal deferred tax assets as of March 31, 2020 and subsequent balance sheet dates within the years ended December 31, 2020 and 2021.</w:t>
      </w:r>
    </w:p>
    <w:p>
      <w:pPr>
        <w:spacing w:after="0" w:line="205" w:lineRule="exact"/>
        <w:rPr>
          <w:sz w:val="20"/>
          <w:szCs w:val="20"/>
          <w:color w:val="auto"/>
        </w:rPr>
      </w:pPr>
    </w:p>
    <w:p>
      <w:pPr>
        <w:jc w:val="both"/>
        <w:ind w:firstLine="648"/>
        <w:spacing w:after="0" w:line="279" w:lineRule="auto"/>
        <w:rPr>
          <w:rFonts w:ascii="Arial" w:cs="Arial" w:eastAsia="Arial" w:hAnsi="Arial"/>
          <w:sz w:val="17"/>
          <w:szCs w:val="17"/>
          <w:color w:val="auto"/>
        </w:rPr>
      </w:pPr>
      <w:r>
        <w:rPr>
          <w:rFonts w:ascii="Arial" w:cs="Arial" w:eastAsia="Arial" w:hAnsi="Arial"/>
          <w:sz w:val="17"/>
          <w:szCs w:val="17"/>
          <w:color w:val="auto"/>
        </w:rPr>
        <w:t>As discussed further in Note 6—</w:t>
      </w:r>
      <w:hyperlink w:anchor="page104">
        <w:r>
          <w:rPr>
            <w:rFonts w:ascii="Arial" w:cs="Arial" w:eastAsia="Arial" w:hAnsi="Arial"/>
            <w:sz w:val="17"/>
            <w:szCs w:val="17"/>
            <w:u w:val="single" w:color="auto"/>
            <w:color w:val="0000FF"/>
          </w:rPr>
          <w:t>Rattler Midstream LP</w:t>
        </w:r>
      </w:hyperlink>
      <w:r>
        <w:rPr>
          <w:rFonts w:ascii="Arial" w:cs="Arial" w:eastAsia="Arial" w:hAnsi="Arial"/>
          <w:sz w:val="17"/>
          <w:szCs w:val="17"/>
          <w:color w:val="auto"/>
        </w:rPr>
        <w:t>, on May 28, 2019, Rattler completed its initial public offering. Even though Rattler is organized as a limited partnership under state law, Rattler is subject to U.S. federal and state income tax at corporate rates, subsequent to the effective date of Rattler’s election to be treated as a corporation for U.S. federal income tax purposes. As such, Rattler’s provision for income taxes is included in the Company’s consolidated financial statements and to the extent applicable, in net income attributable to the non-controlling interest.</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December 31, 2021, the Company’s net deferred tax liabilities include deferred tax assets of approximately $23 million related to Rattlers NOL carryforwards and approximately $40 million related to Rattler’s investment in Rattler LLC. At December 31, 2021, Rattler had federal net operating loss carryforwards of approximately $108 million which may be carried forward indefinitely to offset future taxable income.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considers the likelihood that Rattler’s NOLs and other deferred tax attributes will be utilized prior to their expiration, if applicable. At December 31, 2021, Rattler’s assessment included consideration of all available positive and negative evidence, including Rattler’s projected future taxable income and the anticipated timing of reversal of deferred tax assets. As a result of the assessment, management determined that it is more likely than not that Rattler will realize its deferred tax assets as of December 31,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changes in the Company’s unrecognized tax benefits: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Borders>
              <w:bottom w:val="single" w:sz="8" w:color="auto"/>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2020</w:t>
            </w:r>
          </w:p>
        </w:tc>
      </w:tr>
      <w:tr>
        <w:trPr>
          <w:trHeight w:val="209"/>
        </w:trPr>
        <w:tc>
          <w:tcPr>
            <w:tcW w:w="7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(In millions)</w:t>
            </w:r>
          </w:p>
        </w:tc>
        <w:tc>
          <w:tcPr>
            <w:tcW w:w="1300" w:type="dxa"/>
            <w:vAlign w:val="bottom"/>
          </w:tcPr>
          <w:p>
            <w:pPr>
              <w:spacing w:after="0"/>
              <w:rPr>
                <w:sz w:val="18"/>
                <w:szCs w:val="18"/>
                <w:color w:val="auto"/>
              </w:rPr>
            </w:pPr>
          </w:p>
        </w:tc>
      </w:tr>
      <w:tr>
        <w:trPr>
          <w:trHeight w:val="232"/>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Increase resulting from prior period tax positions</w:t>
            </w:r>
          </w:p>
        </w:tc>
        <w:tc>
          <w:tcPr>
            <w:tcW w:w="13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resulting from current period tax positions</w:t>
            </w:r>
          </w:p>
        </w:tc>
        <w:tc>
          <w:tcPr>
            <w:tcW w:w="1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Effects of temporary items</w:t>
            </w:r>
          </w:p>
        </w:tc>
        <w:tc>
          <w:tcPr>
            <w:tcW w:w="1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w w:val="99"/>
              </w:rPr>
              <w:t>Total that, if recognized, would impact the effective income tax rate as of the end of the year</w:t>
            </w:r>
          </w:p>
        </w:tc>
        <w:tc>
          <w:tcPr>
            <w:tcW w:w="1300" w:type="dxa"/>
            <w:vAlign w:val="bottom"/>
            <w:tcBorders>
              <w:bottom w:val="single" w:sz="8" w:color="auto"/>
            </w:tcBorders>
          </w:tcPr>
          <w:p>
            <w:pPr>
              <w:jc w:val="right"/>
              <w:ind w:right="10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Company recognizes the tax benefit from a tax position only if it is more likely than not that it will be sustained upon examination by the taxing authorities, based upon the technical merits of the position. The Company’s federal and state income tax returns for 2012 through the current tax year remain open and subject to examination by the IRS and major state taxing jurisdictions. Energen is currently under IRS examination of its federal consolidated income tax returns for 2014 and 2016. Accordingly, it is reasonably possible that significant changes to the reserve for uncertain tax positions may occur as a result of various audits and the expiration of the statute of limitations. Although the timing and outcome of tax examinations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is highly uncertain, the Company does not expect the change in unrecognized tax benefit within the next 12 months would have a material impact to the financial statements.</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continuing its practice of recognizing interest and penalties related to income tax matters as interest expense and general and administrative expenses, respectively. During the years ended December 31, 2021 and 2020, there was less than $0.2 million of interest and no penalties related to each period associated with uncertain tax positions recognized in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2021, the Company has commodity derivative contracts and receive-fixed, pay-variable interest rate hedges outstanding. All derivative financial instruments are recorded at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entered into multiple crude oil, natural gas and natural gas liquids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consolidated statements of operations under the caption “Gain (loss) on derivative instruments, net.”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has entered into commodity derivative instruments only with counterparties that are also lenders in our credit facility and have been deemed an acceptable credit risk. As such, the Company does not require collateral from its counterparties.</w:t>
      </w:r>
    </w:p>
    <w:p>
      <w:pPr>
        <w:spacing w:after="0" w:line="19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has multiple commodity derivative contracts that contain an other-than-insignificant financing element at inception and, therefore, the cash receipts were classified as cash flows from financing activities in the consolidated statements of cash flow for the year ended December 31, 2021.</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3" w:name="page124"/>
    <w:bookmarkEnd w:id="1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2021, the Company had the following outstanding commodity derivative contracts. When aggregating multiple contracts, the weighted average contract price is disclosed: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38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b w:val="1"/>
                <w:bCs w:val="1"/>
                <w:color w:val="auto"/>
              </w:rPr>
              <w:t>Swaps</w:t>
            </w:r>
          </w:p>
        </w:tc>
        <w:tc>
          <w:tcPr>
            <w:tcW w:w="2140" w:type="dxa"/>
            <w:vAlign w:val="bottom"/>
            <w:tcBorders>
              <w:bottom w:val="single" w:sz="8" w:color="auto"/>
            </w:tcBorders>
            <w:gridSpan w:val="2"/>
          </w:tcPr>
          <w:p>
            <w:pPr>
              <w:ind w:left="820"/>
              <w:spacing w:after="0"/>
              <w:rPr>
                <w:sz w:val="20"/>
                <w:szCs w:val="20"/>
                <w:color w:val="auto"/>
              </w:rPr>
            </w:pPr>
            <w:r>
              <w:rPr>
                <w:rFonts w:ascii="Arial" w:cs="Arial" w:eastAsia="Arial" w:hAnsi="Arial"/>
                <w:sz w:val="16"/>
                <w:szCs w:val="16"/>
                <w:b w:val="1"/>
                <w:bCs w:val="1"/>
                <w:color w:val="auto"/>
              </w:rPr>
              <w:t>Collars</w:t>
            </w:r>
          </w:p>
        </w:tc>
        <w:tc>
          <w:tcPr>
            <w:tcW w:w="0" w:type="dxa"/>
            <w:vAlign w:val="bottom"/>
          </w:tcPr>
          <w:p>
            <w:pPr>
              <w:spacing w:after="0"/>
              <w:rPr>
                <w:sz w:val="1"/>
                <w:szCs w:val="1"/>
                <w:color w:val="auto"/>
              </w:rPr>
            </w:pPr>
          </w:p>
        </w:tc>
      </w:tr>
      <w:tr>
        <w:trPr>
          <w:trHeight w:val="158"/>
        </w:trPr>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Settlement</w:t>
            </w:r>
          </w:p>
        </w:tc>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60" w:type="dxa"/>
            <w:vAlign w:val="bottom"/>
            <w:vMerge w:val="restart"/>
          </w:tcPr>
          <w:p>
            <w:pPr>
              <w:jc w:val="center"/>
              <w:ind w:left="11"/>
              <w:spacing w:after="0"/>
              <w:rPr>
                <w:sz w:val="20"/>
                <w:szCs w:val="20"/>
                <w:color w:val="auto"/>
              </w:rPr>
            </w:pPr>
            <w:r>
              <w:rPr>
                <w:rFonts w:ascii="Arial" w:cs="Arial" w:eastAsia="Arial" w:hAnsi="Arial"/>
                <w:sz w:val="16"/>
                <w:szCs w:val="16"/>
                <w:b w:val="1"/>
                <w:bCs w:val="1"/>
                <w:color w:val="auto"/>
                <w:w w:val="97"/>
              </w:rPr>
              <w:t>Bbls/MMBtu</w:t>
            </w:r>
          </w:p>
        </w:tc>
        <w:tc>
          <w:tcPr>
            <w:tcW w:w="156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Weighted</w:t>
            </w:r>
          </w:p>
        </w:tc>
        <w:tc>
          <w:tcPr>
            <w:tcW w:w="12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1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0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1240" w:type="dxa"/>
            <w:vAlign w:val="bottom"/>
            <w:vMerge w:val="continue"/>
          </w:tcPr>
          <w:p>
            <w:pPr>
              <w:spacing w:after="0"/>
              <w:rPr>
                <w:sz w:val="14"/>
                <w:szCs w:val="14"/>
                <w:color w:val="auto"/>
              </w:rPr>
            </w:pPr>
          </w:p>
        </w:tc>
        <w:tc>
          <w:tcPr>
            <w:tcW w:w="1280" w:type="dxa"/>
            <w:vAlign w:val="bottom"/>
            <w:vMerge w:val="restart"/>
          </w:tcPr>
          <w:p>
            <w:pPr>
              <w:jc w:val="center"/>
              <w:ind w:right="10"/>
              <w:spacing w:after="0"/>
              <w:rPr>
                <w:sz w:val="20"/>
                <w:szCs w:val="20"/>
                <w:color w:val="auto"/>
              </w:rPr>
            </w:pPr>
            <w:r>
              <w:rPr>
                <w:rFonts w:ascii="Arial" w:cs="Arial" w:eastAsia="Arial" w:hAnsi="Arial"/>
                <w:sz w:val="16"/>
                <w:szCs w:val="16"/>
                <w:b w:val="1"/>
                <w:bCs w:val="1"/>
                <w:color w:val="auto"/>
                <w:w w:val="90"/>
              </w:rPr>
              <w:t>Settlement Year</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Type of Contract</w:t>
            </w:r>
          </w:p>
        </w:tc>
        <w:tc>
          <w:tcPr>
            <w:tcW w:w="1160" w:type="dxa"/>
            <w:vAlign w:val="bottom"/>
            <w:vMerge w:val="continue"/>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Index</w:t>
            </w: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Average Fixed</w:t>
            </w: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 Floor</w:t>
            </w:r>
          </w:p>
        </w:tc>
        <w:tc>
          <w:tcPr>
            <w:tcW w:w="1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3"/>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Month</w:t>
            </w:r>
          </w:p>
        </w:tc>
        <w:tc>
          <w:tcPr>
            <w:tcW w:w="128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ind w:left="31"/>
              <w:spacing w:after="0"/>
              <w:rPr>
                <w:sz w:val="20"/>
                <w:szCs w:val="20"/>
                <w:color w:val="auto"/>
              </w:rPr>
            </w:pPr>
            <w:r>
              <w:rPr>
                <w:rFonts w:ascii="Arial" w:cs="Arial" w:eastAsia="Arial" w:hAnsi="Arial"/>
                <w:sz w:val="16"/>
                <w:szCs w:val="16"/>
                <w:b w:val="1"/>
                <w:bCs w:val="1"/>
                <w:color w:val="auto"/>
                <w:w w:val="93"/>
              </w:rPr>
              <w:t>Per Day</w:t>
            </w:r>
          </w:p>
        </w:tc>
        <w:tc>
          <w:tcPr>
            <w:tcW w:w="15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Differential</w:t>
            </w:r>
          </w:p>
        </w:tc>
        <w:tc>
          <w:tcPr>
            <w:tcW w:w="1220" w:type="dxa"/>
            <w:vAlign w:val="bottom"/>
            <w:tcBorders>
              <w:bottom w:val="single" w:sz="8" w:color="auto"/>
            </w:tcBorders>
          </w:tcPr>
          <w:p>
            <w:pPr>
              <w:jc w:val="center"/>
              <w:ind w:left="11"/>
              <w:spacing w:after="0"/>
              <w:rPr>
                <w:sz w:val="20"/>
                <w:szCs w:val="20"/>
                <w:color w:val="auto"/>
              </w:rPr>
            </w:pPr>
            <w:r>
              <w:rPr>
                <w:rFonts w:ascii="Arial" w:cs="Arial" w:eastAsia="Arial" w:hAnsi="Arial"/>
                <w:sz w:val="16"/>
                <w:szCs w:val="16"/>
                <w:b w:val="1"/>
                <w:bCs w:val="1"/>
                <w:color w:val="auto"/>
                <w:w w:val="91"/>
              </w:rPr>
              <w:t>Price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Ceiling Price</w:t>
            </w: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OIL</w:t>
            </w:r>
          </w:p>
        </w:tc>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0" w:type="dxa"/>
            <w:vAlign w:val="bottom"/>
          </w:tcPr>
          <w:p>
            <w:pPr>
              <w:jc w:val="center"/>
              <w:spacing w:after="0"/>
              <w:rPr>
                <w:sz w:val="20"/>
                <w:szCs w:val="20"/>
                <w:color w:val="auto"/>
              </w:rPr>
            </w:pPr>
            <w:r>
              <w:rPr>
                <w:rFonts w:ascii="Arial" w:cs="Arial" w:eastAsia="Arial" w:hAnsi="Arial"/>
                <w:sz w:val="18"/>
                <w:szCs w:val="18"/>
                <w:color w:val="auto"/>
                <w:w w:val="87"/>
              </w:rPr>
              <w:t>Jan. - June</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93"/>
              </w:rPr>
              <w:t>1,000</w:t>
            </w:r>
          </w:p>
        </w:tc>
        <w:tc>
          <w:tcPr>
            <w:tcW w:w="1560" w:type="dxa"/>
            <w:vAlign w:val="bottom"/>
          </w:tcPr>
          <w:p>
            <w:pPr>
              <w:jc w:val="center"/>
              <w:spacing w:after="0"/>
              <w:rPr>
                <w:sz w:val="20"/>
                <w:szCs w:val="20"/>
                <w:color w:val="auto"/>
              </w:rPr>
            </w:pPr>
            <w:r>
              <w:rPr>
                <w:rFonts w:ascii="Arial" w:cs="Arial" w:eastAsia="Arial" w:hAnsi="Arial"/>
                <w:sz w:val="18"/>
                <w:szCs w:val="18"/>
                <w:color w:val="auto"/>
              </w:rPr>
              <w:t>WTI</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$45.00</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 June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Swap</w:t>
            </w:r>
            <w:r>
              <w:rPr>
                <w:rFonts w:ascii="Arial" w:cs="Arial" w:eastAsia="Arial" w:hAnsi="Arial"/>
                <w:sz w:val="23"/>
                <w:szCs w:val="23"/>
                <w:color w:val="auto"/>
                <w:w w:val="84"/>
                <w:vertAlign w:val="superscript"/>
              </w:rPr>
              <w:t>(1)</w:t>
            </w:r>
          </w:p>
        </w:tc>
        <w:tc>
          <w:tcPr>
            <w:tcW w:w="11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13,900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240" w:type="dxa"/>
            <w:vAlign w:val="bottom"/>
          </w:tcPr>
          <w:p>
            <w:pPr>
              <w:jc w:val="center"/>
              <w:spacing w:after="0"/>
              <w:rPr>
                <w:sz w:val="20"/>
                <w:szCs w:val="20"/>
                <w:color w:val="auto"/>
              </w:rPr>
            </w:pPr>
            <w:r>
              <w:rPr>
                <w:rFonts w:ascii="Arial" w:cs="Arial" w:eastAsia="Arial" w:hAnsi="Arial"/>
                <w:sz w:val="18"/>
                <w:szCs w:val="18"/>
                <w:color w:val="auto"/>
                <w:w w:val="87"/>
              </w:rPr>
              <w:t>Jan. - June</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(2)</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90"/>
              </w:rPr>
              <w:t>17,000</w:t>
            </w: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Argus WTI Midland</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$0.66</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 Dec.</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(2)</w:t>
            </w:r>
          </w:p>
        </w:tc>
        <w:tc>
          <w:tcPr>
            <w:tcW w:w="11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10,000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Argus WTI Midland</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Arial" w:cs="Arial" w:eastAsia="Arial" w:hAnsi="Arial"/>
                <w:sz w:val="18"/>
                <w:szCs w:val="18"/>
                <w:color w:val="auto"/>
                <w:w w:val="89"/>
              </w:rPr>
              <w:t>Jan. - Dec.</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Roll Swap</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90"/>
              </w:rPr>
              <w:t>30,000</w:t>
            </w:r>
          </w:p>
        </w:tc>
        <w:tc>
          <w:tcPr>
            <w:tcW w:w="1560" w:type="dxa"/>
            <w:vAlign w:val="bottom"/>
          </w:tcPr>
          <w:p>
            <w:pPr>
              <w:jc w:val="center"/>
              <w:spacing w:after="0"/>
              <w:rPr>
                <w:sz w:val="20"/>
                <w:szCs w:val="20"/>
                <w:color w:val="auto"/>
              </w:rPr>
            </w:pPr>
            <w:r>
              <w:rPr>
                <w:rFonts w:ascii="Arial" w:cs="Arial" w:eastAsia="Arial" w:hAnsi="Arial"/>
                <w:sz w:val="18"/>
                <w:szCs w:val="18"/>
                <w:color w:val="auto"/>
              </w:rPr>
              <w:t>WTI</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$0.65</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Jan. - Mar.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19,500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$72.67</w:t>
            </w: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Arial" w:cs="Arial" w:eastAsia="Arial" w:hAnsi="Arial"/>
                <w:sz w:val="18"/>
                <w:szCs w:val="18"/>
                <w:color w:val="auto"/>
                <w:w w:val="90"/>
              </w:rPr>
              <w:t>Jan. - Mar.</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90"/>
              </w:rPr>
              <w:t>55,000</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$45.55</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$71.08</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Jan. - Mar.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22,000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Argus WTI Houston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$45.91</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$70.95</w:t>
            </w:r>
          </w:p>
        </w:tc>
        <w:tc>
          <w:tcPr>
            <w:tcW w:w="0" w:type="dxa"/>
            <w:vAlign w:val="bottom"/>
          </w:tcPr>
          <w:p>
            <w:pPr>
              <w:spacing w:after="0"/>
              <w:rPr>
                <w:sz w:val="1"/>
                <w:szCs w:val="1"/>
                <w:color w:val="auto"/>
              </w:rPr>
            </w:pPr>
          </w:p>
        </w:tc>
      </w:tr>
      <w:tr>
        <w:trPr>
          <w:trHeight w:val="229"/>
        </w:trPr>
        <w:tc>
          <w:tcPr>
            <w:tcW w:w="1240" w:type="dxa"/>
            <w:vAlign w:val="bottom"/>
          </w:tcPr>
          <w:p>
            <w:pPr>
              <w:jc w:val="center"/>
              <w:spacing w:after="0"/>
              <w:rPr>
                <w:sz w:val="20"/>
                <w:szCs w:val="20"/>
                <w:color w:val="auto"/>
              </w:rPr>
            </w:pPr>
            <w:r>
              <w:rPr>
                <w:rFonts w:ascii="Arial" w:cs="Arial" w:eastAsia="Arial" w:hAnsi="Arial"/>
                <w:sz w:val="18"/>
                <w:szCs w:val="18"/>
                <w:color w:val="auto"/>
                <w:w w:val="88"/>
              </w:rPr>
              <w:t>Apr. - June</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90"/>
              </w:rPr>
              <w:t>13,000</w:t>
            </w:r>
          </w:p>
        </w:tc>
        <w:tc>
          <w:tcPr>
            <w:tcW w:w="1560" w:type="dxa"/>
            <w:vAlign w:val="bottom"/>
          </w:tcPr>
          <w:p>
            <w:pPr>
              <w:jc w:val="center"/>
              <w:spacing w:after="0"/>
              <w:rPr>
                <w:sz w:val="20"/>
                <w:szCs w:val="20"/>
                <w:color w:val="auto"/>
              </w:rPr>
            </w:pPr>
            <w:r>
              <w:rPr>
                <w:rFonts w:ascii="Arial" w:cs="Arial" w:eastAsia="Arial" w:hAnsi="Arial"/>
                <w:sz w:val="18"/>
                <w:szCs w:val="18"/>
                <w:color w:val="auto"/>
              </w:rPr>
              <w:t>WTI</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$46.92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$75.00</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Apr. - June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34,000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$46.47</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$77.00</w:t>
            </w:r>
          </w:p>
        </w:tc>
        <w:tc>
          <w:tcPr>
            <w:tcW w:w="0" w:type="dxa"/>
            <w:vAlign w:val="bottom"/>
          </w:tcPr>
          <w:p>
            <w:pPr>
              <w:spacing w:after="0"/>
              <w:rPr>
                <w:sz w:val="1"/>
                <w:szCs w:val="1"/>
                <w:color w:val="auto"/>
              </w:rPr>
            </w:pPr>
          </w:p>
        </w:tc>
      </w:tr>
      <w:tr>
        <w:trPr>
          <w:trHeight w:val="229"/>
        </w:trPr>
        <w:tc>
          <w:tcPr>
            <w:tcW w:w="1240" w:type="dxa"/>
            <w:vAlign w:val="bottom"/>
          </w:tcPr>
          <w:p>
            <w:pPr>
              <w:jc w:val="center"/>
              <w:spacing w:after="0"/>
              <w:rPr>
                <w:sz w:val="20"/>
                <w:szCs w:val="20"/>
                <w:color w:val="auto"/>
              </w:rPr>
            </w:pPr>
            <w:r>
              <w:rPr>
                <w:rFonts w:ascii="Arial" w:cs="Arial" w:eastAsia="Arial" w:hAnsi="Arial"/>
                <w:sz w:val="18"/>
                <w:szCs w:val="18"/>
                <w:color w:val="auto"/>
                <w:w w:val="88"/>
              </w:rPr>
              <w:t>Apr. - June</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90"/>
              </w:rPr>
              <w:t>26,000</w:t>
            </w: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Argus WTI Houston</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$46.92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$72.78</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 Sep.</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3"/>
              </w:rPr>
              <w:t>4,000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$92.65</w:t>
            </w: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Arial" w:cs="Arial" w:eastAsia="Arial" w:hAnsi="Arial"/>
                <w:sz w:val="18"/>
                <w:szCs w:val="18"/>
                <w:color w:val="auto"/>
                <w:w w:val="91"/>
              </w:rPr>
              <w:t>July - Sep.</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90"/>
              </w:rPr>
              <w:t>11,000</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$47.73</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$78.65</w:t>
            </w: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 Sep.</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10,000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Argus WTI Houston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$76.66</w:t>
            </w: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93"/>
              </w:rPr>
              <w:t>5,000</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$45.00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$75.56</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NATURAL GAS</w:t>
            </w:r>
          </w:p>
        </w:tc>
        <w:tc>
          <w:tcPr>
            <w:tcW w:w="1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0" w:type="dxa"/>
            <w:vAlign w:val="bottom"/>
          </w:tcPr>
          <w:p>
            <w:pPr>
              <w:jc w:val="center"/>
              <w:spacing w:after="0"/>
              <w:rPr>
                <w:sz w:val="20"/>
                <w:szCs w:val="20"/>
                <w:color w:val="auto"/>
              </w:rPr>
            </w:pPr>
            <w:r>
              <w:rPr>
                <w:rFonts w:ascii="Arial" w:cs="Arial" w:eastAsia="Arial" w:hAnsi="Arial"/>
                <w:sz w:val="18"/>
                <w:szCs w:val="18"/>
                <w:color w:val="auto"/>
                <w:w w:val="89"/>
              </w:rPr>
              <w:t>Jan. - Dec.</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(2)</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89"/>
              </w:rPr>
              <w:t>230,000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Waha Hub</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$(0.36)</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Jan. - Mar.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9"/>
              </w:rPr>
              <w:t>350,000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Henry Hub</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$2.67</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$4.76</w:t>
            </w: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Arial" w:cs="Arial" w:eastAsia="Arial" w:hAnsi="Arial"/>
                <w:sz w:val="18"/>
                <w:szCs w:val="18"/>
                <w:color w:val="auto"/>
                <w:w w:val="88"/>
              </w:rPr>
              <w:t>Apr. - June</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89"/>
              </w:rPr>
              <w:t>370,000</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Henry Hub</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$2.64</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$4.89</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 Dec.</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9"/>
              </w:rPr>
              <w:t>260,000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Henry Hub</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$2.67</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$5.40</w:t>
            </w:r>
          </w:p>
        </w:tc>
        <w:tc>
          <w:tcPr>
            <w:tcW w:w="0" w:type="dxa"/>
            <w:vAlign w:val="bottom"/>
          </w:tcPr>
          <w:p>
            <w:pPr>
              <w:spacing w:after="0"/>
              <w:rPr>
                <w:sz w:val="1"/>
                <w:szCs w:val="1"/>
                <w:color w:val="auto"/>
              </w:rPr>
            </w:pPr>
          </w:p>
        </w:tc>
      </w:tr>
      <w:tr>
        <w:trPr>
          <w:trHeight w:val="229"/>
        </w:trPr>
        <w:tc>
          <w:tcPr>
            <w:tcW w:w="1240" w:type="dxa"/>
            <w:vAlign w:val="bottom"/>
          </w:tcPr>
          <w:p>
            <w:pPr>
              <w:jc w:val="center"/>
              <w:spacing w:after="0"/>
              <w:rPr>
                <w:sz w:val="20"/>
                <w:szCs w:val="20"/>
                <w:color w:val="auto"/>
              </w:rPr>
            </w:pPr>
            <w:r>
              <w:rPr>
                <w:rFonts w:ascii="Arial" w:cs="Arial" w:eastAsia="Arial" w:hAnsi="Arial"/>
                <w:sz w:val="18"/>
                <w:szCs w:val="18"/>
                <w:color w:val="auto"/>
                <w:w w:val="87"/>
              </w:rPr>
              <w:t>Jan. - June</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(2)</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90"/>
              </w:rPr>
              <w:t>60,000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Waha Hub</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$(0.57)</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 Dec.</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Basis Swap</w:t>
            </w:r>
            <w:r>
              <w:rPr>
                <w:rFonts w:ascii="Arial" w:cs="Arial" w:eastAsia="Arial" w:hAnsi="Arial"/>
                <w:sz w:val="23"/>
                <w:szCs w:val="23"/>
                <w:color w:val="auto"/>
                <w:w w:val="86"/>
                <w:vertAlign w:val="superscript"/>
              </w:rPr>
              <w:t>(2)</w:t>
            </w:r>
          </w:p>
        </w:tc>
        <w:tc>
          <w:tcPr>
            <w:tcW w:w="11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40,000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Waha Hub</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Arial" w:cs="Arial" w:eastAsia="Arial" w:hAnsi="Arial"/>
                <w:sz w:val="18"/>
                <w:szCs w:val="18"/>
                <w:color w:val="auto"/>
                <w:w w:val="90"/>
              </w:rPr>
              <w:t>Jan. - Mar.</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tcPr>
          <w:p>
            <w:pPr>
              <w:jc w:val="center"/>
              <w:ind w:left="11"/>
              <w:spacing w:after="0"/>
              <w:rPr>
                <w:sz w:val="20"/>
                <w:szCs w:val="20"/>
                <w:color w:val="auto"/>
              </w:rPr>
            </w:pPr>
            <w:r>
              <w:rPr>
                <w:rFonts w:ascii="Arial" w:cs="Arial" w:eastAsia="Arial" w:hAnsi="Arial"/>
                <w:sz w:val="18"/>
                <w:szCs w:val="18"/>
                <w:color w:val="auto"/>
                <w:w w:val="90"/>
              </w:rPr>
              <w:t>80,000</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Henry Hub</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$2.75</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$6.83</w:t>
            </w: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Apr. - Dec.</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1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0"/>
              </w:rPr>
              <w:t>60,000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Henry Hub</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$5.72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0" w:hanging="332"/>
        <w:spacing w:after="0" w:line="258" w:lineRule="auto"/>
        <w:tabs>
          <w:tab w:leader="none" w:pos="437"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8,250 BO/d of Brent swaptions, whereby the counterparty has the right to exercise the hedge at a weighted-average price of $68.62/Bbl in the second half of 2022.</w:t>
      </w:r>
    </w:p>
    <w:p>
      <w:pPr>
        <w:spacing w:after="0" w:line="1" w:lineRule="exact"/>
        <w:rPr>
          <w:rFonts w:ascii="Arial" w:cs="Arial" w:eastAsia="Arial" w:hAnsi="Arial"/>
          <w:sz w:val="18"/>
          <w:szCs w:val="18"/>
          <w:color w:val="auto"/>
        </w:rPr>
      </w:pPr>
    </w:p>
    <w:p>
      <w:pPr>
        <w:jc w:val="both"/>
        <w:ind w:left="340" w:hanging="332"/>
        <w:spacing w:after="0" w:line="302" w:lineRule="auto"/>
        <w:tabs>
          <w:tab w:leader="none" w:pos="4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4" w:name="page125"/>
    <w:bookmarkEnd w:id="1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Settlement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Settlement</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Type of Contract</w:t>
            </w:r>
          </w:p>
        </w:tc>
        <w:tc>
          <w:tcPr>
            <w:tcW w:w="12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Bbls Per Day</w:t>
            </w: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Index</w:t>
            </w:r>
          </w:p>
        </w:tc>
        <w:tc>
          <w:tcPr>
            <w:tcW w:w="126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Strike Price</w:t>
            </w:r>
          </w:p>
        </w:tc>
        <w:tc>
          <w:tcPr>
            <w:tcW w:w="1600" w:type="dxa"/>
            <w:vAlign w:val="bottom"/>
          </w:tcPr>
          <w:p>
            <w:pPr>
              <w:jc w:val="center"/>
              <w:ind w:left="12"/>
              <w:spacing w:after="0"/>
              <w:rPr>
                <w:sz w:val="20"/>
                <w:szCs w:val="20"/>
                <w:color w:val="auto"/>
              </w:rPr>
            </w:pPr>
            <w:r>
              <w:rPr>
                <w:rFonts w:ascii="Arial" w:cs="Arial" w:eastAsia="Arial" w:hAnsi="Arial"/>
                <w:sz w:val="16"/>
                <w:szCs w:val="16"/>
                <w:b w:val="1"/>
                <w:bCs w:val="1"/>
                <w:color w:val="auto"/>
                <w:w w:val="90"/>
              </w:rPr>
              <w:t>Weighted Average</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Deferred Premium</w:t>
            </w:r>
          </w:p>
        </w:tc>
        <w:tc>
          <w:tcPr>
            <w:tcW w:w="0" w:type="dxa"/>
            <w:vAlign w:val="bottom"/>
          </w:tcPr>
          <w:p>
            <w:pPr>
              <w:spacing w:after="0"/>
              <w:rPr>
                <w:sz w:val="1"/>
                <w:szCs w:val="1"/>
                <w:color w:val="auto"/>
              </w:rPr>
            </w:pPr>
          </w:p>
        </w:tc>
      </w:tr>
      <w:tr>
        <w:trPr>
          <w:trHeight w:val="213"/>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Month</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w:t>
            </w:r>
          </w:p>
        </w:tc>
        <w:tc>
          <w:tcPr>
            <w:tcW w:w="152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tcPr>
          <w:p>
            <w:pPr>
              <w:jc w:val="center"/>
              <w:ind w:left="32"/>
              <w:spacing w:after="0"/>
              <w:rPr>
                <w:sz w:val="20"/>
                <w:szCs w:val="20"/>
                <w:color w:val="auto"/>
              </w:rPr>
            </w:pPr>
            <w:r>
              <w:rPr>
                <w:rFonts w:ascii="Arial" w:cs="Arial" w:eastAsia="Arial" w:hAnsi="Arial"/>
                <w:sz w:val="16"/>
                <w:szCs w:val="16"/>
                <w:b w:val="1"/>
                <w:bCs w:val="1"/>
                <w:color w:val="auto"/>
                <w:w w:val="95"/>
              </w:rPr>
              <w:t>Differential</w:t>
            </w: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OIL</w:t>
            </w:r>
          </w:p>
        </w:tc>
        <w:tc>
          <w:tcPr>
            <w:tcW w:w="10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jc w:val="center"/>
              <w:spacing w:after="0"/>
              <w:rPr>
                <w:sz w:val="20"/>
                <w:szCs w:val="20"/>
                <w:color w:val="auto"/>
              </w:rPr>
            </w:pPr>
            <w:r>
              <w:rPr>
                <w:rFonts w:ascii="Arial" w:cs="Arial" w:eastAsia="Arial" w:hAnsi="Arial"/>
                <w:sz w:val="18"/>
                <w:szCs w:val="18"/>
                <w:color w:val="auto"/>
                <w:w w:val="90"/>
              </w:rPr>
              <w:t>Jan. - Mar.</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Put</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9,500</w:t>
            </w:r>
          </w:p>
        </w:tc>
        <w:tc>
          <w:tcPr>
            <w:tcW w:w="1860" w:type="dxa"/>
            <w:vAlign w:val="bottom"/>
          </w:tcPr>
          <w:p>
            <w:pPr>
              <w:jc w:val="center"/>
              <w:spacing w:after="0"/>
              <w:rPr>
                <w:sz w:val="20"/>
                <w:szCs w:val="20"/>
                <w:color w:val="auto"/>
              </w:rPr>
            </w:pPr>
            <w:r>
              <w:rPr>
                <w:rFonts w:ascii="Arial" w:cs="Arial" w:eastAsia="Arial" w:hAnsi="Arial"/>
                <w:sz w:val="18"/>
                <w:szCs w:val="18"/>
                <w:color w:val="auto"/>
              </w:rPr>
              <w:t>WTI</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$47.51</w:t>
            </w:r>
          </w:p>
        </w:tc>
        <w:tc>
          <w:tcPr>
            <w:tcW w:w="1600" w:type="dxa"/>
            <w:vAlign w:val="bottom"/>
          </w:tcPr>
          <w:p>
            <w:pPr>
              <w:jc w:val="center"/>
              <w:ind w:left="12"/>
              <w:spacing w:after="0"/>
              <w:rPr>
                <w:sz w:val="20"/>
                <w:szCs w:val="20"/>
                <w:color w:val="auto"/>
              </w:rPr>
            </w:pPr>
            <w:r>
              <w:rPr>
                <w:rFonts w:ascii="Arial" w:cs="Arial" w:eastAsia="Arial" w:hAnsi="Arial"/>
                <w:sz w:val="18"/>
                <w:szCs w:val="18"/>
                <w:color w:val="auto"/>
                <w:w w:val="92"/>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$1.57</w:t>
            </w:r>
          </w:p>
        </w:tc>
        <w:tc>
          <w:tcPr>
            <w:tcW w:w="0" w:type="dxa"/>
            <w:vAlign w:val="bottom"/>
          </w:tcPr>
          <w:p>
            <w:pPr>
              <w:spacing w:after="0"/>
              <w:rPr>
                <w:sz w:val="1"/>
                <w:szCs w:val="1"/>
                <w:color w:val="auto"/>
              </w:rPr>
            </w:pPr>
          </w:p>
        </w:tc>
      </w:tr>
      <w:tr>
        <w:trPr>
          <w:trHeight w:val="229"/>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Jan. - Mar.</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Put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14,000</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w:t>
            </w:r>
          </w:p>
        </w:tc>
        <w:tc>
          <w:tcPr>
            <w:tcW w:w="16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2"/>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$1.66</w:t>
            </w:r>
          </w:p>
        </w:tc>
        <w:tc>
          <w:tcPr>
            <w:tcW w:w="0" w:type="dxa"/>
            <w:vAlign w:val="bottom"/>
          </w:tcPr>
          <w:p>
            <w:pPr>
              <w:spacing w:after="0"/>
              <w:rPr>
                <w:sz w:val="1"/>
                <w:szCs w:val="1"/>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84"/>
              </w:rPr>
              <w:t>Jan. - Sep.</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Put</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860" w:type="dxa"/>
            <w:vAlign w:val="bottom"/>
          </w:tcPr>
          <w:p>
            <w:pPr>
              <w:jc w:val="center"/>
              <w:spacing w:after="0"/>
              <w:rPr>
                <w:sz w:val="20"/>
                <w:szCs w:val="20"/>
                <w:color w:val="auto"/>
              </w:rPr>
            </w:pPr>
            <w:r>
              <w:rPr>
                <w:rFonts w:ascii="Arial" w:cs="Arial" w:eastAsia="Arial" w:hAnsi="Arial"/>
                <w:sz w:val="18"/>
                <w:szCs w:val="18"/>
                <w:color w:val="auto"/>
                <w:w w:val="94"/>
              </w:rPr>
              <w:t>Argus WTI Houston</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$50.00</w:t>
            </w:r>
          </w:p>
        </w:tc>
        <w:tc>
          <w:tcPr>
            <w:tcW w:w="1600" w:type="dxa"/>
            <w:vAlign w:val="bottom"/>
          </w:tcPr>
          <w:p>
            <w:pPr>
              <w:jc w:val="center"/>
              <w:ind w:left="12"/>
              <w:spacing w:after="0"/>
              <w:rPr>
                <w:sz w:val="20"/>
                <w:szCs w:val="20"/>
                <w:color w:val="auto"/>
              </w:rPr>
            </w:pPr>
            <w:r>
              <w:rPr>
                <w:rFonts w:ascii="Arial" w:cs="Arial" w:eastAsia="Arial" w:hAnsi="Arial"/>
                <w:sz w:val="18"/>
                <w:szCs w:val="18"/>
                <w:color w:val="auto"/>
                <w:w w:val="92"/>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$1.93</w:t>
            </w: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Put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Argus WTI Houston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w:t>
            </w:r>
          </w:p>
        </w:tc>
        <w:tc>
          <w:tcPr>
            <w:tcW w:w="16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2"/>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$1.88</w:t>
            </w:r>
          </w:p>
        </w:tc>
        <w:tc>
          <w:tcPr>
            <w:tcW w:w="0" w:type="dxa"/>
            <w:vAlign w:val="bottom"/>
          </w:tcPr>
          <w:p>
            <w:pPr>
              <w:spacing w:after="0"/>
              <w:rPr>
                <w:sz w:val="1"/>
                <w:szCs w:val="1"/>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88"/>
              </w:rPr>
              <w:t>Apr. - June</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Put</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860" w:type="dxa"/>
            <w:vAlign w:val="bottom"/>
          </w:tcPr>
          <w:p>
            <w:pPr>
              <w:jc w:val="center"/>
              <w:spacing w:after="0"/>
              <w:rPr>
                <w:sz w:val="20"/>
                <w:szCs w:val="20"/>
                <w:color w:val="auto"/>
              </w:rPr>
            </w:pPr>
            <w:r>
              <w:rPr>
                <w:rFonts w:ascii="Arial" w:cs="Arial" w:eastAsia="Arial" w:hAnsi="Arial"/>
                <w:sz w:val="18"/>
                <w:szCs w:val="18"/>
                <w:color w:val="auto"/>
              </w:rPr>
              <w:t>WTI</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$47.50</w:t>
            </w:r>
          </w:p>
        </w:tc>
        <w:tc>
          <w:tcPr>
            <w:tcW w:w="1600" w:type="dxa"/>
            <w:vAlign w:val="bottom"/>
          </w:tcPr>
          <w:p>
            <w:pPr>
              <w:jc w:val="center"/>
              <w:ind w:left="12"/>
              <w:spacing w:after="0"/>
              <w:rPr>
                <w:sz w:val="20"/>
                <w:szCs w:val="20"/>
                <w:color w:val="auto"/>
              </w:rPr>
            </w:pPr>
            <w:r>
              <w:rPr>
                <w:rFonts w:ascii="Arial" w:cs="Arial" w:eastAsia="Arial" w:hAnsi="Arial"/>
                <w:sz w:val="18"/>
                <w:szCs w:val="18"/>
                <w:color w:val="auto"/>
                <w:w w:val="92"/>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$1.55</w:t>
            </w: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Apr. - June</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Put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24,000</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w:t>
            </w:r>
          </w:p>
        </w:tc>
        <w:tc>
          <w:tcPr>
            <w:tcW w:w="16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2"/>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$1.80</w:t>
            </w:r>
          </w:p>
        </w:tc>
        <w:tc>
          <w:tcPr>
            <w:tcW w:w="0" w:type="dxa"/>
            <w:vAlign w:val="bottom"/>
          </w:tcPr>
          <w:p>
            <w:pPr>
              <w:spacing w:after="0"/>
              <w:rPr>
                <w:sz w:val="1"/>
                <w:szCs w:val="1"/>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91"/>
              </w:rPr>
              <w:t>July - Sep.</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Put</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20,000</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$50.00</w:t>
            </w:r>
          </w:p>
        </w:tc>
        <w:tc>
          <w:tcPr>
            <w:tcW w:w="1600" w:type="dxa"/>
            <w:vAlign w:val="bottom"/>
          </w:tcPr>
          <w:p>
            <w:pPr>
              <w:jc w:val="center"/>
              <w:ind w:left="12"/>
              <w:spacing w:after="0"/>
              <w:rPr>
                <w:sz w:val="20"/>
                <w:szCs w:val="20"/>
                <w:color w:val="auto"/>
              </w:rPr>
            </w:pPr>
            <w:r>
              <w:rPr>
                <w:rFonts w:ascii="Arial" w:cs="Arial" w:eastAsia="Arial" w:hAnsi="Arial"/>
                <w:sz w:val="18"/>
                <w:szCs w:val="18"/>
                <w:color w:val="auto"/>
                <w:w w:val="92"/>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$1.84</w:t>
            </w:r>
          </w:p>
        </w:tc>
        <w:tc>
          <w:tcPr>
            <w:tcW w:w="0" w:type="dxa"/>
            <w:vAlign w:val="bottom"/>
          </w:tcPr>
          <w:p>
            <w:pPr>
              <w:spacing w:after="0"/>
              <w:rPr>
                <w:sz w:val="1"/>
                <w:szCs w:val="1"/>
                <w:color w:val="auto"/>
              </w:rPr>
            </w:pPr>
          </w:p>
        </w:tc>
      </w:tr>
      <w:tr>
        <w:trPr>
          <w:trHeight w:val="229"/>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Put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16,000</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w:t>
            </w:r>
          </w:p>
        </w:tc>
        <w:tc>
          <w:tcPr>
            <w:tcW w:w="16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2"/>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$1.84</w:t>
            </w:r>
          </w:p>
        </w:tc>
        <w:tc>
          <w:tcPr>
            <w:tcW w:w="0" w:type="dxa"/>
            <w:vAlign w:val="bottom"/>
          </w:tcPr>
          <w:p>
            <w:pPr>
              <w:spacing w:after="0"/>
              <w:rPr>
                <w:sz w:val="1"/>
                <w:szCs w:val="1"/>
                <w:color w:val="auto"/>
              </w:rPr>
            </w:pPr>
          </w:p>
        </w:tc>
      </w:tr>
      <w:tr>
        <w:trPr>
          <w:trHeight w:val="230"/>
        </w:trPr>
        <w:tc>
          <w:tcPr>
            <w:tcW w:w="1180" w:type="dxa"/>
            <w:vAlign w:val="bottom"/>
          </w:tcPr>
          <w:p>
            <w:pPr>
              <w:jc w:val="center"/>
              <w:spacing w:after="0"/>
              <w:rPr>
                <w:sz w:val="20"/>
                <w:szCs w:val="20"/>
                <w:color w:val="auto"/>
              </w:rPr>
            </w:pPr>
            <w:r>
              <w:rPr>
                <w:rFonts w:ascii="Arial" w:cs="Arial" w:eastAsia="Arial" w:hAnsi="Arial"/>
                <w:sz w:val="18"/>
                <w:szCs w:val="18"/>
                <w:color w:val="auto"/>
                <w:w w:val="89"/>
              </w:rPr>
              <w:t>Jan. - Dec.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Basis Put</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50,000</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600" w:type="dxa"/>
            <w:vAlign w:val="bottom"/>
          </w:tcPr>
          <w:p>
            <w:pPr>
              <w:jc w:val="center"/>
              <w:ind w:left="12"/>
              <w:spacing w:after="0"/>
              <w:rPr>
                <w:sz w:val="20"/>
                <w:szCs w:val="20"/>
                <w:color w:val="auto"/>
              </w:rPr>
            </w:pPr>
            <w:r>
              <w:rPr>
                <w:rFonts w:ascii="Arial" w:cs="Arial" w:eastAsia="Arial" w:hAnsi="Arial"/>
                <w:sz w:val="18"/>
                <w:szCs w:val="18"/>
                <w:color w:val="auto"/>
                <w:w w:val="92"/>
              </w:rPr>
              <w:t>$(10.40)</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$0.78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second quarter of 2021, the Company entered into two interest rate swap agreements for notional amounts of $600 million each to limit the Company’s exposure to changes in the fair value of debt due to movements in LIBOR interest rates. These interest rate swaps have been designated as fair value hedges of the Company’s $1.2 billion 3.50% fixed rate senior notes due 2029 (the “2029 Notes”) whereby the Company will receive the fixed rate of interest and will pay an average variable rate of interest based on three month LIBOR plus 2.1865%. Gains and losses due to changes in the fair value of the interest rate swaps completely offset changes in the fair value of the hedged portion of the underlying debt, and were not material for the year ended December 31, 2021. These interest rate swaps are assumed to be perfectly effective and were determined to qualify for the shortcut method of accounting. The swaps expire on December 1, 2029, with an alternative early termination date of September 1, 2029, which mirrors the call option in the 2029 Notes.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2020 and the first quarter of 2021, the Company used interest rate swaps to reduce its exposure to variable rate interest payments associated with the Company’s revolving credit facility. These interest rate swaps were not designated as hedging instruments and as a result, the Company recognized all changes in fair value immediately in earnings. During the first quarter of 2021, the Company terminated all of its previously outstanding interest rate swaps which resulted in cash received upon settlement of $80 million, net of fees, during the year ended December 31, 2021. The interest rate swaps contained an other-than-insignificant financing element at inception, and therefore, the cash receipts were classified as cash flows from financing activities in the consolidated statements of cash flow for the year ended December 31,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16—</w:t>
      </w:r>
      <w:hyperlink w:anchor="page126">
        <w:r>
          <w:rPr>
            <w:rFonts w:ascii="Arial" w:cs="Arial" w:eastAsia="Arial" w:hAnsi="Arial"/>
            <w:sz w:val="18"/>
            <w:szCs w:val="18"/>
            <w:u w:val="single" w:color="auto"/>
            <w:color w:val="0000FF"/>
          </w:rPr>
          <w:t>Fair Value Measurements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5" w:name="page126"/>
    <w:bookmarkEnd w:id="1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not designated as hedging instruments included in the consolidated statements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131"/>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r>
      <w:tr>
        <w:trPr>
          <w:trHeight w:val="209"/>
        </w:trPr>
        <w:tc>
          <w:tcPr>
            <w:tcW w:w="6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9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960" w:type="dxa"/>
            <w:vAlign w:val="bottom"/>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6200" w:type="dxa"/>
            <w:vAlign w:val="bottom"/>
          </w:tcPr>
          <w:p>
            <w:pPr>
              <w:ind w:left="4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2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3"/>
                <w:szCs w:val="23"/>
                <w:color w:val="auto"/>
                <w:vertAlign w:val="superscript"/>
              </w:rPr>
              <w:t>(1)(2)</w:t>
            </w:r>
          </w:p>
        </w:tc>
        <w:tc>
          <w:tcPr>
            <w:tcW w:w="9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200" w:type="dxa"/>
            <w:vAlign w:val="bottom"/>
          </w:tcPr>
          <w:p>
            <w:pPr>
              <w:ind w:left="220"/>
              <w:spacing w:after="0" w:line="230"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(3)</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8"/>
        </w:trPr>
        <w:tc>
          <w:tcPr>
            <w:tcW w:w="62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year ended December 31, 2021 includes cash paid on commodity contracts terminated prior to their contractual maturity of $16 million.</w:t>
      </w:r>
    </w:p>
    <w:p>
      <w:pPr>
        <w:spacing w:after="0" w:line="34" w:lineRule="exact"/>
        <w:rPr>
          <w:rFonts w:ascii="Arial" w:cs="Arial" w:eastAsia="Arial" w:hAnsi="Arial"/>
          <w:sz w:val="17"/>
          <w:szCs w:val="17"/>
          <w:color w:val="auto"/>
        </w:rPr>
      </w:pPr>
    </w:p>
    <w:p>
      <w:pPr>
        <w:ind w:left="320" w:hanging="312"/>
        <w:spacing w:after="0"/>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year ended December 31, 2020 includes cash received on commodity contracts terminated prior to their contractual maturity of $17 million.</w:t>
      </w:r>
    </w:p>
    <w:p>
      <w:pPr>
        <w:spacing w:after="0" w:line="20" w:lineRule="exact"/>
        <w:rPr>
          <w:rFonts w:ascii="Arial" w:cs="Arial" w:eastAsia="Arial" w:hAnsi="Arial"/>
          <w:sz w:val="17"/>
          <w:szCs w:val="17"/>
          <w:color w:val="auto"/>
        </w:rPr>
      </w:pPr>
    </w:p>
    <w:p>
      <w:pPr>
        <w:ind w:left="340" w:hanging="332"/>
        <w:spacing w:after="0" w:line="260" w:lineRule="auto"/>
        <w:tabs>
          <w:tab w:leader="none" w:pos="3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years ended December 31, 2021 and 2019 include cash received on interest rate swap contracts terminated prior to their contractual maturity of $80 million and $43 million, respectively.</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6" w:name="page127"/>
    <w:bookmarkEnd w:id="1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assets and liabilities are reported at fair value on a recurring basis, including the Company’s commodity derivative instruments and interest rate swaps. The fair values of the Company’s commodity derivative contracts are measured internally using established commodity futures price strips for the underlying commodity provided by a reputable third party, the contracted notional volumes, and time to maturity. Interest rate swaps designated as fair value hedges and those that are not designated as hedges are determined based on inputs that are readily available in public markets, can be derived from information available in publicly quoted markets, or are provided by financial institutions that trade these contracts. These valuations are Level 2 inputs. The net fair value of the Company’s interest rate swaps designated as hedges are included in long-term debt in the consolidated balance sheet.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right="20" w:firstLine="8"/>
        <w:spacing w:after="0" w:line="277" w:lineRule="auto"/>
        <w:tabs>
          <w:tab w:leader="none" w:pos="26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gross amounts of recognized derivative assets and liabilities, (iii) the amounts offset under master netting arrangements with counterparties, and (iv) the resulting net amounts presented in the Company’s consolidated balance sheets as of December 31, 2021 and December 31, 2020. The net amounts of derivative instruments are classified as current or noncurrent based on their anticipated settlement dates.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center"/>
              <w:ind w:right="573"/>
              <w:spacing w:after="0"/>
              <w:rPr>
                <w:sz w:val="20"/>
                <w:szCs w:val="20"/>
                <w:color w:val="auto"/>
              </w:rPr>
            </w:pPr>
            <w:r>
              <w:rPr>
                <w:rFonts w:ascii="Arial" w:cs="Arial" w:eastAsia="Arial" w:hAnsi="Arial"/>
                <w:sz w:val="16"/>
                <w:szCs w:val="16"/>
                <w:b w:val="1"/>
                <w:bCs w:val="1"/>
                <w:color w:val="auto"/>
                <w:w w:val="90"/>
              </w:rPr>
              <w:t>As of December 31, 2021</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2"/>
            <w:vMerge w:val="restart"/>
          </w:tcPr>
          <w:p>
            <w:pPr>
              <w:jc w:val="center"/>
              <w:ind w:left="773"/>
              <w:spacing w:after="0"/>
              <w:rPr>
                <w:sz w:val="20"/>
                <w:szCs w:val="20"/>
                <w:color w:val="auto"/>
              </w:rPr>
            </w:pPr>
            <w:r>
              <w:rPr>
                <w:rFonts w:ascii="Arial" w:cs="Arial" w:eastAsia="Arial" w:hAnsi="Arial"/>
                <w:sz w:val="16"/>
                <w:szCs w:val="16"/>
                <w:b w:val="1"/>
                <w:bCs w:val="1"/>
                <w:color w:val="auto"/>
                <w:w w:val="92"/>
              </w:rPr>
              <w:t>Total Gross Fair</w:t>
            </w:r>
          </w:p>
        </w:tc>
        <w:tc>
          <w:tcPr>
            <w:tcW w:w="160" w:type="dxa"/>
            <w:vAlign w:val="bottom"/>
          </w:tcPr>
          <w:p>
            <w:pPr>
              <w:spacing w:after="0"/>
              <w:rPr>
                <w:sz w:val="13"/>
                <w:szCs w:val="13"/>
                <w:color w:val="auto"/>
              </w:rPr>
            </w:pPr>
          </w:p>
        </w:tc>
        <w:tc>
          <w:tcPr>
            <w:tcW w:w="1400" w:type="dxa"/>
            <w:vAlign w:val="bottom"/>
          </w:tcPr>
          <w:p>
            <w:pPr>
              <w:jc w:val="center"/>
              <w:ind w:right="33"/>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200" w:type="dxa"/>
            <w:vAlign w:val="bottom"/>
          </w:tcPr>
          <w:p>
            <w:pPr>
              <w:spacing w:after="0"/>
              <w:rPr>
                <w:sz w:val="13"/>
                <w:szCs w:val="13"/>
                <w:color w:val="auto"/>
              </w:rPr>
            </w:pPr>
          </w:p>
        </w:tc>
        <w:tc>
          <w:tcPr>
            <w:tcW w:w="1380" w:type="dxa"/>
            <w:vAlign w:val="bottom"/>
          </w:tcPr>
          <w:p>
            <w:pPr>
              <w:jc w:val="center"/>
              <w:ind w:right="92"/>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2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1"/>
              </w:rPr>
              <w:t>Offset in Balance</w:t>
            </w:r>
          </w:p>
        </w:tc>
        <w:tc>
          <w:tcPr>
            <w:tcW w:w="15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8"/>
              </w:rPr>
              <w:t>Presented in Balance</w:t>
            </w: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7"/>
              </w:rPr>
              <w:t>Sheet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jc w:val="center"/>
              <w:ind w:right="12"/>
              <w:spacing w:after="0"/>
              <w:rPr>
                <w:sz w:val="20"/>
                <w:szCs w:val="20"/>
                <w:color w:val="auto"/>
              </w:rPr>
            </w:pPr>
            <w:r>
              <w:rPr>
                <w:rFonts w:ascii="Arial" w:cs="Arial" w:eastAsia="Arial" w:hAnsi="Arial"/>
                <w:sz w:val="16"/>
                <w:szCs w:val="16"/>
                <w:b w:val="1"/>
                <w:bCs w:val="1"/>
                <w:color w:val="auto"/>
                <w:w w:val="95"/>
              </w:rPr>
              <w:t>(In millions)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820" w:type="dxa"/>
            <w:vAlign w:val="bottom"/>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7" w:name="page128"/>
    <w:bookmarkEnd w:id="1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As of December 31, 2020</w:t>
      </w:r>
    </w:p>
    <w:p>
      <w:pPr>
        <w:spacing w:after="0" w:line="26" w:lineRule="exact"/>
        <w:rPr>
          <w:sz w:val="20"/>
          <w:szCs w:val="20"/>
          <w:color w:val="auto"/>
        </w:rPr>
      </w:pPr>
    </w:p>
    <w:tbl>
      <w:tblPr>
        <w:tblLayout w:type="fixed"/>
        <w:tblInd w:w="3840" w:type="dxa"/>
        <w:tblCellMar>
          <w:top w:w="0" w:type="dxa"/>
          <w:left w:w="0" w:type="dxa"/>
          <w:bottom w:w="0" w:type="dxa"/>
          <w:right w:w="0" w:type="dxa"/>
        </w:tblCellMar>
      </w:tblPr>
      <w:tr>
        <w:trPr>
          <w:trHeight w:val="161"/>
        </w:trPr>
        <w:tc>
          <w:tcPr>
            <w:tcW w:w="10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Total Gross Fair</w:t>
            </w:r>
          </w:p>
        </w:tc>
        <w:tc>
          <w:tcPr>
            <w:tcW w:w="14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89"/>
              </w:rPr>
              <w:t>Gross Amounts</w:t>
            </w:r>
          </w:p>
        </w:tc>
        <w:tc>
          <w:tcPr>
            <w:tcW w:w="160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5"/>
              </w:rPr>
              <w:t>Net Fair Value</w:t>
            </w:r>
          </w:p>
        </w:tc>
        <w:tc>
          <w:tcPr>
            <w:tcW w:w="0" w:type="dxa"/>
            <w:vAlign w:val="bottom"/>
          </w:tcPr>
          <w:p>
            <w:pPr>
              <w:spacing w:after="0"/>
              <w:rPr>
                <w:sz w:val="1"/>
                <w:szCs w:val="1"/>
                <w:color w:val="auto"/>
              </w:rPr>
            </w:pPr>
          </w:p>
        </w:tc>
      </w:tr>
      <w:tr>
        <w:trPr>
          <w:trHeight w:val="162"/>
        </w:trPr>
        <w:tc>
          <w:tcPr>
            <w:tcW w:w="10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Level 1</w:t>
            </w:r>
          </w:p>
        </w:tc>
        <w:tc>
          <w:tcPr>
            <w:tcW w:w="104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Level 2</w:t>
            </w:r>
          </w:p>
        </w:tc>
        <w:tc>
          <w:tcPr>
            <w:tcW w:w="9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Level 3</w:t>
            </w:r>
          </w:p>
        </w:tc>
        <w:tc>
          <w:tcPr>
            <w:tcW w:w="1400" w:type="dxa"/>
            <w:vAlign w:val="bottom"/>
            <w:vMerge w:val="continue"/>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10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Sheet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3840" w:val="left"/>
          <w:tab w:leader="none" w:pos="4600" w:val="left"/>
          <w:tab w:leader="none" w:pos="5620" w:val="left"/>
          <w:tab w:leader="none" w:pos="6640" w:val="left"/>
          <w:tab w:leader="none" w:pos="7880" w:val="left"/>
          <w:tab w:leader="none" w:pos="9360" w:val="left"/>
          <w:tab w:leader="none" w:pos="1106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43 $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43 $</w:t>
      </w:r>
      <w:r>
        <w:rPr>
          <w:sz w:val="20"/>
          <w:szCs w:val="20"/>
          <w:color w:val="auto"/>
        </w:rPr>
        <w:tab/>
      </w:r>
      <w:r>
        <w:rPr>
          <w:rFonts w:ascii="Arial" w:cs="Arial" w:eastAsia="Arial" w:hAnsi="Arial"/>
          <w:sz w:val="18"/>
          <w:szCs w:val="18"/>
          <w:color w:val="auto"/>
        </w:rPr>
        <w:t>(42) $</w:t>
      </w:r>
      <w:r>
        <w:rPr>
          <w:sz w:val="20"/>
          <w:szCs w:val="20"/>
          <w:color w:val="auto"/>
        </w:rPr>
        <w:tab/>
      </w:r>
      <w:r>
        <w:rPr>
          <w:rFonts w:ascii="Arial" w:cs="Arial" w:eastAsia="Arial" w:hAnsi="Arial"/>
          <w:sz w:val="13"/>
          <w:szCs w:val="13"/>
          <w:color w:val="auto"/>
        </w:rPr>
        <w:t>1</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3840" w:val="left"/>
          <w:tab w:leader="none" w:pos="4600" w:val="left"/>
          <w:tab w:leader="none" w:pos="5540" w:val="left"/>
          <w:tab w:leader="none" w:pos="6640" w:val="left"/>
          <w:tab w:leader="none" w:pos="7780" w:val="left"/>
          <w:tab w:leader="none" w:pos="9260" w:val="left"/>
          <w:tab w:leader="none" w:pos="1096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440"/>
        <w:spacing w:after="0"/>
        <w:tabs>
          <w:tab w:leader="none" w:pos="3840" w:val="left"/>
          <w:tab w:leader="none" w:pos="4600" w:val="left"/>
          <w:tab w:leader="none" w:pos="5540" w:val="left"/>
          <w:tab w:leader="none" w:pos="6640" w:val="left"/>
          <w:tab w:leader="none" w:pos="7780" w:val="left"/>
          <w:tab w:leader="none" w:pos="9360" w:val="left"/>
          <w:tab w:leader="none" w:pos="1088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291 $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291 $</w:t>
      </w:r>
      <w:r>
        <w:rPr>
          <w:sz w:val="20"/>
          <w:szCs w:val="20"/>
          <w:color w:val="auto"/>
        </w:rPr>
        <w:tab/>
      </w:r>
      <w:r>
        <w:rPr>
          <w:rFonts w:ascii="Arial" w:cs="Arial" w:eastAsia="Arial" w:hAnsi="Arial"/>
          <w:sz w:val="18"/>
          <w:szCs w:val="18"/>
          <w:color w:val="auto"/>
        </w:rPr>
        <w:t>(42) $</w:t>
      </w:r>
      <w:r>
        <w:rPr>
          <w:sz w:val="20"/>
          <w:szCs w:val="20"/>
          <w:color w:val="auto"/>
        </w:rPr>
        <w:tab/>
      </w:r>
      <w:r>
        <w:rPr>
          <w:rFonts w:ascii="Arial" w:cs="Arial" w:eastAsia="Arial" w:hAnsi="Arial"/>
          <w:sz w:val="15"/>
          <w:szCs w:val="15"/>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Non-current:</w:t>
      </w:r>
    </w:p>
    <w:p>
      <w:pPr>
        <w:spacing w:after="0" w:line="23" w:lineRule="exact"/>
        <w:rPr>
          <w:sz w:val="20"/>
          <w:szCs w:val="20"/>
          <w:color w:val="auto"/>
        </w:rPr>
      </w:pPr>
    </w:p>
    <w:p>
      <w:pPr>
        <w:ind w:left="440"/>
        <w:spacing w:after="0"/>
        <w:tabs>
          <w:tab w:leader="none" w:pos="3840" w:val="left"/>
          <w:tab w:leader="none" w:pos="4600" w:val="left"/>
          <w:tab w:leader="none" w:pos="5540" w:val="left"/>
          <w:tab w:leader="none" w:pos="6640" w:val="left"/>
          <w:tab w:leader="none" w:pos="7780" w:val="left"/>
          <w:tab w:leader="none" w:pos="9260" w:val="left"/>
          <w:tab w:leader="none" w:pos="1096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244 $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244 $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6"/>
          <w:szCs w:val="16"/>
          <w:color w:val="auto"/>
        </w:rPr>
        <w:t>57</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ind w:left="600"/>
              <w:spacing w:after="0"/>
              <w:rPr>
                <w:sz w:val="20"/>
                <w:szCs w:val="20"/>
                <w:color w:val="auto"/>
              </w:rPr>
            </w:pPr>
            <w:r>
              <w:rPr>
                <w:rFonts w:ascii="Arial" w:cs="Arial" w:eastAsia="Arial" w:hAnsi="Arial"/>
                <w:sz w:val="16"/>
                <w:szCs w:val="16"/>
                <w:b w:val="1"/>
                <w:bCs w:val="1"/>
                <w:color w:val="auto"/>
              </w:rPr>
              <w:t>December 31, 2021</w:t>
            </w:r>
          </w:p>
        </w:tc>
        <w:tc>
          <w:tcPr>
            <w:tcW w:w="380" w:type="dxa"/>
            <w:vAlign w:val="bottom"/>
          </w:tcPr>
          <w:p>
            <w:pPr>
              <w:spacing w:after="0"/>
              <w:rPr>
                <w:sz w:val="18"/>
                <w:szCs w:val="18"/>
                <w:color w:val="auto"/>
              </w:rPr>
            </w:pPr>
          </w:p>
        </w:tc>
        <w:tc>
          <w:tcPr>
            <w:tcW w:w="2640" w:type="dxa"/>
            <w:vAlign w:val="bottom"/>
            <w:gridSpan w:val="3"/>
          </w:tcPr>
          <w:p>
            <w:pPr>
              <w:jc w:val="right"/>
              <w:ind w:right="775"/>
              <w:spacing w:after="0"/>
              <w:rPr>
                <w:sz w:val="20"/>
                <w:szCs w:val="20"/>
                <w:color w:val="auto"/>
              </w:rPr>
            </w:pPr>
            <w:r>
              <w:rPr>
                <w:rFonts w:ascii="Arial" w:cs="Arial" w:eastAsia="Arial" w:hAnsi="Arial"/>
                <w:sz w:val="16"/>
                <w:szCs w:val="16"/>
                <w:b w:val="1"/>
                <w:bCs w:val="1"/>
                <w:color w:val="auto"/>
              </w:rPr>
              <w:t>December 31, 2020</w:t>
            </w:r>
          </w:p>
        </w:tc>
      </w:tr>
      <w:tr>
        <w:trPr>
          <w:trHeight w:val="207"/>
        </w:trPr>
        <w:tc>
          <w:tcPr>
            <w:tcW w:w="50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77"/>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337"/>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9"/>
        </w:trPr>
        <w:tc>
          <w:tcPr>
            <w:tcW w:w="5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97"/>
              <w:spacing w:after="0"/>
              <w:rPr>
                <w:sz w:val="20"/>
                <w:szCs w:val="20"/>
                <w:color w:val="auto"/>
              </w:rPr>
            </w:pPr>
            <w:r>
              <w:rPr>
                <w:rFonts w:ascii="Arial" w:cs="Arial" w:eastAsia="Arial" w:hAnsi="Arial"/>
                <w:sz w:val="16"/>
                <w:szCs w:val="16"/>
                <w:b w:val="1"/>
                <w:bCs w:val="1"/>
                <w:color w:val="auto"/>
                <w:w w:val="88"/>
              </w:rPr>
              <w:t>Value</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37"/>
              <w:spacing w:after="0"/>
              <w:rPr>
                <w:sz w:val="20"/>
                <w:szCs w:val="20"/>
                <w:color w:val="auto"/>
              </w:rPr>
            </w:pPr>
            <w:r>
              <w:rPr>
                <w:rFonts w:ascii="Arial" w:cs="Arial" w:eastAsia="Arial" w:hAnsi="Arial"/>
                <w:sz w:val="16"/>
                <w:szCs w:val="16"/>
                <w:b w:val="1"/>
                <w:bCs w:val="1"/>
                <w:color w:val="auto"/>
                <w:w w:val="93"/>
              </w:rPr>
              <w:t>Value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2"/>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5,815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values of the Company’s credit agreement, the Viper credit agreement and the Rattler credit agreement approximate their carrying values based on borrowing rates available to the Company for bank loans with similar terms and maturities and is classified as Level 2 in the fair value hierarchy. The fair values of the outstanding notes were determined using the December 31, 2021 quoted market prices, a Level 1 classification in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Certain assets and liabilities are measured at fair value on a nonrecurring basis in certain circumstances. These assets and liabilities can include those acquired in a business combination, inventory, proved and unproved oil and gas properties and other long-lived assets that are written down to fair value when they are impaired or held for sale. Refer to Note 4—</w:t>
      </w:r>
      <w:hyperlink w:anchor="page98">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Note 8—</w:t>
      </w:r>
      <w:hyperlink w:anchor="page105">
        <w:r>
          <w:rPr>
            <w:rFonts w:ascii="Arial" w:cs="Arial" w:eastAsia="Arial" w:hAnsi="Arial"/>
            <w:sz w:val="18"/>
            <w:szCs w:val="18"/>
            <w:u w:val="single" w:color="auto"/>
            <w:color w:val="0000FF"/>
          </w:rPr>
          <w:t>Property and Equipment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 of nonrecurring fair value adjustments.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 of cash and cash equivalents, receivables, funds held in escrow, prepaid expenses and other current assets, payables and other accrued liabilities approximate their fair value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8" w:name="page129"/>
    <w:bookmarkEnd w:id="1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SUPPLEMENTAL INFORMATION TO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center"/>
              <w:ind w:left="111"/>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9"/>
              </w:rPr>
              <w:t>2020</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09"/>
        </w:trPr>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32"/>
              <w:spacing w:after="0"/>
              <w:rPr>
                <w:sz w:val="20"/>
                <w:szCs w:val="20"/>
                <w:color w:val="auto"/>
              </w:rPr>
            </w:pPr>
            <w:r>
              <w:rPr>
                <w:rFonts w:ascii="Arial" w:cs="Arial" w:eastAsia="Arial" w:hAnsi="Arial"/>
                <w:sz w:val="16"/>
                <w:szCs w:val="16"/>
                <w:b w:val="1"/>
                <w:bCs w:val="1"/>
                <w:color w:val="auto"/>
                <w:w w:val="93"/>
              </w:rPr>
              <w:t>(In millions)</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680" w:type="dxa"/>
            <w:vAlign w:val="bottom"/>
          </w:tcPr>
          <w:p>
            <w:pPr>
              <w:ind w:left="360"/>
              <w:spacing w:after="0"/>
              <w:rPr>
                <w:sz w:val="20"/>
                <w:szCs w:val="20"/>
                <w:color w:val="auto"/>
              </w:rPr>
            </w:pPr>
            <w:r>
              <w:rPr>
                <w:rFonts w:ascii="Arial" w:cs="Arial" w:eastAsia="Arial" w:hAnsi="Arial"/>
                <w:sz w:val="18"/>
                <w:szCs w:val="18"/>
                <w:color w:val="auto"/>
              </w:rPr>
              <w:t>Interest paid, net of capitalized interest</w:t>
            </w:r>
          </w:p>
        </w:tc>
        <w:tc>
          <w:tcPr>
            <w:tcW w:w="920" w:type="dxa"/>
            <w:vAlign w:val="bottom"/>
          </w:tcPr>
          <w:p>
            <w:pPr>
              <w:jc w:val="right"/>
              <w:ind w:right="73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194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(received) for income taxes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transactions: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Accrued capital expenditures included in accounts payable and accrued expenses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6680" w:type="dxa"/>
            <w:vAlign w:val="bottom"/>
          </w:tcPr>
          <w:p>
            <w:pPr>
              <w:ind w:left="360"/>
              <w:spacing w:after="0"/>
              <w:rPr>
                <w:sz w:val="20"/>
                <w:szCs w:val="20"/>
                <w:color w:val="auto"/>
              </w:rPr>
            </w:pPr>
            <w:r>
              <w:rPr>
                <w:rFonts w:ascii="Arial" w:cs="Arial" w:eastAsia="Arial" w:hAnsi="Arial"/>
                <w:sz w:val="18"/>
                <w:szCs w:val="18"/>
                <w:color w:val="auto"/>
              </w:rPr>
              <w:t>Capitalized stock-based compensation</w:t>
            </w:r>
          </w:p>
        </w:tc>
        <w:tc>
          <w:tcPr>
            <w:tcW w:w="920" w:type="dxa"/>
            <w:vAlign w:val="bottom"/>
          </w:tcPr>
          <w:p>
            <w:pPr>
              <w:jc w:val="right"/>
              <w:ind w:right="73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issued for business combinations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3"/>
              </w:rPr>
              <w:t>1,727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ind w:left="360"/>
              <w:spacing w:after="0"/>
              <w:rPr>
                <w:sz w:val="20"/>
                <w:szCs w:val="20"/>
                <w:color w:val="auto"/>
              </w:rPr>
            </w:pPr>
            <w:r>
              <w:rPr>
                <w:rFonts w:ascii="Arial" w:cs="Arial" w:eastAsia="Arial" w:hAnsi="Arial"/>
                <w:sz w:val="18"/>
                <w:szCs w:val="18"/>
                <w:color w:val="auto"/>
              </w:rPr>
              <w:t>Asset retirement obligations acquired</w:t>
            </w:r>
          </w:p>
        </w:tc>
        <w:tc>
          <w:tcPr>
            <w:tcW w:w="920" w:type="dxa"/>
            <w:vAlign w:val="bottom"/>
          </w:tcPr>
          <w:p>
            <w:pPr>
              <w:jc w:val="right"/>
              <w:ind w:right="73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65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31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COMMITMENTS AND CONTINGENCIES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 a party to various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of minimum future payments with commitments that have initial or remaining noncancellable terms in excess of one year as of December 31, 2021: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Transportation</w:t>
            </w:r>
          </w:p>
        </w:tc>
        <w:tc>
          <w:tcPr>
            <w:tcW w:w="240" w:type="dxa"/>
            <w:vAlign w:val="bottom"/>
          </w:tcPr>
          <w:p>
            <w:pPr>
              <w:spacing w:after="0"/>
              <w:rPr>
                <w:sz w:val="16"/>
                <w:szCs w:val="16"/>
                <w:color w:val="auto"/>
              </w:rPr>
            </w:pPr>
          </w:p>
        </w:tc>
        <w:tc>
          <w:tcPr>
            <w:tcW w:w="154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Sand Supply</w:t>
            </w:r>
          </w:p>
        </w:tc>
        <w:tc>
          <w:tcPr>
            <w:tcW w:w="180" w:type="dxa"/>
            <w:vAlign w:val="bottom"/>
          </w:tcPr>
          <w:p>
            <w:pPr>
              <w:spacing w:after="0"/>
              <w:rPr>
                <w:sz w:val="16"/>
                <w:szCs w:val="16"/>
                <w:color w:val="auto"/>
              </w:rPr>
            </w:pPr>
          </w:p>
        </w:tc>
        <w:tc>
          <w:tcPr>
            <w:tcW w:w="150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Produced Water</w:t>
            </w:r>
          </w:p>
        </w:tc>
        <w:tc>
          <w:tcPr>
            <w:tcW w:w="0" w:type="dxa"/>
            <w:vAlign w:val="bottom"/>
          </w:tcPr>
          <w:p>
            <w:pPr>
              <w:spacing w:after="0"/>
              <w:rPr>
                <w:sz w:val="1"/>
                <w:szCs w:val="1"/>
                <w:color w:val="auto"/>
              </w:rPr>
            </w:pPr>
          </w:p>
        </w:tc>
      </w:tr>
      <w:tr>
        <w:trPr>
          <w:trHeight w:val="162"/>
        </w:trPr>
        <w:tc>
          <w:tcPr>
            <w:tcW w:w="598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Year Ending December 31,</w:t>
            </w:r>
          </w:p>
        </w:tc>
        <w:tc>
          <w:tcPr>
            <w:tcW w:w="2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13"/>
              <w:spacing w:after="0" w:line="162" w:lineRule="exact"/>
              <w:rPr>
                <w:sz w:val="20"/>
                <w:szCs w:val="20"/>
                <w:color w:val="auto"/>
              </w:rPr>
            </w:pPr>
            <w:r>
              <w:rPr>
                <w:rFonts w:ascii="Arial" w:cs="Arial" w:eastAsia="Arial" w:hAnsi="Arial"/>
                <w:sz w:val="16"/>
                <w:szCs w:val="16"/>
                <w:b w:val="1"/>
                <w:bCs w:val="1"/>
                <w:color w:val="auto"/>
                <w:w w:val="86"/>
              </w:rPr>
              <w:t>Disposal</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300"/>
              <w:spacing w:after="0" w:line="216" w:lineRule="exact"/>
              <w:rPr>
                <w:sz w:val="20"/>
                <w:szCs w:val="20"/>
                <w:color w:val="auto"/>
              </w:rPr>
            </w:pPr>
            <w:r>
              <w:rPr>
                <w:rFonts w:ascii="Arial" w:cs="Arial" w:eastAsia="Arial" w:hAnsi="Arial"/>
                <w:sz w:val="16"/>
                <w:szCs w:val="16"/>
                <w:b w:val="1"/>
                <w:bCs w:val="1"/>
                <w:color w:val="auto"/>
                <w:w w:val="88"/>
              </w:rPr>
              <w:t>Commitments</w:t>
            </w:r>
            <w:r>
              <w:rPr>
                <w:rFonts w:ascii="Arial" w:cs="Arial" w:eastAsia="Arial" w:hAnsi="Arial"/>
                <w:sz w:val="21"/>
                <w:szCs w:val="21"/>
                <w:b w:val="1"/>
                <w:bCs w:val="1"/>
                <w:color w:val="auto"/>
                <w:w w:val="88"/>
                <w:vertAlign w:val="superscript"/>
              </w:rPr>
              <w:t>(1)</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520"/>
              <w:spacing w:after="0" w:line="216" w:lineRule="exact"/>
              <w:rPr>
                <w:sz w:val="20"/>
                <w:szCs w:val="20"/>
                <w:color w:val="auto"/>
              </w:rPr>
            </w:pPr>
            <w:r>
              <w:rPr>
                <w:rFonts w:ascii="Arial" w:cs="Arial" w:eastAsia="Arial" w:hAnsi="Arial"/>
                <w:sz w:val="16"/>
                <w:szCs w:val="16"/>
                <w:b w:val="1"/>
                <w:bCs w:val="1"/>
                <w:color w:val="auto"/>
                <w:w w:val="99"/>
              </w:rPr>
              <w:t>Agreement</w:t>
            </w:r>
            <w:r>
              <w:rPr>
                <w:rFonts w:ascii="Arial" w:cs="Arial" w:eastAsia="Arial" w:hAnsi="Arial"/>
                <w:sz w:val="21"/>
                <w:szCs w:val="21"/>
                <w:b w:val="1"/>
                <w:bCs w:val="1"/>
                <w:color w:val="auto"/>
                <w:w w:val="99"/>
                <w:vertAlign w:val="superscript"/>
              </w:rPr>
              <w:t>(2)</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13"/>
              <w:spacing w:after="0" w:line="216" w:lineRule="exact"/>
              <w:rPr>
                <w:sz w:val="20"/>
                <w:szCs w:val="20"/>
                <w:color w:val="auto"/>
              </w:rPr>
            </w:pPr>
            <w:r>
              <w:rPr>
                <w:rFonts w:ascii="Arial" w:cs="Arial" w:eastAsia="Arial" w:hAnsi="Arial"/>
                <w:sz w:val="16"/>
                <w:szCs w:val="16"/>
                <w:b w:val="1"/>
                <w:bCs w:val="1"/>
                <w:color w:val="auto"/>
                <w:w w:val="88"/>
              </w:rPr>
              <w:t>Commitments</w:t>
            </w:r>
            <w:r>
              <w:rPr>
                <w:rFonts w:ascii="Arial" w:cs="Arial" w:eastAsia="Arial" w:hAnsi="Arial"/>
                <w:sz w:val="21"/>
                <w:szCs w:val="21"/>
                <w:b w:val="1"/>
                <w:bCs w:val="1"/>
                <w:color w:val="auto"/>
                <w:w w:val="88"/>
                <w:vertAlign w:val="superscript"/>
              </w:rPr>
              <w:t>(3)</w:t>
            </w: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left="340" w:hanging="332"/>
        <w:spacing w:after="0" w:line="255"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has committed to transport gross quantities of crude oil and natural gas on various pipelines under a variety of contracts including throughput and take-or-pay agreements. The Company’s failure to purchase the minimum level of quantities would require it to pay shortfall fees up to the amount of the original monthly commitment amounts included in the table above.</w:t>
      </w:r>
    </w:p>
    <w:p>
      <w:pPr>
        <w:spacing w:after="0" w:line="2" w:lineRule="exact"/>
        <w:rPr>
          <w:rFonts w:ascii="Arial" w:cs="Arial" w:eastAsia="Arial" w:hAnsi="Arial"/>
          <w:sz w:val="18"/>
          <w:szCs w:val="18"/>
          <w:color w:val="auto"/>
        </w:rPr>
      </w:pPr>
    </w:p>
    <w:p>
      <w:pPr>
        <w:ind w:left="340" w:right="20" w:hanging="332"/>
        <w:spacing w:after="0" w:line="260" w:lineRule="auto"/>
        <w:tabs>
          <w:tab w:leader="none" w:pos="3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has committed to purchase minimum quantities of sand for use in its drilling operations. Our failure to purchase the minimum level of quantities would require us to pay shortfall fees up to the commitment amounts included in the table above.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9" w:name="page130"/>
    <w:bookmarkEnd w:id="1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740" w:right="480" w:hanging="732"/>
        <w:spacing w:after="0" w:line="555" w:lineRule="auto"/>
        <w:tabs>
          <w:tab w:leader="none" w:pos="329" w:val="left"/>
        </w:tabs>
        <w:numPr>
          <w:ilvl w:val="0"/>
          <w:numId w:val="50"/>
        </w:numPr>
        <w:rPr>
          <w:rFonts w:ascii="Arial" w:cs="Arial" w:eastAsia="Arial" w:hAnsi="Arial"/>
          <w:sz w:val="18"/>
          <w:szCs w:val="18"/>
          <w:color w:val="auto"/>
        </w:rPr>
      </w:pPr>
      <w:r>
        <w:rPr>
          <w:rFonts w:ascii="Arial" w:cs="Arial" w:eastAsia="Arial" w:hAnsi="Arial"/>
          <w:sz w:val="18"/>
          <w:szCs w:val="18"/>
          <w:color w:val="auto"/>
        </w:rPr>
        <w:t>Rattler entered into a minimum volume commitment to purchase produced water disposal services under a 14 year agreement beginning in 2021. At December 31, 2021, the Company’s delivery commitments covered the following gross volumes of oil:</w:t>
      </w:r>
    </w:p>
    <w:tbl>
      <w:tblPr>
        <w:tblLayout w:type="fixed"/>
        <w:tblInd w:w="0" w:type="dxa"/>
        <w:tblCellMar>
          <w:top w:w="0" w:type="dxa"/>
          <w:left w:w="0" w:type="dxa"/>
          <w:bottom w:w="0" w:type="dxa"/>
          <w:right w:w="0" w:type="dxa"/>
        </w:tblCellMar>
      </w:tblPr>
      <w:tr>
        <w:trPr>
          <w:trHeight w:val="164"/>
        </w:trPr>
        <w:tc>
          <w:tcPr>
            <w:tcW w:w="9140" w:type="dxa"/>
            <w:vAlign w:val="bottom"/>
            <w:gridSpan w:val="2"/>
            <w:vMerge w:val="restart"/>
          </w:tcPr>
          <w:p>
            <w:pPr>
              <w:ind w:left="3600"/>
              <w:spacing w:after="0"/>
              <w:rPr>
                <w:sz w:val="20"/>
                <w:szCs w:val="20"/>
                <w:color w:val="auto"/>
              </w:rPr>
            </w:pPr>
            <w:r>
              <w:rPr>
                <w:rFonts w:ascii="Arial" w:cs="Arial" w:eastAsia="Arial" w:hAnsi="Arial"/>
                <w:sz w:val="16"/>
                <w:szCs w:val="16"/>
                <w:b w:val="1"/>
                <w:bCs w:val="1"/>
                <w:color w:val="auto"/>
              </w:rPr>
              <w:t>Year Ending December 31,</w:t>
            </w:r>
          </w:p>
        </w:tc>
        <w:tc>
          <w:tcPr>
            <w:tcW w:w="2100" w:type="dxa"/>
            <w:vAlign w:val="bottom"/>
          </w:tcPr>
          <w:p>
            <w:pPr>
              <w:jc w:val="right"/>
              <w:ind w:right="52"/>
              <w:spacing w:after="0" w:line="164" w:lineRule="exact"/>
              <w:rPr>
                <w:sz w:val="20"/>
                <w:szCs w:val="20"/>
                <w:color w:val="auto"/>
              </w:rPr>
            </w:pPr>
            <w:r>
              <w:rPr>
                <w:rFonts w:ascii="Arial" w:cs="Arial" w:eastAsia="Arial" w:hAnsi="Arial"/>
                <w:sz w:val="16"/>
                <w:szCs w:val="16"/>
                <w:b w:val="1"/>
                <w:bCs w:val="1"/>
                <w:color w:val="auto"/>
                <w:w w:val="99"/>
              </w:rPr>
              <w:t>Oil Volume Commitments</w:t>
            </w:r>
          </w:p>
        </w:tc>
        <w:tc>
          <w:tcPr>
            <w:tcW w:w="0" w:type="dxa"/>
            <w:vAlign w:val="bottom"/>
          </w:tcPr>
          <w:p>
            <w:pPr>
              <w:spacing w:after="0"/>
              <w:rPr>
                <w:sz w:val="1"/>
                <w:szCs w:val="1"/>
                <w:color w:val="auto"/>
              </w:rPr>
            </w:pPr>
          </w:p>
        </w:tc>
      </w:tr>
      <w:tr>
        <w:trPr>
          <w:trHeight w:val="213"/>
        </w:trPr>
        <w:tc>
          <w:tcPr>
            <w:tcW w:w="9140" w:type="dxa"/>
            <w:vAlign w:val="bottom"/>
            <w:gridSpan w:val="2"/>
            <w:vMerge w:val="continue"/>
          </w:tcPr>
          <w:p>
            <w:pPr>
              <w:spacing w:after="0"/>
              <w:rPr>
                <w:sz w:val="18"/>
                <w:szCs w:val="18"/>
                <w:color w:val="auto"/>
              </w:rPr>
            </w:pPr>
          </w:p>
        </w:tc>
        <w:tc>
          <w:tcPr>
            <w:tcW w:w="2100" w:type="dxa"/>
            <w:vAlign w:val="bottom"/>
          </w:tcPr>
          <w:p>
            <w:pPr>
              <w:jc w:val="right"/>
              <w:ind w:right="712"/>
              <w:spacing w:after="0"/>
              <w:rPr>
                <w:sz w:val="20"/>
                <w:szCs w:val="20"/>
                <w:color w:val="auto"/>
              </w:rPr>
            </w:pPr>
            <w:r>
              <w:rPr>
                <w:rFonts w:ascii="Arial" w:cs="Arial" w:eastAsia="Arial" w:hAnsi="Arial"/>
                <w:sz w:val="16"/>
                <w:szCs w:val="16"/>
                <w:b w:val="1"/>
                <w:bCs w:val="1"/>
                <w:color w:val="auto"/>
              </w:rPr>
              <w:t>(Bbl/d)</w:t>
            </w:r>
          </w:p>
        </w:tc>
        <w:tc>
          <w:tcPr>
            <w:tcW w:w="0" w:type="dxa"/>
            <w:vAlign w:val="bottom"/>
          </w:tcPr>
          <w:p>
            <w:pPr>
              <w:spacing w:after="0"/>
              <w:rPr>
                <w:sz w:val="1"/>
                <w:szCs w:val="1"/>
                <w:color w:val="auto"/>
              </w:rPr>
            </w:pPr>
          </w:p>
        </w:tc>
      </w:tr>
      <w:tr>
        <w:trPr>
          <w:trHeight w:val="226"/>
        </w:trPr>
        <w:tc>
          <w:tcPr>
            <w:tcW w:w="9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29"/>
        </w:trPr>
        <w:tc>
          <w:tcPr>
            <w:tcW w:w="9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48"/>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Rattler’s anticipated future capital commitments for its equity method investments total $28 million in the aggregate. The timing of when capital commitments will be requested can vary, but at December 31, 2021, approximately $11 million of the remaining commitment is expected to be funded in 2022, with the remaining $17 million expected to be funded in 2023.</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2021 Dividend Declaration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18, 2022, the Board of Directors of the Company declared a cash dividend for the fourth quarter of 2021 of $0.60 per share of common stock, payable on March 11, 2022 to its stockholders of record at the close of business on March 4,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0" w:name="page131"/>
    <w:bookmarkEnd w:id="1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tab/>
        <w:t>SEGMENT INFORMATION</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reports its operations in two operating segments: (i) the upstream segment, which is engaged in the acquisition, development, exploration and exploitation of unconventional, onshore oil and natural gas reserves primarily in the Permian Basin in West Texas and (ii) the midstream operations segment, which is focused on owning, operating, developing and acquiring midstream infrastructure assets in the Midland and Delaware Basins of the Permian Basin. All of the Company’s equity method investments are included in the midstream operations segment. The segments comprise the structure used by its Chief Operating Decision Maker (“CODM”) to make key operating decisions and assess performance.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operating segments during the periods presented: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Upstream</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Midstream</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4"/>
            <w:vMerge w:val="restart"/>
          </w:tcPr>
          <w:p>
            <w:pPr>
              <w:ind w:left="600"/>
              <w:spacing w:after="0"/>
              <w:rPr>
                <w:sz w:val="20"/>
                <w:szCs w:val="20"/>
                <w:color w:val="auto"/>
              </w:rPr>
            </w:pPr>
            <w:r>
              <w:rPr>
                <w:rFonts w:ascii="Arial" w:cs="Arial" w:eastAsia="Arial" w:hAnsi="Arial"/>
                <w:sz w:val="16"/>
                <w:szCs w:val="16"/>
                <w:b w:val="1"/>
                <w:bCs w:val="1"/>
                <w:color w:val="auto"/>
              </w:rPr>
              <w:t>Eliminations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200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Operations</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7"/>
          </w:tcPr>
          <w:p>
            <w:pPr>
              <w:ind w:left="980"/>
              <w:spacing w:after="0"/>
              <w:rPr>
                <w:sz w:val="20"/>
                <w:szCs w:val="20"/>
                <w:color w:val="auto"/>
              </w:rPr>
            </w:pPr>
            <w:r>
              <w:rPr>
                <w:rFonts w:ascii="Arial" w:cs="Arial" w:eastAsia="Arial" w:hAnsi="Arial"/>
                <w:sz w:val="16"/>
                <w:szCs w:val="16"/>
                <w:b w:val="1"/>
                <w:bCs w:val="1"/>
                <w:color w:val="auto"/>
              </w:rPr>
              <w:t>(In millions)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680"/>
              <w:spacing w:after="0"/>
              <w:rPr>
                <w:sz w:val="20"/>
                <w:szCs w:val="20"/>
                <w:color w:val="auto"/>
              </w:rPr>
            </w:pPr>
            <w:r>
              <w:rPr>
                <w:rFonts w:ascii="Arial" w:cs="Arial" w:eastAsia="Arial" w:hAnsi="Arial"/>
                <w:sz w:val="16"/>
                <w:szCs w:val="16"/>
                <w:b w:val="1"/>
                <w:bCs w:val="1"/>
                <w:color w:val="auto"/>
              </w:rPr>
              <w:t>Year Ended December 31, 2021: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ind w:left="680"/>
              <w:spacing w:after="0"/>
              <w:rPr>
                <w:sz w:val="20"/>
                <w:szCs w:val="20"/>
                <w:color w:val="auto"/>
              </w:rPr>
            </w:pPr>
            <w:r>
              <w:rPr>
                <w:rFonts w:ascii="Arial" w:cs="Arial" w:eastAsia="Arial" w:hAnsi="Arial"/>
                <w:sz w:val="18"/>
                <w:szCs w:val="18"/>
                <w:color w:val="auto"/>
              </w:rPr>
              <w:t>Third-party revenues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6,747</w:t>
            </w:r>
          </w:p>
        </w:tc>
        <w:tc>
          <w:tcPr>
            <w:tcW w:w="10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Intersegment revenues</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tcPr>
          <w:p>
            <w:pPr>
              <w:ind w:left="880"/>
              <w:spacing w:after="0"/>
              <w:rPr>
                <w:sz w:val="20"/>
                <w:szCs w:val="20"/>
                <w:color w:val="auto"/>
              </w:rPr>
            </w:pPr>
            <w:r>
              <w:rPr>
                <w:rFonts w:ascii="Arial" w:cs="Arial" w:eastAsia="Arial" w:hAnsi="Arial"/>
                <w:sz w:val="18"/>
                <w:szCs w:val="18"/>
                <w:color w:val="auto"/>
              </w:rPr>
              <w:t>Total revenues</w:t>
            </w:r>
          </w:p>
        </w:tc>
        <w:tc>
          <w:tcPr>
            <w:tcW w:w="6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6,747</w:t>
            </w:r>
          </w:p>
        </w:tc>
        <w:tc>
          <w:tcPr>
            <w:tcW w:w="100" w:type="dxa"/>
            <w:vAlign w:val="bottom"/>
          </w:tcPr>
          <w:p>
            <w:pPr>
              <w:spacing w:after="0"/>
              <w:rPr>
                <w:sz w:val="19"/>
                <w:szCs w:val="19"/>
                <w:color w:val="auto"/>
              </w:rPr>
            </w:pPr>
          </w:p>
        </w:tc>
        <w:tc>
          <w:tcPr>
            <w:tcW w:w="8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Depreciation, depletion,</w:t>
            </w:r>
          </w:p>
        </w:tc>
        <w:tc>
          <w:tcPr>
            <w:tcW w:w="3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and accretion</w:t>
            </w:r>
          </w:p>
        </w:tc>
        <w:tc>
          <w:tcPr>
            <w:tcW w:w="3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68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3800" w:type="dxa"/>
            <w:vAlign w:val="bottom"/>
            <w:gridSpan w:val="2"/>
          </w:tcPr>
          <w:p>
            <w:pPr>
              <w:ind w:left="68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175"/>
        </w:trPr>
        <w:tc>
          <w:tcPr>
            <w:tcW w:w="38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Provision for (benefit from)</w:t>
            </w:r>
          </w:p>
        </w:tc>
        <w:tc>
          <w:tcPr>
            <w:tcW w:w="3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00" w:type="dxa"/>
            <w:vAlign w:val="bottom"/>
            <w:gridSpan w:val="2"/>
          </w:tcPr>
          <w:p>
            <w:pPr>
              <w:ind w:left="680"/>
              <w:spacing w:after="0" w:line="176" w:lineRule="exact"/>
              <w:rPr>
                <w:sz w:val="20"/>
                <w:szCs w:val="20"/>
                <w:color w:val="auto"/>
              </w:rPr>
            </w:pPr>
            <w:r>
              <w:rPr>
                <w:rFonts w:ascii="Arial" w:cs="Arial" w:eastAsia="Arial" w:hAnsi="Arial"/>
                <w:sz w:val="18"/>
                <w:szCs w:val="18"/>
                <w:color w:val="auto"/>
              </w:rPr>
              <w:t>Net income (loss) attributable to</w:t>
            </w: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5"/>
                <w:szCs w:val="15"/>
                <w:color w:val="auto"/>
              </w:rPr>
            </w:pPr>
          </w:p>
        </w:tc>
        <w:tc>
          <w:tcPr>
            <w:tcW w:w="8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non-controlling interest</w:t>
            </w:r>
          </w:p>
        </w:tc>
        <w:tc>
          <w:tcPr>
            <w:tcW w:w="34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00" w:type="dxa"/>
            <w:vAlign w:val="bottom"/>
            <w:gridSpan w:val="2"/>
            <w:shd w:val="clear" w:color="auto" w:fill="CCEEFF"/>
          </w:tcPr>
          <w:p>
            <w:pPr>
              <w:ind w:left="680"/>
              <w:spacing w:after="0" w:line="176" w:lineRule="exact"/>
              <w:rPr>
                <w:sz w:val="20"/>
                <w:szCs w:val="20"/>
                <w:color w:val="auto"/>
              </w:rPr>
            </w:pPr>
            <w:r>
              <w:rPr>
                <w:rFonts w:ascii="Arial" w:cs="Arial" w:eastAsia="Arial" w:hAnsi="Arial"/>
                <w:sz w:val="18"/>
                <w:szCs w:val="18"/>
                <w:color w:val="auto"/>
              </w:rPr>
              <w:t>Net income (loss) attributable to</w:t>
            </w:r>
          </w:p>
        </w:tc>
        <w:tc>
          <w:tcPr>
            <w:tcW w:w="3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Diamondback Energy, Inc.</w:t>
            </w:r>
          </w:p>
        </w:tc>
        <w:tc>
          <w:tcPr>
            <w:tcW w:w="3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68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21,329</w:t>
            </w:r>
          </w:p>
        </w:tc>
        <w:tc>
          <w:tcPr>
            <w:tcW w:w="100" w:type="dxa"/>
            <w:vAlign w:val="bottom"/>
          </w:tcPr>
          <w:p>
            <w:pPr>
              <w:spacing w:after="0"/>
              <w:rPr>
                <w:sz w:val="20"/>
                <w:szCs w:val="20"/>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4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Upstream</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Midstream</w:t>
            </w:r>
          </w:p>
        </w:tc>
        <w:tc>
          <w:tcPr>
            <w:tcW w:w="1500" w:type="dxa"/>
            <w:vAlign w:val="bottom"/>
            <w:gridSpan w:val="4"/>
            <w:vMerge w:val="restart"/>
          </w:tcPr>
          <w:p>
            <w:pPr>
              <w:ind w:left="2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24"/>
                <w:szCs w:val="2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5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4"/>
          </w:tcPr>
          <w:p>
            <w:pPr>
              <w:ind w:left="68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Third-party revenues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Depreciation, depletion, amortization and accretion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(5,562)</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(1,114)</w:t>
            </w: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2"/>
              </w:rPr>
              <w:t>Net income (loss) attributable to non-controlling interest</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5"/>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(4,525)</w:t>
            </w: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1" w:name="page132"/>
    <w:bookmarkEnd w:id="1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Upstream</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16"/>
                <w:szCs w:val="16"/>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16"/>
                <w:szCs w:val="16"/>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2019:</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SUPPLEMENTAL INFORMATION ON OIL AND NATURAL GAS OPERATIONS (Unaudited)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oil and natural gas reserves are attributable solely to properties within the United States.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oil and natural gas costs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Aggregate capitalized costs related to oil and natural gas production activities with applicable accumulated depreciation, depletion, amortization and impairment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r>
      <w:tr>
        <w:trPr>
          <w:trHeight w:val="210"/>
        </w:trPr>
        <w:tc>
          <w:tcPr>
            <w:tcW w:w="8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8"/>
                <w:szCs w:val="18"/>
                <w:color w:val="auto"/>
              </w:rPr>
            </w:pPr>
          </w:p>
        </w:tc>
      </w:tr>
      <w:tr>
        <w:trPr>
          <w:trHeight w:val="232"/>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Proved properties</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24,418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19,884</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Unproved properties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 oil and natural gas properties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32,914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27,377</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(7,954)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oil and natural gas properties capitalized</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19,526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in oil and natural gas activities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incurred in oil and natural gas property acquisition, exploration and development activities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09"/>
        </w:trPr>
        <w:tc>
          <w:tcPr>
            <w:tcW w:w="6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costs:</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520" w:type="dxa"/>
            <w:vAlign w:val="bottom"/>
          </w:tcPr>
          <w:p>
            <w:pPr>
              <w:ind w:left="480"/>
              <w:spacing w:after="0"/>
              <w:rPr>
                <w:sz w:val="20"/>
                <w:szCs w:val="20"/>
                <w:color w:val="auto"/>
              </w:rPr>
            </w:pPr>
            <w:r>
              <w:rPr>
                <w:rFonts w:ascii="Arial" w:cs="Arial" w:eastAsia="Arial" w:hAnsi="Arial"/>
                <w:sz w:val="18"/>
                <w:szCs w:val="18"/>
                <w:color w:val="auto"/>
              </w:rPr>
              <w:t>Proved properties</w:t>
            </w: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2,805</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6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Unproved properties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1,829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Development costs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costs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r>
      <w:tr>
        <w:trPr>
          <w:trHeight w:val="223"/>
        </w:trPr>
        <w:tc>
          <w:tcPr>
            <w:tcW w:w="6520" w:type="dxa"/>
            <w:vAlign w:val="bottom"/>
          </w:tcPr>
          <w:p>
            <w:pPr>
              <w:ind w:left="4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6,373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r>
      <w:tr>
        <w:trPr>
          <w:trHeight w:val="20"/>
        </w:trPr>
        <w:tc>
          <w:tcPr>
            <w:tcW w:w="6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32" w:name="page133"/>
    <w:bookmarkEnd w:id="1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from Oil and Natural Gas Producing Activities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schedule sets forth the revenues and expenses related to the production and sale of oil, natural gas and natural gas liquids. It does not include any interest costs or general and administrative costs and income tax expense has been calculated by applying statutory income tax rates to oil, gas and natural gas liquids sales after deducting production costs, depreciation, depletion and amortization and accretion and impairment. Therefore, the following schedule is not necessarily indicative of the contribution to the net operating results of the Company’s oil, natural gas and natural gas liquids operations.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23"/>
        </w:trPr>
        <w:tc>
          <w:tcPr>
            <w:tcW w:w="6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(In millions)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natural gas liquid sales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Production costs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(1,202)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9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Results of operations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Proved oil and natural gas reserve estimates as of December 31, 2021, 2020 and 2019 were prepared by Ryder Scott Company, L.P., independent petroleum engineers. Proved reserves were estimated in accordance with guidelines established by the SEC, which require that reserve estimates be prepared under existing economic and operating conditions based upon the 12-month unweighted average of the first-day-of-the-month prices.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3" w:name="page134"/>
    <w:bookmarkEnd w:id="1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estimated proved reserves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Oil</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Natural Gas</w:t>
            </w:r>
          </w:p>
        </w:tc>
        <w:tc>
          <w:tcPr>
            <w:tcW w:w="146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Natural Gas</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5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Liquids</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(MBbls)</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(MBbls)</w:t>
            </w:r>
          </w:p>
        </w:tc>
        <w:tc>
          <w:tcPr>
            <w:tcW w:w="1460" w:type="dxa"/>
            <w:vAlign w:val="bottom"/>
          </w:tcPr>
          <w:p>
            <w:pPr>
              <w:jc w:val="right"/>
              <w:ind w:right="351"/>
              <w:spacing w:after="0"/>
              <w:rPr>
                <w:sz w:val="20"/>
                <w:szCs w:val="20"/>
                <w:color w:val="auto"/>
              </w:rPr>
            </w:pPr>
            <w:r>
              <w:rPr>
                <w:rFonts w:ascii="Arial" w:cs="Arial" w:eastAsia="Arial" w:hAnsi="Arial"/>
                <w:sz w:val="16"/>
                <w:szCs w:val="16"/>
                <w:b w:val="1"/>
                <w:bCs w:val="1"/>
                <w:color w:val="auto"/>
              </w:rPr>
              <w:t>(MMcf)</w:t>
            </w:r>
          </w:p>
        </w:tc>
        <w:tc>
          <w:tcPr>
            <w:tcW w:w="0" w:type="dxa"/>
            <w:vAlign w:val="bottom"/>
          </w:tcPr>
          <w:p>
            <w:pPr>
              <w:spacing w:after="0"/>
              <w:rPr>
                <w:sz w:val="1"/>
                <w:szCs w:val="1"/>
                <w:color w:val="auto"/>
              </w:rPr>
            </w:pPr>
          </w:p>
        </w:tc>
      </w:tr>
      <w:tr>
        <w:trPr>
          <w:trHeight w:val="19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Proved Developed and Undeveloped Reserves:</w:t>
            </w: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2018</w:t>
            </w:r>
          </w:p>
        </w:tc>
        <w:tc>
          <w:tcPr>
            <w:tcW w:w="1460" w:type="dxa"/>
            <w:vAlign w:val="bottom"/>
          </w:tcPr>
          <w:p>
            <w:pPr>
              <w:jc w:val="right"/>
              <w:spacing w:after="0"/>
              <w:rPr>
                <w:sz w:val="20"/>
                <w:szCs w:val="20"/>
                <w:color w:val="auto"/>
              </w:rPr>
            </w:pPr>
            <w:r>
              <w:rPr>
                <w:rFonts w:ascii="Arial" w:cs="Arial" w:eastAsia="Arial" w:hAnsi="Arial"/>
                <w:sz w:val="18"/>
                <w:szCs w:val="18"/>
                <w:color w:val="auto"/>
              </w:rPr>
              <w:t>626,936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190,291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1,048,649</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Extensions and discoveries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256,569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318,874</w:t>
            </w:r>
          </w:p>
        </w:tc>
        <w:tc>
          <w:tcPr>
            <w:tcW w:w="0" w:type="dxa"/>
            <w:vAlign w:val="bottom"/>
          </w:tcPr>
          <w:p>
            <w:pPr>
              <w:spacing w:after="0"/>
              <w:rPr>
                <w:sz w:val="1"/>
                <w:szCs w:val="1"/>
                <w:color w:val="auto"/>
              </w:rPr>
            </w:pPr>
          </w:p>
        </w:tc>
      </w:tr>
      <w:tr>
        <w:trPr>
          <w:trHeight w:val="229"/>
        </w:trPr>
        <w:tc>
          <w:tcPr>
            <w:tcW w:w="6640" w:type="dxa"/>
            <w:vAlign w:val="bottom"/>
          </w:tcPr>
          <w:p>
            <w:pPr>
              <w:ind w:left="560"/>
              <w:spacing w:after="0"/>
              <w:rPr>
                <w:sz w:val="20"/>
                <w:szCs w:val="20"/>
                <w:color w:val="auto"/>
              </w:rPr>
            </w:pPr>
            <w:r>
              <w:rPr>
                <w:rFonts w:ascii="Arial" w:cs="Arial" w:eastAsia="Arial" w:hAnsi="Arial"/>
                <w:sz w:val="18"/>
                <w:szCs w:val="18"/>
                <w:color w:val="auto"/>
              </w:rPr>
              <w:t>Revisions of previous estimates</w:t>
            </w:r>
          </w:p>
        </w:tc>
        <w:tc>
          <w:tcPr>
            <w:tcW w:w="1460" w:type="dxa"/>
            <w:vAlign w:val="bottom"/>
          </w:tcPr>
          <w:p>
            <w:pPr>
              <w:jc w:val="right"/>
              <w:spacing w:after="0"/>
              <w:rPr>
                <w:sz w:val="20"/>
                <w:szCs w:val="20"/>
                <w:color w:val="auto"/>
              </w:rPr>
            </w:pPr>
            <w:r>
              <w:rPr>
                <w:rFonts w:ascii="Arial" w:cs="Arial" w:eastAsia="Arial" w:hAnsi="Arial"/>
                <w:sz w:val="18"/>
                <w:szCs w:val="18"/>
                <w:color w:val="auto"/>
              </w:rPr>
              <w:t>(84,789)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(8,166)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(149,657)</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Purchase of reserves in place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0" w:type="dxa"/>
            <w:vAlign w:val="bottom"/>
          </w:tcPr>
          <w:p>
            <w:pPr>
              <w:spacing w:after="0"/>
              <w:rPr>
                <w:sz w:val="1"/>
                <w:szCs w:val="1"/>
                <w:color w:val="auto"/>
              </w:rPr>
            </w:pPr>
          </w:p>
        </w:tc>
      </w:tr>
      <w:tr>
        <w:trPr>
          <w:trHeight w:val="229"/>
        </w:trPr>
        <w:tc>
          <w:tcPr>
            <w:tcW w:w="6640" w:type="dxa"/>
            <w:vAlign w:val="bottom"/>
          </w:tcPr>
          <w:p>
            <w:pPr>
              <w:ind w:left="560"/>
              <w:spacing w:after="0"/>
              <w:rPr>
                <w:sz w:val="20"/>
                <w:szCs w:val="20"/>
                <w:color w:val="auto"/>
              </w:rPr>
            </w:pPr>
            <w:r>
              <w:rPr>
                <w:rFonts w:ascii="Arial" w:cs="Arial" w:eastAsia="Arial" w:hAnsi="Arial"/>
                <w:sz w:val="18"/>
                <w:szCs w:val="18"/>
                <w:color w:val="auto"/>
              </w:rPr>
              <w:t>Divestitures</w:t>
            </w:r>
          </w:p>
        </w:tc>
        <w:tc>
          <w:tcPr>
            <w:tcW w:w="1460" w:type="dxa"/>
            <w:vAlign w:val="bottom"/>
          </w:tcPr>
          <w:p>
            <w:pPr>
              <w:jc w:val="right"/>
              <w:spacing w:after="0"/>
              <w:rPr>
                <w:sz w:val="20"/>
                <w:szCs w:val="20"/>
                <w:color w:val="auto"/>
              </w:rPr>
            </w:pPr>
            <w:r>
              <w:rPr>
                <w:rFonts w:ascii="Arial" w:cs="Arial" w:eastAsia="Arial" w:hAnsi="Arial"/>
                <w:sz w:val="18"/>
                <w:szCs w:val="18"/>
                <w:color w:val="auto"/>
              </w:rPr>
              <w:t>(33,269)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(21,272)</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Production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(68,518)</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(18,498)</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(97,613)</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1460" w:type="dxa"/>
            <w:vAlign w:val="bottom"/>
          </w:tcPr>
          <w:p>
            <w:pPr>
              <w:jc w:val="right"/>
              <w:spacing w:after="0"/>
              <w:rPr>
                <w:sz w:val="20"/>
                <w:szCs w:val="20"/>
                <w:color w:val="auto"/>
              </w:rPr>
            </w:pPr>
            <w:r>
              <w:rPr>
                <w:rFonts w:ascii="Arial" w:cs="Arial" w:eastAsia="Arial" w:hAnsi="Arial"/>
                <w:sz w:val="18"/>
                <w:szCs w:val="18"/>
                <w:color w:val="auto"/>
              </w:rPr>
              <w:t>710,903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230,203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1,118,811</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Extensions and discoveries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316,035</w:t>
            </w:r>
          </w:p>
        </w:tc>
        <w:tc>
          <w:tcPr>
            <w:tcW w:w="0" w:type="dxa"/>
            <w:vAlign w:val="bottom"/>
          </w:tcPr>
          <w:p>
            <w:pPr>
              <w:spacing w:after="0"/>
              <w:rPr>
                <w:sz w:val="1"/>
                <w:szCs w:val="1"/>
                <w:color w:val="auto"/>
              </w:rPr>
            </w:pPr>
          </w:p>
        </w:tc>
      </w:tr>
      <w:tr>
        <w:trPr>
          <w:trHeight w:val="229"/>
        </w:trPr>
        <w:tc>
          <w:tcPr>
            <w:tcW w:w="6640" w:type="dxa"/>
            <w:vAlign w:val="bottom"/>
          </w:tcPr>
          <w:p>
            <w:pPr>
              <w:ind w:left="560"/>
              <w:spacing w:after="0"/>
              <w:rPr>
                <w:sz w:val="20"/>
                <w:szCs w:val="20"/>
                <w:color w:val="auto"/>
              </w:rPr>
            </w:pPr>
            <w:r>
              <w:rPr>
                <w:rFonts w:ascii="Arial" w:cs="Arial" w:eastAsia="Arial" w:hAnsi="Arial"/>
                <w:sz w:val="18"/>
                <w:szCs w:val="18"/>
                <w:color w:val="auto"/>
              </w:rPr>
              <w:t>Revisions of previous estimates</w:t>
            </w:r>
          </w:p>
        </w:tc>
        <w:tc>
          <w:tcPr>
            <w:tcW w:w="1460" w:type="dxa"/>
            <w:vAlign w:val="bottom"/>
          </w:tcPr>
          <w:p>
            <w:pPr>
              <w:jc w:val="right"/>
              <w:spacing w:after="0"/>
              <w:rPr>
                <w:sz w:val="20"/>
                <w:szCs w:val="20"/>
                <w:color w:val="auto"/>
              </w:rPr>
            </w:pPr>
            <w:r>
              <w:rPr>
                <w:rFonts w:ascii="Arial" w:cs="Arial" w:eastAsia="Arial" w:hAnsi="Arial"/>
                <w:sz w:val="18"/>
                <w:szCs w:val="18"/>
                <w:color w:val="auto"/>
              </w:rPr>
              <w:t>(78,244)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21,927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300,160</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Purchase of reserves in place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30"/>
        </w:trPr>
        <w:tc>
          <w:tcPr>
            <w:tcW w:w="6640" w:type="dxa"/>
            <w:vAlign w:val="bottom"/>
          </w:tcPr>
          <w:p>
            <w:pPr>
              <w:ind w:left="560"/>
              <w:spacing w:after="0"/>
              <w:rPr>
                <w:sz w:val="20"/>
                <w:szCs w:val="20"/>
                <w:color w:val="auto"/>
              </w:rPr>
            </w:pPr>
            <w:r>
              <w:rPr>
                <w:rFonts w:ascii="Arial" w:cs="Arial" w:eastAsia="Arial" w:hAnsi="Arial"/>
                <w:sz w:val="18"/>
                <w:szCs w:val="18"/>
                <w:color w:val="auto"/>
              </w:rPr>
              <w:t>Divestitures</w:t>
            </w:r>
          </w:p>
        </w:tc>
        <w:tc>
          <w:tcPr>
            <w:tcW w:w="146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Production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(66,182)</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(130,549)</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460" w:type="dxa"/>
            <w:vAlign w:val="bottom"/>
          </w:tcPr>
          <w:p>
            <w:pPr>
              <w:jc w:val="right"/>
              <w:spacing w:after="0"/>
              <w:rPr>
                <w:sz w:val="20"/>
                <w:szCs w:val="20"/>
                <w:color w:val="auto"/>
              </w:rPr>
            </w:pPr>
            <w:r>
              <w:rPr>
                <w:rFonts w:ascii="Arial" w:cs="Arial" w:eastAsia="Arial" w:hAnsi="Arial"/>
                <w:sz w:val="18"/>
                <w:szCs w:val="18"/>
                <w:color w:val="auto"/>
              </w:rPr>
              <w:t>759,401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289,196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1,607,064</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Extensions and discoveries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271,222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720,125</w:t>
            </w:r>
          </w:p>
        </w:tc>
        <w:tc>
          <w:tcPr>
            <w:tcW w:w="0" w:type="dxa"/>
            <w:vAlign w:val="bottom"/>
          </w:tcPr>
          <w:p>
            <w:pPr>
              <w:spacing w:after="0"/>
              <w:rPr>
                <w:sz w:val="1"/>
                <w:szCs w:val="1"/>
                <w:color w:val="auto"/>
              </w:rPr>
            </w:pPr>
          </w:p>
        </w:tc>
      </w:tr>
      <w:tr>
        <w:trPr>
          <w:trHeight w:val="229"/>
        </w:trPr>
        <w:tc>
          <w:tcPr>
            <w:tcW w:w="6640" w:type="dxa"/>
            <w:vAlign w:val="bottom"/>
          </w:tcPr>
          <w:p>
            <w:pPr>
              <w:ind w:left="560"/>
              <w:spacing w:after="0"/>
              <w:rPr>
                <w:sz w:val="20"/>
                <w:szCs w:val="20"/>
                <w:color w:val="auto"/>
              </w:rPr>
            </w:pPr>
            <w:r>
              <w:rPr>
                <w:rFonts w:ascii="Arial" w:cs="Arial" w:eastAsia="Arial" w:hAnsi="Arial"/>
                <w:sz w:val="18"/>
                <w:szCs w:val="18"/>
                <w:color w:val="auto"/>
              </w:rPr>
              <w:t>Revisions of previous estimates</w:t>
            </w:r>
          </w:p>
        </w:tc>
        <w:tc>
          <w:tcPr>
            <w:tcW w:w="1460" w:type="dxa"/>
            <w:vAlign w:val="bottom"/>
          </w:tcPr>
          <w:p>
            <w:pPr>
              <w:jc w:val="right"/>
              <w:spacing w:after="0"/>
              <w:rPr>
                <w:sz w:val="20"/>
                <w:szCs w:val="20"/>
                <w:color w:val="auto"/>
              </w:rPr>
            </w:pPr>
            <w:r>
              <w:rPr>
                <w:rFonts w:ascii="Arial" w:cs="Arial" w:eastAsia="Arial" w:hAnsi="Arial"/>
                <w:sz w:val="18"/>
                <w:szCs w:val="18"/>
                <w:color w:val="auto"/>
              </w:rPr>
              <w:t>(160,570)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195,302</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Purchase of reserves in place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302,770</w:t>
            </w:r>
          </w:p>
        </w:tc>
        <w:tc>
          <w:tcPr>
            <w:tcW w:w="0" w:type="dxa"/>
            <w:vAlign w:val="bottom"/>
          </w:tcPr>
          <w:p>
            <w:pPr>
              <w:spacing w:after="0"/>
              <w:rPr>
                <w:sz w:val="1"/>
                <w:szCs w:val="1"/>
                <w:color w:val="auto"/>
              </w:rPr>
            </w:pPr>
          </w:p>
        </w:tc>
      </w:tr>
      <w:tr>
        <w:trPr>
          <w:trHeight w:val="229"/>
        </w:trPr>
        <w:tc>
          <w:tcPr>
            <w:tcW w:w="6640" w:type="dxa"/>
            <w:vAlign w:val="bottom"/>
          </w:tcPr>
          <w:p>
            <w:pPr>
              <w:ind w:left="560"/>
              <w:spacing w:after="0"/>
              <w:rPr>
                <w:sz w:val="20"/>
                <w:szCs w:val="20"/>
                <w:color w:val="auto"/>
              </w:rPr>
            </w:pPr>
            <w:r>
              <w:rPr>
                <w:rFonts w:ascii="Arial" w:cs="Arial" w:eastAsia="Arial" w:hAnsi="Arial"/>
                <w:sz w:val="18"/>
                <w:szCs w:val="18"/>
                <w:color w:val="auto"/>
              </w:rPr>
              <w:t>Divestitures</w:t>
            </w:r>
          </w:p>
        </w:tc>
        <w:tc>
          <w:tcPr>
            <w:tcW w:w="1460" w:type="dxa"/>
            <w:vAlign w:val="bottom"/>
          </w:tcPr>
          <w:p>
            <w:pPr>
              <w:jc w:val="right"/>
              <w:spacing w:after="0"/>
              <w:rPr>
                <w:sz w:val="20"/>
                <w:szCs w:val="20"/>
                <w:color w:val="auto"/>
              </w:rPr>
            </w:pPr>
            <w:r>
              <w:rPr>
                <w:rFonts w:ascii="Arial" w:cs="Arial" w:eastAsia="Arial" w:hAnsi="Arial"/>
                <w:sz w:val="18"/>
                <w:szCs w:val="18"/>
                <w:color w:val="auto"/>
              </w:rPr>
              <w:t>(36,503)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(11,597)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(70,048)</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Production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(81,522)</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(27,246)</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(169,406)</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928,289</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429,734</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2,585,807</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Proved Developed Reserves: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2018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403,051</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125,509</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705,084</w:t>
            </w:r>
          </w:p>
        </w:tc>
        <w:tc>
          <w:tcPr>
            <w:tcW w:w="0" w:type="dxa"/>
            <w:vAlign w:val="bottom"/>
          </w:tcPr>
          <w:p>
            <w:pPr>
              <w:spacing w:after="0"/>
              <w:rPr>
                <w:sz w:val="1"/>
                <w:szCs w:val="1"/>
                <w:color w:val="auto"/>
              </w:rPr>
            </w:pPr>
          </w:p>
        </w:tc>
      </w:tr>
      <w:tr>
        <w:trPr>
          <w:trHeight w:val="229"/>
        </w:trPr>
        <w:tc>
          <w:tcPr>
            <w:tcW w:w="6640" w:type="dxa"/>
            <w:vAlign w:val="bottom"/>
          </w:tcPr>
          <w:p>
            <w:pPr>
              <w:ind w:left="560"/>
              <w:spacing w:after="0"/>
              <w:rPr>
                <w:sz w:val="20"/>
                <w:szCs w:val="20"/>
                <w:color w:val="auto"/>
              </w:rPr>
            </w:pPr>
            <w:r>
              <w:rPr>
                <w:rFonts w:ascii="Arial" w:cs="Arial" w:eastAsia="Arial" w:hAnsi="Arial"/>
                <w:sz w:val="18"/>
                <w:szCs w:val="18"/>
                <w:color w:val="auto"/>
              </w:rPr>
              <w:t>December 31, 2019</w:t>
            </w:r>
          </w:p>
        </w:tc>
        <w:tc>
          <w:tcPr>
            <w:tcW w:w="1460" w:type="dxa"/>
            <w:vAlign w:val="bottom"/>
          </w:tcPr>
          <w:p>
            <w:pPr>
              <w:jc w:val="right"/>
              <w:spacing w:after="0"/>
              <w:rPr>
                <w:sz w:val="20"/>
                <w:szCs w:val="20"/>
                <w:color w:val="auto"/>
              </w:rPr>
            </w:pPr>
            <w:r>
              <w:rPr>
                <w:rFonts w:ascii="Arial" w:cs="Arial" w:eastAsia="Arial" w:hAnsi="Arial"/>
                <w:sz w:val="18"/>
                <w:szCs w:val="18"/>
                <w:color w:val="auto"/>
              </w:rPr>
              <w:t>457,083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165,173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824,760</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443,464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192,495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1,085,035</w:t>
            </w:r>
          </w:p>
        </w:tc>
        <w:tc>
          <w:tcPr>
            <w:tcW w:w="0" w:type="dxa"/>
            <w:vAlign w:val="bottom"/>
          </w:tcPr>
          <w:p>
            <w:pPr>
              <w:spacing w:after="0"/>
              <w:rPr>
                <w:sz w:val="1"/>
                <w:szCs w:val="1"/>
                <w:color w:val="auto"/>
              </w:rPr>
            </w:pPr>
          </w:p>
        </w:tc>
      </w:tr>
      <w:tr>
        <w:trPr>
          <w:trHeight w:val="230"/>
        </w:trPr>
        <w:tc>
          <w:tcPr>
            <w:tcW w:w="6640" w:type="dxa"/>
            <w:vAlign w:val="bottom"/>
          </w:tcPr>
          <w:p>
            <w:pPr>
              <w:ind w:left="560"/>
              <w:spacing w:after="0"/>
              <w:rPr>
                <w:sz w:val="20"/>
                <w:szCs w:val="20"/>
                <w:color w:val="auto"/>
              </w:rPr>
            </w:pPr>
            <w:r>
              <w:rPr>
                <w:rFonts w:ascii="Arial" w:cs="Arial" w:eastAsia="Arial" w:hAnsi="Arial"/>
                <w:sz w:val="18"/>
                <w:szCs w:val="18"/>
                <w:color w:val="auto"/>
              </w:rPr>
              <w:t>December 31, 2021</w:t>
            </w:r>
          </w:p>
        </w:tc>
        <w:tc>
          <w:tcPr>
            <w:tcW w:w="1460" w:type="dxa"/>
            <w:vAlign w:val="bottom"/>
          </w:tcPr>
          <w:p>
            <w:pPr>
              <w:jc w:val="right"/>
              <w:spacing w:after="0"/>
              <w:rPr>
                <w:sz w:val="20"/>
                <w:szCs w:val="20"/>
                <w:color w:val="auto"/>
              </w:rPr>
            </w:pPr>
            <w:r>
              <w:rPr>
                <w:rFonts w:ascii="Arial" w:cs="Arial" w:eastAsia="Arial" w:hAnsi="Arial"/>
                <w:sz w:val="18"/>
                <w:szCs w:val="18"/>
                <w:color w:val="auto"/>
              </w:rPr>
              <w:t>620,474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285,513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1,770,688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Proved Undeveloped Reserves: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2018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223,885</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64,782</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343,565</w:t>
            </w:r>
          </w:p>
        </w:tc>
        <w:tc>
          <w:tcPr>
            <w:tcW w:w="0" w:type="dxa"/>
            <w:vAlign w:val="bottom"/>
          </w:tcPr>
          <w:p>
            <w:pPr>
              <w:spacing w:after="0"/>
              <w:rPr>
                <w:sz w:val="1"/>
                <w:szCs w:val="1"/>
                <w:color w:val="auto"/>
              </w:rPr>
            </w:pPr>
          </w:p>
        </w:tc>
      </w:tr>
      <w:tr>
        <w:trPr>
          <w:trHeight w:val="230"/>
        </w:trPr>
        <w:tc>
          <w:tcPr>
            <w:tcW w:w="6640" w:type="dxa"/>
            <w:vAlign w:val="bottom"/>
          </w:tcPr>
          <w:p>
            <w:pPr>
              <w:ind w:left="560"/>
              <w:spacing w:after="0"/>
              <w:rPr>
                <w:sz w:val="20"/>
                <w:szCs w:val="20"/>
                <w:color w:val="auto"/>
              </w:rPr>
            </w:pPr>
            <w:r>
              <w:rPr>
                <w:rFonts w:ascii="Arial" w:cs="Arial" w:eastAsia="Arial" w:hAnsi="Arial"/>
                <w:sz w:val="18"/>
                <w:szCs w:val="18"/>
                <w:color w:val="auto"/>
              </w:rPr>
              <w:t>December 31, 2019</w:t>
            </w:r>
          </w:p>
        </w:tc>
        <w:tc>
          <w:tcPr>
            <w:tcW w:w="1460" w:type="dxa"/>
            <w:vAlign w:val="bottom"/>
          </w:tcPr>
          <w:p>
            <w:pPr>
              <w:jc w:val="right"/>
              <w:spacing w:after="0"/>
              <w:rPr>
                <w:sz w:val="20"/>
                <w:szCs w:val="20"/>
                <w:color w:val="auto"/>
              </w:rPr>
            </w:pPr>
            <w:r>
              <w:rPr>
                <w:rFonts w:ascii="Arial" w:cs="Arial" w:eastAsia="Arial" w:hAnsi="Arial"/>
                <w:sz w:val="18"/>
                <w:szCs w:val="18"/>
                <w:color w:val="auto"/>
              </w:rPr>
              <w:t>253,820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65,030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294,051</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December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315,937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522,029</w:t>
            </w:r>
          </w:p>
        </w:tc>
        <w:tc>
          <w:tcPr>
            <w:tcW w:w="0" w:type="dxa"/>
            <w:vAlign w:val="bottom"/>
          </w:tcPr>
          <w:p>
            <w:pPr>
              <w:spacing w:after="0"/>
              <w:rPr>
                <w:sz w:val="1"/>
                <w:szCs w:val="1"/>
                <w:color w:val="auto"/>
              </w:rPr>
            </w:pPr>
          </w:p>
        </w:tc>
      </w:tr>
      <w:tr>
        <w:trPr>
          <w:trHeight w:val="230"/>
        </w:trPr>
        <w:tc>
          <w:tcPr>
            <w:tcW w:w="6640" w:type="dxa"/>
            <w:vAlign w:val="bottom"/>
          </w:tcPr>
          <w:p>
            <w:pPr>
              <w:ind w:left="560"/>
              <w:spacing w:after="0"/>
              <w:rPr>
                <w:sz w:val="20"/>
                <w:szCs w:val="20"/>
                <w:color w:val="auto"/>
              </w:rPr>
            </w:pPr>
            <w:r>
              <w:rPr>
                <w:rFonts w:ascii="Arial" w:cs="Arial" w:eastAsia="Arial" w:hAnsi="Arial"/>
                <w:sz w:val="18"/>
                <w:szCs w:val="18"/>
                <w:color w:val="auto"/>
              </w:rPr>
              <w:t>December 31, 2021</w:t>
            </w:r>
          </w:p>
        </w:tc>
        <w:tc>
          <w:tcPr>
            <w:tcW w:w="1460" w:type="dxa"/>
            <w:vAlign w:val="bottom"/>
          </w:tcPr>
          <w:p>
            <w:pPr>
              <w:jc w:val="right"/>
              <w:spacing w:after="0"/>
              <w:rPr>
                <w:sz w:val="20"/>
                <w:szCs w:val="20"/>
                <w:color w:val="auto"/>
              </w:rPr>
            </w:pPr>
            <w:r>
              <w:rPr>
                <w:rFonts w:ascii="Arial" w:cs="Arial" w:eastAsia="Arial" w:hAnsi="Arial"/>
                <w:sz w:val="18"/>
                <w:szCs w:val="18"/>
                <w:color w:val="auto"/>
              </w:rPr>
              <w:t>307,815</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144,221</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815,119</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year ended December 31, 2021, the Company’s extensions and discoveries of 518,722 MBOE resulted primarily from the drilling of 470 new wells, including 345 wells in which we own only a mineral interest through Viper, and from 439 new proved undeveloped locations added. Viper royalty interests accounted for 6% of the extension volumes. The Company’s downward revisions of previous estimates of 134,705 MBOE were the result of negative revisions of 268,560 MBOE due primarily to PUD downgrades related to changes in the corporate development plan following the QEP and Guidon acquisitions. These negative revisions were partially offset with positive revisions of 133,855 MBOE associated with higher commodity prices and improved well performance. Purchases of 285,309 MBOE primarily resulted from 276,207 MBOE attributable largely to the QEP Merger and Guidon Acquisition, and 9,102 MBOE of Viper royalty purchases, including the Swallowtail Acquisition. Divestitures of 59,775 MBOE related primarily to the Williston Basin Divestiture.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4" w:name="page135"/>
    <w:bookmarkEnd w:id="1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year ended December 31, 2020, the Company’s extensions and discoveries of 302,092 MBOE resulted primarily from the drilling of 682 new wells and from 298 new proved undeveloped locations added. Viper royalty interests accounted for 8% of the extension volumes. The Company’s downward revisions of previous estimates of 6,290 MBOE were the result of negative revisions due to lower product pricing of 54,645 MBOE, which were partially offset by positive revisions of 23,066 MBOE associated with a reduction in lease operating expenses, resulting in a total negative pricing revision of 31,579 MBOE. Downgrades of 31,074 MBOE are primarily from changes in the corporate development plan. These revisions were offset by positive performance revisions of 56,362 MBOE associated with less gas flaring and a corresponding increase in natural gas liquid recoveries.</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year ended December 31, 2019, the Company’s extensions and discoveries totaling 376,287 MBOE resulted primarily from the drilling of 283 new wells and from 291 new proved undeveloped locations added. Viper royalty interests accounted for 5% of the extension volumes. The Company’s downward revisions of 117,898 MBOE were the result of proved undeveloped downgrades associated with inventory refinement following the Energen acquisition along with updated development plans and lower realized prices. Purchases of 21,092 MBOE were the result of 10,939 MBOE of working interest purchases and 10,153 MBOE of Viper royalty purchases, excluding mineral interests dropped down to Viper.</w:t>
      </w:r>
    </w:p>
    <w:p>
      <w:pPr>
        <w:spacing w:after="0" w:line="20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December 31, 2021, the Company’s estimated PUD reserves were approximately 587,889 MBOE, an 88,246 MBOE increase over the reserve estimate at December 31, 2020 of 499,643 MBOE. The following table includes the changes in PUD reserves for 2021 (MBOE):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proved undeveloped reserves at December 31, 2020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499,643</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Undeveloped reserves transferred to developed</w:t>
            </w:r>
          </w:p>
        </w:tc>
        <w:tc>
          <w:tcPr>
            <w:tcW w:w="1680" w:type="dxa"/>
            <w:vAlign w:val="bottom"/>
          </w:tcPr>
          <w:p>
            <w:pPr>
              <w:jc w:val="right"/>
              <w:spacing w:after="0"/>
              <w:rPr>
                <w:sz w:val="20"/>
                <w:szCs w:val="20"/>
                <w:color w:val="auto"/>
              </w:rPr>
            </w:pPr>
            <w:r>
              <w:rPr>
                <w:rFonts w:ascii="Arial" w:cs="Arial" w:eastAsia="Arial" w:hAnsi="Arial"/>
                <w:sz w:val="18"/>
                <w:szCs w:val="18"/>
                <w:color w:val="auto"/>
              </w:rPr>
              <w:t>(172,526)</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(243,268)</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680" w:type="dxa"/>
            <w:vAlign w:val="bottom"/>
          </w:tcPr>
          <w:p>
            <w:pPr>
              <w:jc w:val="right"/>
              <w:spacing w:after="0"/>
              <w:rPr>
                <w:sz w:val="20"/>
                <w:szCs w:val="20"/>
                <w:color w:val="auto"/>
              </w:rPr>
            </w:pPr>
            <w:r>
              <w:rPr>
                <w:rFonts w:ascii="Arial" w:cs="Arial" w:eastAsia="Arial" w:hAnsi="Arial"/>
                <w:sz w:val="18"/>
                <w:szCs w:val="18"/>
                <w:color w:val="auto"/>
              </w:rPr>
              <w:t>63,013</w:t>
            </w:r>
          </w:p>
        </w:tc>
      </w:t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Extensions and discoveries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441,027</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proved undeveloped reserves at December 31, 2021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587,889</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increase in proved undeveloped reserves was primarily attributable to extensions of 416,327 MBOE from 439 gross (383 net) wells in which the Company has a working interest and 24,700 MBOE from 336 gross wells in which Viper owns royalty interests. Of the 439 gross working interest wells, 409 were in the Midland Basin and 30 were in the Delaware Basin. Transfers of 172,526 MBOE from undeveloped to developed reserves were the result of drilling or participating in 154 gross (142 net) horizontal wells in which the Company has a working interest and 127 gross wells in which the Company has a royalty interest or mineral interest through Viper. The Company owns a working interest in 106 of the 127 gross Viper wells. Downward revisions of 243,268 MBOE were the result of negative revisions of 260,494 MBOE due to downgrades related to changes in the corporate development plan following the QEP and Guidon acquisitions. These negative revisions were partially offset with positive revisions of 17,226 MBOE primarily attributable to higher commodity prices and improved well performance. Purchases of 63,013 MBOE were the result of 59,023 MBOE primarily from QEP and Guidon, and 3,990 MBOE of Viper royalty purchases.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all of the Company’s proved undeveloped reserves are planned to be developed within five years from the date they were initially recorded. During 2021, approximately $516 million in capital expenditures went toward the development of proved undeveloped reserves, which includes drilling, completion and other facility costs associated with developing proved undeveloped wells.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standardized measure of discounted future net cash flows is based on the unweighted arithmetic average, first-day-of-the-month price for the rolling 12-month period.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5" w:name="page136"/>
    <w:bookmarkEnd w:id="1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standardized measure of discounted future net cash flows attributable to the Company’s proved oil and natural gas reserves as of December 31, 2021, 2020 and 2019:</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2"/>
              </w:rPr>
              <w:t>December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6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r>
      <w:tr>
        <w:trPr>
          <w:trHeight w:val="209"/>
        </w:trPr>
        <w:tc>
          <w:tcPr>
            <w:tcW w:w="6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2"/>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40,681</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Future development costs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(3,809)</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production costs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Future production taxes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(2,905)</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income tax expenses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Future net cash flows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22,013</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discount to reflect timing of cash flows</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(22,193)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(11,829)</w:t>
            </w:r>
          </w:p>
        </w:tc>
      </w:tr>
      <w:tr>
        <w:trPr>
          <w:trHeight w:val="223"/>
        </w:trPr>
        <w:tc>
          <w:tcPr>
            <w:tcW w:w="6120" w:type="dxa"/>
            <w:vAlign w:val="bottom"/>
          </w:tcPr>
          <w:p>
            <w:pPr>
              <w:ind w:left="20"/>
              <w:spacing w:after="0" w:line="223" w:lineRule="exact"/>
              <w:rPr>
                <w:sz w:val="20"/>
                <w:szCs w:val="20"/>
                <w:color w:val="auto"/>
              </w:rPr>
            </w:pPr>
            <w:r>
              <w:rPr>
                <w:rFonts w:ascii="Arial" w:cs="Arial" w:eastAsia="Arial" w:hAnsi="Arial"/>
                <w:sz w:val="18"/>
                <w:szCs w:val="18"/>
                <w:color w:val="auto"/>
              </w:rPr>
              <w:t>Standardized measure of discounted future net cash flows</w:t>
            </w:r>
            <w:r>
              <w:rPr>
                <w:rFonts w:ascii="Arial" w:cs="Arial" w:eastAsia="Arial" w:hAnsi="Arial"/>
                <w:sz w:val="23"/>
                <w:szCs w:val="23"/>
                <w:color w:val="auto"/>
                <w:vertAlign w:val="superscript"/>
              </w:rPr>
              <w:t>(1)</w:t>
            </w: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w:t>
            </w:r>
          </w:p>
        </w:tc>
      </w:tr>
      <w:tr>
        <w:trPr>
          <w:trHeight w:val="20"/>
        </w:trPr>
        <w:tc>
          <w:tcPr>
            <w:tcW w:w="6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77" w:lineRule="auto"/>
        <w:tabs>
          <w:tab w:leader="none" w:pos="5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$2.1 billion, $1.0 billion, and $1.3 billion, for the years ended December 31, 2021, 2020 and 2019, respectively, attributable to the Company’s consolidated subsidiary, Viper, in which there is a 54% non-controlling interest at December 31, 2021.</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presents the unweighted arithmetic average first-day-of–the-month price for oil, natural gas and natural gas liquids utilized in the computation of future cash inflows: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65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(per Bbl)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Natural gas (per Mcf)</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(per Bbl)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changes in the standardized measure of discounted future net cash flows attributable to the Company’s proved reserves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631"/>
              <w:spacing w:after="0"/>
              <w:rPr>
                <w:sz w:val="20"/>
                <w:szCs w:val="20"/>
                <w:color w:val="auto"/>
              </w:rPr>
            </w:pPr>
            <w:r>
              <w:rPr>
                <w:rFonts w:ascii="Arial" w:cs="Arial" w:eastAsia="Arial" w:hAnsi="Arial"/>
                <w:sz w:val="16"/>
                <w:szCs w:val="16"/>
                <w:b w:val="1"/>
                <w:bCs w:val="1"/>
                <w:color w:val="auto"/>
                <w:w w:val="91"/>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r>
      <w:tr>
        <w:trPr>
          <w:trHeight w:val="210"/>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(In millions)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2"/>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Standardized measure of discounted future net cash flows at the beginning of the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Sales of oil and natural gas, net of production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of reserves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Divestitures of reserves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Extensions and discoveries, net of future development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prices and production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Changes in estimated future development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(3,190)</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 of previous quantity estimates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Accretion of discount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1,344</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changes in timing of production and 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Standardized measure of discounted future net cash flows at the end of the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36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4.13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SUPPLEMENTAL INDENTURE</w:t>
      </w:r>
    </w:p>
    <w:p>
      <w:pPr>
        <w:spacing w:after="0" w:line="19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SUPPLEMENTAL INDENTURE (this “</w:t>
      </w:r>
      <w:r>
        <w:rPr>
          <w:rFonts w:ascii="Arial" w:cs="Arial" w:eastAsia="Arial" w:hAnsi="Arial"/>
          <w:sz w:val="22"/>
          <w:szCs w:val="22"/>
          <w:i w:val="1"/>
          <w:iCs w:val="1"/>
          <w:color w:val="auto"/>
        </w:rPr>
        <w:t>Supplemental Indenture</w:t>
      </w:r>
      <w:r>
        <w:rPr>
          <w:rFonts w:ascii="Arial" w:cs="Arial" w:eastAsia="Arial" w:hAnsi="Arial"/>
          <w:sz w:val="22"/>
          <w:szCs w:val="22"/>
          <w:color w:val="auto"/>
        </w:rPr>
        <w:t>”), dated as of December 8, 2021, among Rattler WTG LLC, a Delaware limited liability company (the “</w:t>
      </w:r>
      <w:r>
        <w:rPr>
          <w:rFonts w:ascii="Arial" w:cs="Arial" w:eastAsia="Arial" w:hAnsi="Arial"/>
          <w:sz w:val="22"/>
          <w:szCs w:val="22"/>
          <w:i w:val="1"/>
          <w:iCs w:val="1"/>
          <w:color w:val="auto"/>
        </w:rPr>
        <w:t>Guaranteeing Subsidiary</w:t>
      </w:r>
      <w:r>
        <w:rPr>
          <w:rFonts w:ascii="Arial" w:cs="Arial" w:eastAsia="Arial" w:hAnsi="Arial"/>
          <w:sz w:val="22"/>
          <w:szCs w:val="22"/>
          <w:color w:val="auto"/>
        </w:rPr>
        <w:t>”), a subsidiary of Rattler Midstream LP (or its permitted successor), a Delaware limited partnership (the “</w:t>
      </w:r>
      <w:r>
        <w:rPr>
          <w:rFonts w:ascii="Arial" w:cs="Arial" w:eastAsia="Arial" w:hAnsi="Arial"/>
          <w:sz w:val="22"/>
          <w:szCs w:val="22"/>
          <w:i w:val="1"/>
          <w:iCs w:val="1"/>
          <w:color w:val="auto"/>
        </w:rPr>
        <w:t>Company</w:t>
      </w:r>
      <w:r>
        <w:rPr>
          <w:rFonts w:ascii="Arial" w:cs="Arial" w:eastAsia="Arial" w:hAnsi="Arial"/>
          <w:sz w:val="22"/>
          <w:szCs w:val="22"/>
          <w:color w:val="auto"/>
        </w:rPr>
        <w:t>”), the Company, the other Guarantors (as defined in the Indenture referred to herein) and Wells Fargo Bank, National Association, as trustee under the Indenture referred to below (the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17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Company has heretofore executed and delivered to the Trustee an indenture (as such may be amended and supplemented from time to time, the “</w:t>
      </w:r>
      <w:r>
        <w:rPr>
          <w:rFonts w:ascii="Arial" w:cs="Arial" w:eastAsia="Arial" w:hAnsi="Arial"/>
          <w:sz w:val="22"/>
          <w:szCs w:val="22"/>
          <w:i w:val="1"/>
          <w:iCs w:val="1"/>
          <w:color w:val="auto"/>
        </w:rPr>
        <w:t>Indenture</w:t>
      </w:r>
      <w:r>
        <w:rPr>
          <w:rFonts w:ascii="Arial" w:cs="Arial" w:eastAsia="Arial" w:hAnsi="Arial"/>
          <w:sz w:val="22"/>
          <w:szCs w:val="22"/>
          <w:color w:val="auto"/>
        </w:rPr>
        <w:t>”), dated as of July 14, 2020 providing for the issuance of 5.625% Senior Notes due 2025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22"/>
          <w:szCs w:val="22"/>
          <w:i w:val="1"/>
          <w:iCs w:val="1"/>
          <w:color w:val="auto"/>
        </w:rPr>
        <w:t>Note</w:t>
      </w:r>
      <w:r>
        <w:rPr>
          <w:rFonts w:ascii="Arial" w:cs="Arial" w:eastAsia="Arial" w:hAnsi="Arial"/>
          <w:sz w:val="22"/>
          <w:szCs w:val="22"/>
          <w:color w:val="auto"/>
        </w:rPr>
        <w:t xml:space="preserve"> </w:t>
      </w:r>
      <w:r>
        <w:rPr>
          <w:rFonts w:ascii="Arial" w:cs="Arial" w:eastAsia="Arial" w:hAnsi="Arial"/>
          <w:sz w:val="22"/>
          <w:szCs w:val="22"/>
          <w:i w:val="1"/>
          <w:iCs w:val="1"/>
          <w:color w:val="auto"/>
        </w:rPr>
        <w:t>Guarantee</w:t>
      </w:r>
      <w:r>
        <w:rPr>
          <w:rFonts w:ascii="Arial" w:cs="Arial" w:eastAsia="Arial" w:hAnsi="Arial"/>
          <w:sz w:val="22"/>
          <w:szCs w:val="22"/>
          <w:color w:val="auto"/>
        </w:rPr>
        <w:t>”); and</w:t>
      </w:r>
    </w:p>
    <w:p>
      <w:pPr>
        <w:spacing w:after="0" w:line="16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the Trustee and the other parties hereto mutually covenant and agree for the equal and ratable benefit of the Holders of the Notes as follows:</w:t>
      </w:r>
    </w:p>
    <w:p>
      <w:pPr>
        <w:spacing w:after="0" w:line="159" w:lineRule="exact"/>
        <w:rPr>
          <w:sz w:val="20"/>
          <w:szCs w:val="20"/>
          <w:color w:val="auto"/>
        </w:rPr>
      </w:pPr>
    </w:p>
    <w:p>
      <w:pPr>
        <w:ind w:firstLine="656"/>
        <w:spacing w:after="0" w:line="232" w:lineRule="auto"/>
        <w:tabs>
          <w:tab w:leader="none" w:pos="1053" w:val="left"/>
        </w:tabs>
        <w:numPr>
          <w:ilvl w:val="0"/>
          <w:numId w:val="52"/>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58" w:lineRule="exact"/>
        <w:rPr>
          <w:rFonts w:ascii="Arial" w:cs="Arial" w:eastAsia="Arial" w:hAnsi="Arial"/>
          <w:sz w:val="22"/>
          <w:szCs w:val="22"/>
          <w:color w:val="auto"/>
        </w:rPr>
      </w:pPr>
    </w:p>
    <w:p>
      <w:pPr>
        <w:jc w:val="both"/>
        <w:ind w:firstLine="656"/>
        <w:spacing w:after="0" w:line="244" w:lineRule="auto"/>
        <w:tabs>
          <w:tab w:leader="none" w:pos="1068" w:val="left"/>
        </w:tabs>
        <w:numPr>
          <w:ilvl w:val="0"/>
          <w:numId w:val="52"/>
        </w:numPr>
        <w:rPr>
          <w:rFonts w:ascii="Arial" w:cs="Arial" w:eastAsia="Arial" w:hAnsi="Arial"/>
          <w:sz w:val="19"/>
          <w:szCs w:val="19"/>
          <w:color w:val="auto"/>
        </w:rPr>
      </w:pPr>
      <w:r>
        <w:rPr>
          <w:rFonts w:ascii="Arial" w:cs="Arial" w:eastAsia="Arial" w:hAnsi="Arial"/>
          <w:sz w:val="19"/>
          <w:szCs w:val="19"/>
          <w:color w:val="auto"/>
        </w:rPr>
        <w:t>AGREEMENT TO GUARANTEE. Subject to Article 10 of the Indenture, the Guaranteeing Subsidiary, jointly and severally with the other Guarantors, unconditionally guarantees to each Holder of a Note authenticated and delivered by the Trustee and to the Trustee and its successors and assigns, that: (1) the principal of, premium on, if any, and interest, if any, on, the Notes will be promptly paid in full when due, whether at maturity, by acceleration, redemption or otherwise, and interest on the overdue principal of, premium on, if any, and interest, if any, on, the Notes, if lawful, and all other obligations of the Company to the Holders or the Trustee under the Indenture or the Notes will be promptly paid in full or performed, all in accordance with the terms of the Indenture and the Notes; and (2)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60" w:lineRule="exact"/>
        <w:rPr>
          <w:rFonts w:ascii="Arial" w:cs="Arial" w:eastAsia="Arial" w:hAnsi="Arial"/>
          <w:sz w:val="19"/>
          <w:szCs w:val="19"/>
          <w:color w:val="auto"/>
        </w:rPr>
      </w:pPr>
    </w:p>
    <w:p>
      <w:pPr>
        <w:jc w:val="both"/>
        <w:ind w:firstLine="656"/>
        <w:spacing w:after="0" w:line="216" w:lineRule="auto"/>
        <w:tabs>
          <w:tab w:leader="none" w:pos="1066"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ectPr>
          <w:pgSz w:w="11900" w:h="16838" w:orient="portrait"/>
          <w:cols w:equalWidth="0" w:num="1">
            <w:col w:w="11240"/>
          </w:cols>
          <w:pgMar w:left="320" w:top="1394" w:right="339" w:bottom="1440" w:gutter="0" w:footer="0" w:header="0"/>
        </w:sectPr>
      </w:pPr>
    </w:p>
    <w:bookmarkStart w:id="137" w:name="page138"/>
    <w:bookmarkEnd w:id="137"/>
    <w:p>
      <w:pPr>
        <w:jc w:val="both"/>
        <w:ind w:firstLine="656"/>
        <w:spacing w:after="0" w:line="218" w:lineRule="auto"/>
        <w:tabs>
          <w:tab w:leader="none" w:pos="1086" w:val="left"/>
        </w:tabs>
        <w:numPr>
          <w:ilvl w:val="0"/>
          <w:numId w:val="53"/>
        </w:numPr>
        <w:rPr>
          <w:rFonts w:ascii="Arial" w:cs="Arial" w:eastAsia="Arial" w:hAnsi="Arial"/>
          <w:sz w:val="22"/>
          <w:szCs w:val="22"/>
          <w:color w:val="auto"/>
        </w:rPr>
      </w:pPr>
      <w:r>
        <w:rPr>
          <w:rFonts w:ascii="Arial" w:cs="Arial" w:eastAsia="Arial" w:hAnsi="Arial"/>
          <w:sz w:val="22"/>
          <w:szCs w:val="22"/>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60" w:lineRule="exact"/>
        <w:rPr>
          <w:rFonts w:ascii="Arial" w:cs="Arial" w:eastAsia="Arial" w:hAnsi="Arial"/>
          <w:sz w:val="22"/>
          <w:szCs w:val="22"/>
          <w:color w:val="auto"/>
        </w:rPr>
      </w:pPr>
    </w:p>
    <w:p>
      <w:pPr>
        <w:jc w:val="both"/>
        <w:ind w:firstLine="656"/>
        <w:spacing w:after="0" w:line="214" w:lineRule="auto"/>
        <w:tabs>
          <w:tab w:leader="none" w:pos="1091" w:val="left"/>
        </w:tabs>
        <w:numPr>
          <w:ilvl w:val="0"/>
          <w:numId w:val="53"/>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(“PDF”) transmission shall constitute effective execution and delivery of this instrument as to the parties hereto and may be used in lieu of the original instrument for all purposes. Signatures of the parties hereto transmitted by facsimile or PDF shall be deemed to be their original signatures for all purposes.</w:t>
      </w:r>
    </w:p>
    <w:p>
      <w:pPr>
        <w:spacing w:after="0" w:line="158" w:lineRule="exact"/>
        <w:rPr>
          <w:rFonts w:ascii="Arial" w:cs="Arial" w:eastAsia="Arial" w:hAnsi="Arial"/>
          <w:sz w:val="22"/>
          <w:szCs w:val="22"/>
          <w:color w:val="auto"/>
        </w:rPr>
      </w:pPr>
    </w:p>
    <w:p>
      <w:pPr>
        <w:ind w:left="1040" w:hanging="384"/>
        <w:spacing w:after="0"/>
        <w:tabs>
          <w:tab w:leader="none" w:pos="10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161" w:lineRule="exact"/>
        <w:rPr>
          <w:rFonts w:ascii="Arial" w:cs="Arial" w:eastAsia="Arial" w:hAnsi="Arial"/>
          <w:sz w:val="19"/>
          <w:szCs w:val="19"/>
          <w:color w:val="auto"/>
        </w:rPr>
      </w:pPr>
    </w:p>
    <w:p>
      <w:pPr>
        <w:jc w:val="both"/>
        <w:ind w:firstLine="656"/>
        <w:spacing w:after="0" w:line="214" w:lineRule="auto"/>
        <w:tabs>
          <w:tab w:leader="none" w:pos="1067"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 This document is provided by Computershare Trust Company, N.A., or one or more of its affiliates (collectively, “</w:t>
      </w:r>
      <w:r>
        <w:rPr>
          <w:rFonts w:ascii="Arial" w:cs="Arial" w:eastAsia="Arial" w:hAnsi="Arial"/>
          <w:sz w:val="22"/>
          <w:szCs w:val="22"/>
          <w:i w:val="1"/>
          <w:iCs w:val="1"/>
          <w:color w:val="auto"/>
        </w:rPr>
        <w:t>Computershare</w:t>
      </w:r>
      <w:r>
        <w:rPr>
          <w:rFonts w:ascii="Arial" w:cs="Arial" w:eastAsia="Arial" w:hAnsi="Arial"/>
          <w:sz w:val="22"/>
          <w:szCs w:val="22"/>
          <w:color w:val="auto"/>
        </w:rPr>
        <w:t>”), in its named capacity or as agent of or successor to the Trustee, or one or more of its affiliates, by virtue of the acquisition by Computershare of substantially all the assets of the corporate trust services business of the Trustee.</w:t>
      </w:r>
    </w:p>
    <w:p>
      <w:pPr>
        <w:sectPr>
          <w:pgSz w:w="11900" w:h="16838" w:orient="portrait"/>
          <w:cols w:equalWidth="0" w:num="1">
            <w:col w:w="11240"/>
          </w:cols>
          <w:pgMar w:left="320" w:top="1400" w:right="339" w:bottom="1440" w:gutter="0" w:footer="0" w:header="0"/>
        </w:sectPr>
      </w:pPr>
    </w:p>
    <w:bookmarkStart w:id="138" w:name="page139"/>
    <w:bookmarkEnd w:id="138"/>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all as of the date first above written.</w:t>
      </w:r>
    </w:p>
    <w:p>
      <w:pPr>
        <w:spacing w:after="0" w:line="240"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GUARANTEEING SUBSIDIARY</w:t>
      </w:r>
    </w:p>
    <w:p>
      <w:pPr>
        <w:spacing w:after="0" w:line="27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RATTLER WTG LLC</w:t>
      </w:r>
    </w:p>
    <w:p>
      <w:pPr>
        <w:spacing w:after="0" w:line="21"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22"/>
          <w:szCs w:val="22"/>
          <w:color w:val="auto"/>
        </w:rPr>
        <w:t>By:</w:t>
        <w:tab/>
        <w:t>Rattler Midstream Operating LLC,</w:t>
      </w:r>
    </w:p>
    <w:p>
      <w:pPr>
        <w:spacing w:after="0" w:line="17"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its sole member</w:t>
      </w:r>
    </w:p>
    <w:p>
      <w:pPr>
        <w:spacing w:after="0" w:line="269" w:lineRule="exact"/>
        <w:rPr>
          <w:sz w:val="20"/>
          <w:szCs w:val="20"/>
          <w:color w:val="auto"/>
        </w:rPr>
      </w:pPr>
    </w:p>
    <w:tbl>
      <w:tblPr>
        <w:tblLayout w:type="fixed"/>
        <w:tblInd w:w="5120" w:type="dxa"/>
        <w:tblCellMar>
          <w:top w:w="0" w:type="dxa"/>
          <w:left w:w="0" w:type="dxa"/>
          <w:bottom w:w="0" w:type="dxa"/>
          <w:right w:w="0" w:type="dxa"/>
        </w:tblCellMar>
      </w:tblPr>
      <w:tr>
        <w:trPr>
          <w:trHeight w:val="276"/>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Teresa L. Dick</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780" w:type="dxa"/>
            <w:vAlign w:val="bottom"/>
          </w:tcPr>
          <w:p>
            <w:pPr>
              <w:ind w:left="160"/>
              <w:spacing w:after="0"/>
              <w:rPr>
                <w:sz w:val="20"/>
                <w:szCs w:val="20"/>
                <w:color w:val="auto"/>
              </w:rPr>
            </w:pPr>
            <w:r>
              <w:rPr>
                <w:rFonts w:ascii="Arial" w:cs="Arial" w:eastAsia="Arial" w:hAnsi="Arial"/>
                <w:sz w:val="22"/>
                <w:szCs w:val="22"/>
                <w:color w:val="auto"/>
              </w:rPr>
              <w:t>Teresa L. Dick</w:t>
            </w:r>
          </w:p>
        </w:tc>
      </w:tr>
      <w:tr>
        <w:trPr>
          <w:trHeight w:val="270"/>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780" w:type="dxa"/>
            <w:vAlign w:val="bottom"/>
          </w:tcPr>
          <w:p>
            <w:pPr>
              <w:ind w:left="160"/>
              <w:spacing w:after="0"/>
              <w:rPr>
                <w:sz w:val="20"/>
                <w:szCs w:val="20"/>
                <w:color w:val="auto"/>
              </w:rPr>
            </w:pPr>
            <w:r>
              <w:rPr>
                <w:rFonts w:ascii="Arial" w:cs="Arial" w:eastAsia="Arial" w:hAnsi="Arial"/>
                <w:sz w:val="22"/>
                <w:szCs w:val="22"/>
                <w:color w:val="auto"/>
              </w:rPr>
              <w:t>Executive Vice President, Chief</w:t>
            </w:r>
          </w:p>
        </w:tc>
      </w:tr>
      <w:tr>
        <w:trPr>
          <w:trHeight w:val="270"/>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Financial Officer and Assistant</w:t>
            </w:r>
          </w:p>
        </w:tc>
      </w:tr>
      <w:tr>
        <w:trPr>
          <w:trHeight w:val="274"/>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Secretary</w:t>
            </w:r>
          </w:p>
        </w:tc>
      </w:tr>
    </w:tbl>
    <w:p>
      <w:pPr>
        <w:spacing w:after="0" w:line="246" w:lineRule="exact"/>
        <w:rPr>
          <w:sz w:val="20"/>
          <w:szCs w:val="20"/>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COMPANY</w:t>
      </w:r>
    </w:p>
    <w:p>
      <w:pPr>
        <w:spacing w:after="0" w:line="280"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RATTLER MIDSTREAM LP</w:t>
      </w:r>
    </w:p>
    <w:p>
      <w:pPr>
        <w:spacing w:after="0" w:line="21"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22"/>
          <w:szCs w:val="22"/>
          <w:color w:val="auto"/>
        </w:rPr>
        <w:t>By:</w:t>
        <w:tab/>
        <w:t>Rattler Midstream GP LLC,</w:t>
      </w:r>
    </w:p>
    <w:p>
      <w:pPr>
        <w:spacing w:after="0" w:line="17" w:lineRule="exact"/>
        <w:rPr>
          <w:sz w:val="20"/>
          <w:szCs w:val="20"/>
          <w:color w:val="auto"/>
        </w:rPr>
      </w:pPr>
    </w:p>
    <w:tbl>
      <w:tblPr>
        <w:tblLayout w:type="fixed"/>
        <w:tblInd w:w="5120" w:type="dxa"/>
        <w:tblCellMar>
          <w:top w:w="0" w:type="dxa"/>
          <w:left w:w="0" w:type="dxa"/>
          <w:bottom w:w="0" w:type="dxa"/>
          <w:right w:w="0" w:type="dxa"/>
        </w:tblCellMar>
      </w:tblPr>
      <w:tr>
        <w:trPr>
          <w:trHeight w:val="274"/>
        </w:trPr>
        <w:tc>
          <w:tcPr>
            <w:tcW w:w="56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Arial" w:cs="Arial" w:eastAsia="Arial" w:hAnsi="Arial"/>
                <w:sz w:val="22"/>
                <w:szCs w:val="22"/>
                <w:color w:val="auto"/>
              </w:rPr>
              <w:t>its general partner</w:t>
            </w:r>
          </w:p>
        </w:tc>
      </w:tr>
      <w:tr>
        <w:trPr>
          <w:trHeight w:val="524"/>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Teresa L. Dick</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780" w:type="dxa"/>
            <w:vAlign w:val="bottom"/>
          </w:tcPr>
          <w:p>
            <w:pPr>
              <w:ind w:left="160"/>
              <w:spacing w:after="0"/>
              <w:rPr>
                <w:sz w:val="20"/>
                <w:szCs w:val="20"/>
                <w:color w:val="auto"/>
              </w:rPr>
            </w:pPr>
            <w:r>
              <w:rPr>
                <w:rFonts w:ascii="Arial" w:cs="Arial" w:eastAsia="Arial" w:hAnsi="Arial"/>
                <w:sz w:val="22"/>
                <w:szCs w:val="22"/>
                <w:color w:val="auto"/>
              </w:rPr>
              <w:t>Teresa L. Dick</w:t>
            </w:r>
          </w:p>
        </w:tc>
      </w:tr>
      <w:tr>
        <w:trPr>
          <w:trHeight w:val="270"/>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780" w:type="dxa"/>
            <w:vAlign w:val="bottom"/>
          </w:tcPr>
          <w:p>
            <w:pPr>
              <w:ind w:left="160"/>
              <w:spacing w:after="0"/>
              <w:rPr>
                <w:sz w:val="20"/>
                <w:szCs w:val="20"/>
                <w:color w:val="auto"/>
              </w:rPr>
            </w:pPr>
            <w:r>
              <w:rPr>
                <w:rFonts w:ascii="Arial" w:cs="Arial" w:eastAsia="Arial" w:hAnsi="Arial"/>
                <w:sz w:val="22"/>
                <w:szCs w:val="22"/>
                <w:color w:val="auto"/>
              </w:rPr>
              <w:t>Chief Financial Officer, Executive</w:t>
            </w:r>
          </w:p>
        </w:tc>
      </w:tr>
      <w:tr>
        <w:trPr>
          <w:trHeight w:val="270"/>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Vice President, and Assistant</w:t>
            </w:r>
          </w:p>
        </w:tc>
      </w:tr>
      <w:tr>
        <w:trPr>
          <w:trHeight w:val="274"/>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Secretary</w:t>
            </w:r>
          </w:p>
        </w:tc>
      </w:tr>
    </w:tbl>
    <w:p>
      <w:pPr>
        <w:spacing w:after="0" w:line="260" w:lineRule="exact"/>
        <w:rPr>
          <w:sz w:val="20"/>
          <w:szCs w:val="20"/>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GUARANTORS</w:t>
      </w:r>
    </w:p>
    <w:p>
      <w:pPr>
        <w:spacing w:after="0" w:line="29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RATTLER MIDSTREAM OPERATING LLC</w:t>
      </w:r>
    </w:p>
    <w:p>
      <w:pPr>
        <w:spacing w:after="0" w:line="287" w:lineRule="exact"/>
        <w:rPr>
          <w:sz w:val="20"/>
          <w:szCs w:val="20"/>
          <w:color w:val="auto"/>
        </w:rPr>
      </w:pPr>
    </w:p>
    <w:tbl>
      <w:tblPr>
        <w:tblLayout w:type="fixed"/>
        <w:tblInd w:w="5120" w:type="dxa"/>
        <w:tblCellMar>
          <w:top w:w="0" w:type="dxa"/>
          <w:left w:w="0" w:type="dxa"/>
          <w:bottom w:w="0" w:type="dxa"/>
          <w:right w:w="0" w:type="dxa"/>
        </w:tblCellMar>
      </w:tblPr>
      <w:tr>
        <w:trPr>
          <w:trHeight w:val="276"/>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Teresa L. Dick</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780" w:type="dxa"/>
            <w:vAlign w:val="bottom"/>
          </w:tcPr>
          <w:p>
            <w:pPr>
              <w:ind w:left="160"/>
              <w:spacing w:after="0"/>
              <w:rPr>
                <w:sz w:val="20"/>
                <w:szCs w:val="20"/>
                <w:color w:val="auto"/>
              </w:rPr>
            </w:pPr>
            <w:r>
              <w:rPr>
                <w:rFonts w:ascii="Arial" w:cs="Arial" w:eastAsia="Arial" w:hAnsi="Arial"/>
                <w:sz w:val="22"/>
                <w:szCs w:val="22"/>
                <w:color w:val="auto"/>
              </w:rPr>
              <w:t>Teresa L. Dick</w:t>
            </w:r>
          </w:p>
        </w:tc>
      </w:tr>
      <w:tr>
        <w:trPr>
          <w:trHeight w:val="270"/>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780" w:type="dxa"/>
            <w:vAlign w:val="bottom"/>
          </w:tcPr>
          <w:p>
            <w:pPr>
              <w:ind w:left="160"/>
              <w:spacing w:after="0"/>
              <w:rPr>
                <w:sz w:val="20"/>
                <w:szCs w:val="20"/>
                <w:color w:val="auto"/>
              </w:rPr>
            </w:pPr>
            <w:r>
              <w:rPr>
                <w:rFonts w:ascii="Arial" w:cs="Arial" w:eastAsia="Arial" w:hAnsi="Arial"/>
                <w:sz w:val="22"/>
                <w:szCs w:val="22"/>
                <w:color w:val="auto"/>
              </w:rPr>
              <w:t>Chief Financial Officer, Executive</w:t>
            </w:r>
          </w:p>
        </w:tc>
      </w:tr>
      <w:tr>
        <w:trPr>
          <w:trHeight w:val="270"/>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Vice President, and Assistant</w:t>
            </w:r>
          </w:p>
        </w:tc>
      </w:tr>
      <w:tr>
        <w:trPr>
          <w:trHeight w:val="274"/>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Secretary</w:t>
            </w:r>
          </w:p>
        </w:tc>
      </w:tr>
    </w:tbl>
    <w:p>
      <w:pPr>
        <w:spacing w:after="0" w:line="200" w:lineRule="exact"/>
        <w:rPr>
          <w:sz w:val="20"/>
          <w:szCs w:val="20"/>
          <w:color w:val="auto"/>
        </w:rPr>
      </w:pP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Supplemental Indenture</w:t>
      </w:r>
    </w:p>
    <w:p>
      <w:pPr>
        <w:sectPr>
          <w:pgSz w:w="11900" w:h="16838" w:orient="portrait"/>
          <w:cols w:equalWidth="0" w:num="1">
            <w:col w:w="11240"/>
          </w:cols>
          <w:pgMar w:left="320" w:top="1400" w:right="339" w:bottom="1440" w:gutter="0" w:footer="0" w:header="0"/>
          <w:type w:val="continuous"/>
        </w:sectPr>
      </w:pPr>
    </w:p>
    <w:bookmarkStart w:id="139" w:name="page140"/>
    <w:bookmarkEnd w:id="139"/>
    <w:p>
      <w:pPr>
        <w:spacing w:after="0" w:line="15" w:lineRule="exact"/>
        <w:rPr>
          <w:sz w:val="20"/>
          <w:szCs w:val="20"/>
          <w:color w:val="auto"/>
        </w:rPr>
      </w:pPr>
    </w:p>
    <w:p>
      <w:pPr>
        <w:jc w:val="center"/>
        <w:ind w:left="1480"/>
        <w:spacing w:after="0"/>
        <w:rPr>
          <w:sz w:val="20"/>
          <w:szCs w:val="20"/>
          <w:color w:val="auto"/>
        </w:rPr>
      </w:pPr>
      <w:r>
        <w:rPr>
          <w:rFonts w:ascii="Arial" w:cs="Arial" w:eastAsia="Arial" w:hAnsi="Arial"/>
          <w:sz w:val="22"/>
          <w:szCs w:val="22"/>
          <w:color w:val="auto"/>
        </w:rPr>
        <w:t>TALL CITY TOWERS LLC</w:t>
      </w:r>
    </w:p>
    <w:p>
      <w:pPr>
        <w:spacing w:after="0" w:line="287" w:lineRule="exact"/>
        <w:rPr>
          <w:sz w:val="20"/>
          <w:szCs w:val="20"/>
          <w:color w:val="auto"/>
        </w:rPr>
      </w:pPr>
    </w:p>
    <w:tbl>
      <w:tblPr>
        <w:tblLayout w:type="fixed"/>
        <w:tblInd w:w="4000" w:type="dxa"/>
        <w:tblCellMar>
          <w:top w:w="0" w:type="dxa"/>
          <w:left w:w="0" w:type="dxa"/>
          <w:bottom w:w="0" w:type="dxa"/>
          <w:right w:w="0" w:type="dxa"/>
        </w:tblCellMar>
      </w:tblPr>
      <w:tr>
        <w:trPr>
          <w:trHeight w:val="276"/>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Teresa L. Dick</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780" w:type="dxa"/>
            <w:vAlign w:val="bottom"/>
          </w:tcPr>
          <w:p>
            <w:pPr>
              <w:ind w:left="160"/>
              <w:spacing w:after="0"/>
              <w:rPr>
                <w:sz w:val="20"/>
                <w:szCs w:val="20"/>
                <w:color w:val="auto"/>
              </w:rPr>
            </w:pPr>
            <w:r>
              <w:rPr>
                <w:rFonts w:ascii="Arial" w:cs="Arial" w:eastAsia="Arial" w:hAnsi="Arial"/>
                <w:sz w:val="22"/>
                <w:szCs w:val="22"/>
                <w:color w:val="auto"/>
              </w:rPr>
              <w:t>Teresa L. Dick</w:t>
            </w:r>
          </w:p>
        </w:tc>
      </w:tr>
      <w:tr>
        <w:trPr>
          <w:trHeight w:val="270"/>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780" w:type="dxa"/>
            <w:vAlign w:val="bottom"/>
          </w:tcPr>
          <w:p>
            <w:pPr>
              <w:ind w:left="160"/>
              <w:spacing w:after="0"/>
              <w:rPr>
                <w:sz w:val="20"/>
                <w:szCs w:val="20"/>
                <w:color w:val="auto"/>
              </w:rPr>
            </w:pPr>
            <w:r>
              <w:rPr>
                <w:rFonts w:ascii="Arial" w:cs="Arial" w:eastAsia="Arial" w:hAnsi="Arial"/>
                <w:sz w:val="22"/>
                <w:szCs w:val="22"/>
                <w:color w:val="auto"/>
              </w:rPr>
              <w:t>Chief Financial Officer, Executive</w:t>
            </w:r>
          </w:p>
        </w:tc>
      </w:tr>
      <w:tr>
        <w:trPr>
          <w:trHeight w:val="270"/>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Vice President, and Assistant</w:t>
            </w:r>
          </w:p>
        </w:tc>
      </w:tr>
      <w:tr>
        <w:trPr>
          <w:trHeight w:val="274"/>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Secretary</w:t>
            </w:r>
          </w:p>
        </w:tc>
      </w:tr>
    </w:tbl>
    <w:p>
      <w:pPr>
        <w:spacing w:after="0" w:line="26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RATTLER OMOG LLC</w:t>
      </w:r>
    </w:p>
    <w:p>
      <w:pPr>
        <w:spacing w:after="0" w:line="21" w:lineRule="exact"/>
        <w:rPr>
          <w:sz w:val="20"/>
          <w:szCs w:val="20"/>
          <w:color w:val="auto"/>
        </w:rPr>
      </w:pPr>
    </w:p>
    <w:p>
      <w:pPr>
        <w:ind w:left="4000"/>
        <w:spacing w:after="0"/>
        <w:tabs>
          <w:tab w:leader="none" w:pos="4560" w:val="left"/>
        </w:tabs>
        <w:rPr>
          <w:sz w:val="20"/>
          <w:szCs w:val="20"/>
          <w:color w:val="auto"/>
        </w:rPr>
      </w:pPr>
      <w:r>
        <w:rPr>
          <w:rFonts w:ascii="Arial" w:cs="Arial" w:eastAsia="Arial" w:hAnsi="Arial"/>
          <w:sz w:val="22"/>
          <w:szCs w:val="22"/>
          <w:color w:val="auto"/>
        </w:rPr>
        <w:t>By:</w:t>
        <w:tab/>
        <w:t>Rattler Midstream Operating LLC,</w:t>
      </w:r>
    </w:p>
    <w:p>
      <w:pPr>
        <w:spacing w:after="0" w:line="1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its sole member</w:t>
      </w:r>
    </w:p>
    <w:p>
      <w:pPr>
        <w:spacing w:after="0" w:line="283" w:lineRule="exact"/>
        <w:rPr>
          <w:sz w:val="20"/>
          <w:szCs w:val="20"/>
          <w:color w:val="auto"/>
        </w:rPr>
      </w:pPr>
    </w:p>
    <w:p>
      <w:pPr>
        <w:jc w:val="center"/>
        <w:ind w:left="2120"/>
        <w:spacing w:after="0"/>
        <w:tabs>
          <w:tab w:leader="none" w:pos="240" w:val="left"/>
        </w:tabs>
        <w:rPr>
          <w:sz w:val="20"/>
          <w:szCs w:val="20"/>
          <w:color w:val="auto"/>
        </w:rPr>
      </w:pPr>
      <w:r>
        <w:rPr>
          <w:rFonts w:ascii="Arial" w:cs="Arial" w:eastAsia="Arial" w:hAnsi="Arial"/>
          <w:sz w:val="22"/>
          <w:szCs w:val="22"/>
          <w:color w:val="auto"/>
        </w:rPr>
        <w:t>By:</w:t>
        <w:tab/>
        <w:t>/s/ Teresa L. Dick</w:t>
      </w:r>
    </w:p>
    <w:p>
      <w:pPr>
        <w:spacing w:after="0" w:line="21" w:lineRule="exact"/>
        <w:rPr>
          <w:sz w:val="20"/>
          <w:szCs w:val="20"/>
          <w:color w:val="auto"/>
        </w:rPr>
      </w:pPr>
    </w:p>
    <w:tbl>
      <w:tblPr>
        <w:tblLayout w:type="fixed"/>
        <w:tblInd w:w="4560" w:type="dxa"/>
        <w:tblCellMar>
          <w:top w:w="0" w:type="dxa"/>
          <w:left w:w="0" w:type="dxa"/>
          <w:bottom w:w="0" w:type="dxa"/>
          <w:right w:w="0" w:type="dxa"/>
        </w:tblCellMar>
      </w:tblPr>
      <w:tr>
        <w:trPr>
          <w:trHeight w:val="259"/>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78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Teresa L. Dick</w:t>
            </w:r>
          </w:p>
        </w:tc>
      </w:tr>
      <w:tr>
        <w:trPr>
          <w:trHeight w:val="270"/>
        </w:trPr>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780" w:type="dxa"/>
            <w:vAlign w:val="bottom"/>
          </w:tcPr>
          <w:p>
            <w:pPr>
              <w:ind w:left="160"/>
              <w:spacing w:after="0"/>
              <w:rPr>
                <w:sz w:val="20"/>
                <w:szCs w:val="20"/>
                <w:color w:val="auto"/>
              </w:rPr>
            </w:pPr>
            <w:r>
              <w:rPr>
                <w:rFonts w:ascii="Arial" w:cs="Arial" w:eastAsia="Arial" w:hAnsi="Arial"/>
                <w:sz w:val="22"/>
                <w:szCs w:val="22"/>
                <w:color w:val="auto"/>
              </w:rPr>
              <w:t>Chief Financial Officer, Executive</w:t>
            </w:r>
          </w:p>
        </w:tc>
      </w:tr>
      <w:tr>
        <w:trPr>
          <w:trHeight w:val="270"/>
        </w:trPr>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Vice President, and Assistant</w:t>
            </w:r>
          </w:p>
        </w:tc>
      </w:tr>
      <w:tr>
        <w:trPr>
          <w:trHeight w:val="274"/>
        </w:trPr>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Secretary</w:t>
            </w:r>
          </w:p>
        </w:tc>
      </w:tr>
    </w:tbl>
    <w:p>
      <w:pPr>
        <w:spacing w:after="0" w:line="26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RATTLER AJAX PROCESSING LLC</w:t>
      </w:r>
    </w:p>
    <w:p>
      <w:pPr>
        <w:spacing w:after="0" w:line="21" w:lineRule="exact"/>
        <w:rPr>
          <w:sz w:val="20"/>
          <w:szCs w:val="20"/>
          <w:color w:val="auto"/>
        </w:rPr>
      </w:pPr>
    </w:p>
    <w:p>
      <w:pPr>
        <w:ind w:left="4000"/>
        <w:spacing w:after="0"/>
        <w:tabs>
          <w:tab w:leader="none" w:pos="4560" w:val="left"/>
        </w:tabs>
        <w:rPr>
          <w:sz w:val="20"/>
          <w:szCs w:val="20"/>
          <w:color w:val="auto"/>
        </w:rPr>
      </w:pPr>
      <w:r>
        <w:rPr>
          <w:rFonts w:ascii="Arial" w:cs="Arial" w:eastAsia="Arial" w:hAnsi="Arial"/>
          <w:sz w:val="22"/>
          <w:szCs w:val="22"/>
          <w:color w:val="auto"/>
        </w:rPr>
        <w:t>By:</w:t>
        <w:tab/>
        <w:t>Rattler Midstream Operating LLC,</w:t>
      </w:r>
    </w:p>
    <w:p>
      <w:pPr>
        <w:spacing w:after="0" w:line="17" w:lineRule="exact"/>
        <w:rPr>
          <w:sz w:val="20"/>
          <w:szCs w:val="20"/>
          <w:color w:val="auto"/>
        </w:rPr>
      </w:pPr>
    </w:p>
    <w:p>
      <w:pPr>
        <w:jc w:val="center"/>
        <w:ind w:left="1500"/>
        <w:spacing w:after="0"/>
        <w:rPr>
          <w:sz w:val="20"/>
          <w:szCs w:val="20"/>
          <w:color w:val="auto"/>
        </w:rPr>
      </w:pPr>
      <w:r>
        <w:rPr>
          <w:rFonts w:ascii="Arial" w:cs="Arial" w:eastAsia="Arial" w:hAnsi="Arial"/>
          <w:sz w:val="22"/>
          <w:szCs w:val="22"/>
          <w:color w:val="auto"/>
        </w:rPr>
        <w:t>its sole member</w:t>
      </w:r>
    </w:p>
    <w:p>
      <w:pPr>
        <w:spacing w:after="0" w:line="283" w:lineRule="exact"/>
        <w:rPr>
          <w:sz w:val="20"/>
          <w:szCs w:val="20"/>
          <w:color w:val="auto"/>
        </w:rPr>
      </w:pPr>
    </w:p>
    <w:p>
      <w:pPr>
        <w:jc w:val="center"/>
        <w:ind w:left="2120"/>
        <w:spacing w:after="0"/>
        <w:tabs>
          <w:tab w:leader="none" w:pos="240" w:val="left"/>
        </w:tabs>
        <w:rPr>
          <w:sz w:val="20"/>
          <w:szCs w:val="20"/>
          <w:color w:val="auto"/>
        </w:rPr>
      </w:pPr>
      <w:r>
        <w:rPr>
          <w:rFonts w:ascii="Arial" w:cs="Arial" w:eastAsia="Arial" w:hAnsi="Arial"/>
          <w:sz w:val="22"/>
          <w:szCs w:val="22"/>
          <w:color w:val="auto"/>
        </w:rPr>
        <w:t>By:</w:t>
        <w:tab/>
        <w:t>/s/ Teresa L. Dick</w:t>
      </w:r>
    </w:p>
    <w:p>
      <w:pPr>
        <w:spacing w:after="0" w:line="21" w:lineRule="exact"/>
        <w:rPr>
          <w:sz w:val="20"/>
          <w:szCs w:val="20"/>
          <w:color w:val="auto"/>
        </w:rPr>
      </w:pPr>
    </w:p>
    <w:tbl>
      <w:tblPr>
        <w:tblLayout w:type="fixed"/>
        <w:tblInd w:w="4560" w:type="dxa"/>
        <w:tblCellMar>
          <w:top w:w="0" w:type="dxa"/>
          <w:left w:w="0" w:type="dxa"/>
          <w:bottom w:w="0" w:type="dxa"/>
          <w:right w:w="0" w:type="dxa"/>
        </w:tblCellMar>
      </w:tblPr>
      <w:tr>
        <w:trPr>
          <w:trHeight w:val="259"/>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78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Teresa L. Dick</w:t>
            </w:r>
          </w:p>
        </w:tc>
      </w:tr>
      <w:tr>
        <w:trPr>
          <w:trHeight w:val="270"/>
        </w:trPr>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780" w:type="dxa"/>
            <w:vAlign w:val="bottom"/>
          </w:tcPr>
          <w:p>
            <w:pPr>
              <w:ind w:left="160"/>
              <w:spacing w:after="0"/>
              <w:rPr>
                <w:sz w:val="20"/>
                <w:szCs w:val="20"/>
                <w:color w:val="auto"/>
              </w:rPr>
            </w:pPr>
            <w:r>
              <w:rPr>
                <w:rFonts w:ascii="Arial" w:cs="Arial" w:eastAsia="Arial" w:hAnsi="Arial"/>
                <w:sz w:val="22"/>
                <w:szCs w:val="22"/>
                <w:color w:val="auto"/>
              </w:rPr>
              <w:t>Chief Financial Officer, Executive</w:t>
            </w:r>
          </w:p>
        </w:tc>
      </w:tr>
      <w:tr>
        <w:trPr>
          <w:trHeight w:val="270"/>
        </w:trPr>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Vice President, and Assistant</w:t>
            </w:r>
          </w:p>
        </w:tc>
      </w:tr>
      <w:tr>
        <w:trPr>
          <w:trHeight w:val="274"/>
        </w:trPr>
        <w:tc>
          <w:tcPr>
            <w:tcW w:w="760" w:type="dxa"/>
            <w:vAlign w:val="bottom"/>
          </w:tcPr>
          <w:p>
            <w:pPr>
              <w:spacing w:after="0"/>
              <w:rPr>
                <w:sz w:val="23"/>
                <w:szCs w:val="23"/>
                <w:color w:val="auto"/>
              </w:rPr>
            </w:pPr>
          </w:p>
        </w:tc>
        <w:tc>
          <w:tcPr>
            <w:tcW w:w="4780" w:type="dxa"/>
            <w:vAlign w:val="bottom"/>
          </w:tcPr>
          <w:p>
            <w:pPr>
              <w:ind w:left="160"/>
              <w:spacing w:after="0"/>
              <w:rPr>
                <w:sz w:val="20"/>
                <w:szCs w:val="20"/>
                <w:color w:val="auto"/>
              </w:rPr>
            </w:pPr>
            <w:r>
              <w:rPr>
                <w:rFonts w:ascii="Arial" w:cs="Arial" w:eastAsia="Arial" w:hAnsi="Arial"/>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40" w:name="page141"/>
    <w:bookmarkEnd w:id="140"/>
    <w:p>
      <w:pPr>
        <w:spacing w:after="0" w:line="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COMPUTERSHARE TRUST COMPANY, N.A.,</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agent for Wells Fargo Bank, National</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Association, as Trustee</w:t>
      </w:r>
    </w:p>
    <w:p>
      <w:pPr>
        <w:spacing w:after="0" w:line="283" w:lineRule="exact"/>
        <w:rPr>
          <w:sz w:val="20"/>
          <w:szCs w:val="20"/>
          <w:color w:val="auto"/>
        </w:rPr>
      </w:pPr>
    </w:p>
    <w:tbl>
      <w:tblPr>
        <w:tblLayout w:type="fixed"/>
        <w:tblInd w:w="4000" w:type="dxa"/>
        <w:tblCellMar>
          <w:top w:w="0" w:type="dxa"/>
          <w:left w:w="0" w:type="dxa"/>
          <w:bottom w:w="0" w:type="dxa"/>
          <w:right w:w="0" w:type="dxa"/>
        </w:tblCellMar>
      </w:tblPr>
      <w:tr>
        <w:trPr>
          <w:trHeight w:val="276"/>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4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Belinda Coleman</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780" w:type="dxa"/>
            <w:vAlign w:val="bottom"/>
          </w:tcPr>
          <w:p>
            <w:pPr>
              <w:ind w:left="160"/>
              <w:spacing w:after="0"/>
              <w:rPr>
                <w:sz w:val="20"/>
                <w:szCs w:val="20"/>
                <w:color w:val="auto"/>
              </w:rPr>
            </w:pPr>
            <w:r>
              <w:rPr>
                <w:rFonts w:ascii="Arial" w:cs="Arial" w:eastAsia="Arial" w:hAnsi="Arial"/>
                <w:sz w:val="22"/>
                <w:szCs w:val="22"/>
                <w:color w:val="auto"/>
              </w:rPr>
              <w:t>Belinda Coleman</w:t>
            </w:r>
          </w:p>
        </w:tc>
      </w:tr>
      <w:tr>
        <w:trPr>
          <w:trHeight w:val="274"/>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780" w:type="dxa"/>
            <w:vAlign w:val="bottom"/>
          </w:tcPr>
          <w:p>
            <w:pPr>
              <w:ind w:left="16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00"/>
          </w:cols>
          <w:pgMar w:left="1440" w:top="1440" w:right="35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4.14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SUPPLEMENTAL INDENTURE</w:t>
      </w:r>
    </w:p>
    <w:p>
      <w:pPr>
        <w:spacing w:after="0" w:line="19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SUPPLEMENTAL INDENTURE (this “</w:t>
      </w:r>
      <w:r>
        <w:rPr>
          <w:rFonts w:ascii="Arial" w:cs="Arial" w:eastAsia="Arial" w:hAnsi="Arial"/>
          <w:sz w:val="22"/>
          <w:szCs w:val="22"/>
          <w:i w:val="1"/>
          <w:iCs w:val="1"/>
          <w:color w:val="auto"/>
        </w:rPr>
        <w:t>Supplemental Indenture</w:t>
      </w:r>
      <w:r>
        <w:rPr>
          <w:rFonts w:ascii="Arial" w:cs="Arial" w:eastAsia="Arial" w:hAnsi="Arial"/>
          <w:sz w:val="22"/>
          <w:szCs w:val="22"/>
          <w:color w:val="auto"/>
        </w:rPr>
        <w:t>”), dated as of December 22, 2021, among Rattler Holdings LLC, a Delaware limited liability company (the “</w:t>
      </w:r>
      <w:r>
        <w:rPr>
          <w:rFonts w:ascii="Arial" w:cs="Arial" w:eastAsia="Arial" w:hAnsi="Arial"/>
          <w:sz w:val="22"/>
          <w:szCs w:val="22"/>
          <w:i w:val="1"/>
          <w:iCs w:val="1"/>
          <w:color w:val="auto"/>
        </w:rPr>
        <w:t>Guaranteeing Subsidiary</w:t>
      </w:r>
      <w:r>
        <w:rPr>
          <w:rFonts w:ascii="Arial" w:cs="Arial" w:eastAsia="Arial" w:hAnsi="Arial"/>
          <w:sz w:val="22"/>
          <w:szCs w:val="22"/>
          <w:color w:val="auto"/>
        </w:rPr>
        <w:t>”), a subsidiary of Rattler Midstream LP (or its permitted successor), a Delaware limited partnership (the “</w:t>
      </w:r>
      <w:r>
        <w:rPr>
          <w:rFonts w:ascii="Arial" w:cs="Arial" w:eastAsia="Arial" w:hAnsi="Arial"/>
          <w:sz w:val="22"/>
          <w:szCs w:val="22"/>
          <w:i w:val="1"/>
          <w:iCs w:val="1"/>
          <w:color w:val="auto"/>
        </w:rPr>
        <w:t>Company</w:t>
      </w:r>
      <w:r>
        <w:rPr>
          <w:rFonts w:ascii="Arial" w:cs="Arial" w:eastAsia="Arial" w:hAnsi="Arial"/>
          <w:sz w:val="22"/>
          <w:szCs w:val="22"/>
          <w:color w:val="auto"/>
        </w:rPr>
        <w:t>”), the Company, the other Guarantors (as defined in the Indenture referred to herein) and Wells Fargo Bank, National Association, as trustee under the Indenture referred to below (the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17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Company has heretofore executed and delivered to the Trustee an indenture (as such may be amended and supplemented from time to time, the “</w:t>
      </w:r>
      <w:r>
        <w:rPr>
          <w:rFonts w:ascii="Arial" w:cs="Arial" w:eastAsia="Arial" w:hAnsi="Arial"/>
          <w:sz w:val="22"/>
          <w:szCs w:val="22"/>
          <w:i w:val="1"/>
          <w:iCs w:val="1"/>
          <w:color w:val="auto"/>
        </w:rPr>
        <w:t>Indenture</w:t>
      </w:r>
      <w:r>
        <w:rPr>
          <w:rFonts w:ascii="Arial" w:cs="Arial" w:eastAsia="Arial" w:hAnsi="Arial"/>
          <w:sz w:val="22"/>
          <w:szCs w:val="22"/>
          <w:color w:val="auto"/>
        </w:rPr>
        <w:t>”), dated as of July 14, 2020 providing for the issuance of 5.625% Senior Notes due 2025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22"/>
          <w:szCs w:val="22"/>
          <w:i w:val="1"/>
          <w:iCs w:val="1"/>
          <w:color w:val="auto"/>
        </w:rPr>
        <w:t>Note</w:t>
      </w:r>
      <w:r>
        <w:rPr>
          <w:rFonts w:ascii="Arial" w:cs="Arial" w:eastAsia="Arial" w:hAnsi="Arial"/>
          <w:sz w:val="22"/>
          <w:szCs w:val="22"/>
          <w:color w:val="auto"/>
        </w:rPr>
        <w:t xml:space="preserve"> </w:t>
      </w:r>
      <w:r>
        <w:rPr>
          <w:rFonts w:ascii="Arial" w:cs="Arial" w:eastAsia="Arial" w:hAnsi="Arial"/>
          <w:sz w:val="22"/>
          <w:szCs w:val="22"/>
          <w:i w:val="1"/>
          <w:iCs w:val="1"/>
          <w:color w:val="auto"/>
        </w:rPr>
        <w:t>Guarantee</w:t>
      </w:r>
      <w:r>
        <w:rPr>
          <w:rFonts w:ascii="Arial" w:cs="Arial" w:eastAsia="Arial" w:hAnsi="Arial"/>
          <w:sz w:val="22"/>
          <w:szCs w:val="22"/>
          <w:color w:val="auto"/>
        </w:rPr>
        <w:t>”); and</w:t>
      </w:r>
    </w:p>
    <w:p>
      <w:pPr>
        <w:spacing w:after="0" w:line="16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the Trustee and the other parties hereto mutually covenant and agree for the equal and ratable benefit of the Holders of the Notes as follows:</w:t>
      </w:r>
    </w:p>
    <w:p>
      <w:pPr>
        <w:spacing w:after="0" w:line="159" w:lineRule="exact"/>
        <w:rPr>
          <w:sz w:val="20"/>
          <w:szCs w:val="20"/>
          <w:color w:val="auto"/>
        </w:rPr>
      </w:pPr>
    </w:p>
    <w:p>
      <w:pPr>
        <w:ind w:firstLine="656"/>
        <w:spacing w:after="0" w:line="232" w:lineRule="auto"/>
        <w:tabs>
          <w:tab w:leader="none" w:pos="1053" w:val="left"/>
        </w:tabs>
        <w:numPr>
          <w:ilvl w:val="0"/>
          <w:numId w:val="54"/>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58" w:lineRule="exact"/>
        <w:rPr>
          <w:rFonts w:ascii="Arial" w:cs="Arial" w:eastAsia="Arial" w:hAnsi="Arial"/>
          <w:sz w:val="22"/>
          <w:szCs w:val="22"/>
          <w:color w:val="auto"/>
        </w:rPr>
      </w:pPr>
    </w:p>
    <w:p>
      <w:pPr>
        <w:jc w:val="both"/>
        <w:ind w:firstLine="656"/>
        <w:spacing w:after="0" w:line="244" w:lineRule="auto"/>
        <w:tabs>
          <w:tab w:leader="none" w:pos="1068" w:val="left"/>
        </w:tabs>
        <w:numPr>
          <w:ilvl w:val="0"/>
          <w:numId w:val="54"/>
        </w:numPr>
        <w:rPr>
          <w:rFonts w:ascii="Arial" w:cs="Arial" w:eastAsia="Arial" w:hAnsi="Arial"/>
          <w:sz w:val="19"/>
          <w:szCs w:val="19"/>
          <w:color w:val="auto"/>
        </w:rPr>
      </w:pPr>
      <w:r>
        <w:rPr>
          <w:rFonts w:ascii="Arial" w:cs="Arial" w:eastAsia="Arial" w:hAnsi="Arial"/>
          <w:sz w:val="19"/>
          <w:szCs w:val="19"/>
          <w:color w:val="auto"/>
        </w:rPr>
        <w:t>AGREEMENT TO GUARANTEE. Subject to Article 10 of the Indenture, the Guaranteeing Subsidiary, jointly and severally with the other Guarantors, unconditionally guarantees to each Holder of a Note authenticated and delivered by the Trustee and to the Trustee and its successors and assigns, that: (1) the principal of, premium on, if any, and interest, if any, on, the Notes will be promptly paid in full when due, whether at maturity, by acceleration, redemption or otherwise, and interest on the overdue principal of, premium on, if any, and interest, if any, on, the Notes, if lawful, and all other obligations of the Company to the Holders or the Trustee under the Indenture or the Notes will be promptly paid in full or performed, all in accordance with the terms of the Indenture and the Notes; and (2)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60" w:lineRule="exact"/>
        <w:rPr>
          <w:rFonts w:ascii="Arial" w:cs="Arial" w:eastAsia="Arial" w:hAnsi="Arial"/>
          <w:sz w:val="19"/>
          <w:szCs w:val="19"/>
          <w:color w:val="auto"/>
        </w:rPr>
      </w:pPr>
    </w:p>
    <w:p>
      <w:pPr>
        <w:jc w:val="both"/>
        <w:ind w:firstLine="656"/>
        <w:spacing w:after="0" w:line="216" w:lineRule="auto"/>
        <w:tabs>
          <w:tab w:leader="none" w:pos="1066"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ectPr>
          <w:pgSz w:w="11900" w:h="16838" w:orient="portrait"/>
          <w:cols w:equalWidth="0" w:num="1">
            <w:col w:w="11240"/>
          </w:cols>
          <w:pgMar w:left="320" w:top="1394" w:right="339" w:bottom="1440" w:gutter="0" w:footer="0" w:header="0"/>
        </w:sectPr>
      </w:pPr>
    </w:p>
    <w:bookmarkStart w:id="142" w:name="page143"/>
    <w:bookmarkEnd w:id="142"/>
    <w:p>
      <w:pPr>
        <w:jc w:val="both"/>
        <w:ind w:firstLine="656"/>
        <w:spacing w:after="0" w:line="218" w:lineRule="auto"/>
        <w:tabs>
          <w:tab w:leader="none" w:pos="1086" w:val="left"/>
        </w:tabs>
        <w:numPr>
          <w:ilvl w:val="0"/>
          <w:numId w:val="55"/>
        </w:numPr>
        <w:rPr>
          <w:rFonts w:ascii="Arial" w:cs="Arial" w:eastAsia="Arial" w:hAnsi="Arial"/>
          <w:sz w:val="22"/>
          <w:szCs w:val="22"/>
          <w:color w:val="auto"/>
        </w:rPr>
      </w:pPr>
      <w:r>
        <w:rPr>
          <w:rFonts w:ascii="Arial" w:cs="Arial" w:eastAsia="Arial" w:hAnsi="Arial"/>
          <w:sz w:val="22"/>
          <w:szCs w:val="22"/>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60" w:lineRule="exact"/>
        <w:rPr>
          <w:rFonts w:ascii="Arial" w:cs="Arial" w:eastAsia="Arial" w:hAnsi="Arial"/>
          <w:sz w:val="22"/>
          <w:szCs w:val="22"/>
          <w:color w:val="auto"/>
        </w:rPr>
      </w:pPr>
    </w:p>
    <w:p>
      <w:pPr>
        <w:jc w:val="both"/>
        <w:ind w:firstLine="656"/>
        <w:spacing w:after="0" w:line="214" w:lineRule="auto"/>
        <w:tabs>
          <w:tab w:leader="none" w:pos="1091" w:val="left"/>
        </w:tabs>
        <w:numPr>
          <w:ilvl w:val="0"/>
          <w:numId w:val="55"/>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(“PDF”) transmission shall constitute effective execution and delivery of this instrument as to the parties hereto and may be used in lieu of the original instrument for all purposes. Signatures of the parties hereto transmitted by facsimile or PDF shall be deemed to be their original signatures for all purposes.</w:t>
      </w:r>
    </w:p>
    <w:p>
      <w:pPr>
        <w:spacing w:after="0" w:line="158" w:lineRule="exact"/>
        <w:rPr>
          <w:rFonts w:ascii="Arial" w:cs="Arial" w:eastAsia="Arial" w:hAnsi="Arial"/>
          <w:sz w:val="22"/>
          <w:szCs w:val="22"/>
          <w:color w:val="auto"/>
        </w:rPr>
      </w:pPr>
    </w:p>
    <w:p>
      <w:pPr>
        <w:ind w:left="1040" w:hanging="384"/>
        <w:spacing w:after="0"/>
        <w:tabs>
          <w:tab w:leader="none" w:pos="10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161" w:lineRule="exact"/>
        <w:rPr>
          <w:rFonts w:ascii="Arial" w:cs="Arial" w:eastAsia="Arial" w:hAnsi="Arial"/>
          <w:sz w:val="19"/>
          <w:szCs w:val="19"/>
          <w:color w:val="auto"/>
        </w:rPr>
      </w:pPr>
    </w:p>
    <w:p>
      <w:pPr>
        <w:jc w:val="both"/>
        <w:ind w:firstLine="656"/>
        <w:spacing w:after="0" w:line="214" w:lineRule="auto"/>
        <w:tabs>
          <w:tab w:leader="none" w:pos="1067"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 This document is provided by Computershare Trust Company, N.A., or one or more of its affiliates (collectively, “</w:t>
      </w:r>
      <w:r>
        <w:rPr>
          <w:rFonts w:ascii="Arial" w:cs="Arial" w:eastAsia="Arial" w:hAnsi="Arial"/>
          <w:sz w:val="22"/>
          <w:szCs w:val="22"/>
          <w:i w:val="1"/>
          <w:iCs w:val="1"/>
          <w:color w:val="auto"/>
        </w:rPr>
        <w:t>Computershare</w:t>
      </w:r>
      <w:r>
        <w:rPr>
          <w:rFonts w:ascii="Arial" w:cs="Arial" w:eastAsia="Arial" w:hAnsi="Arial"/>
          <w:sz w:val="22"/>
          <w:szCs w:val="22"/>
          <w:color w:val="auto"/>
        </w:rPr>
        <w:t>”), in its named capacity or as agent of or successor to the Trustee, or one or more of its affiliates, by virtue of the acquisition by Computershare of substantially all the assets of the corporate trust services business of the Trustee.</w:t>
      </w:r>
    </w:p>
    <w:p>
      <w:pPr>
        <w:sectPr>
          <w:pgSz w:w="11900" w:h="16838" w:orient="portrait"/>
          <w:cols w:equalWidth="0" w:num="1">
            <w:col w:w="11240"/>
          </w:cols>
          <w:pgMar w:left="320" w:top="1400" w:right="339" w:bottom="1440" w:gutter="0" w:footer="0" w:header="0"/>
        </w:sectPr>
      </w:pPr>
    </w:p>
    <w:bookmarkStart w:id="143" w:name="page144"/>
    <w:bookmarkEnd w:id="143"/>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all as of the date first above written.</w:t>
      </w:r>
    </w:p>
    <w:p>
      <w:pPr>
        <w:spacing w:after="0" w:line="240"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GUARANTEEING SUBSIDIARY</w:t>
      </w:r>
    </w:p>
    <w:p>
      <w:pPr>
        <w:spacing w:after="0" w:line="27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RATTLER HOLDINGS LLC</w:t>
      </w:r>
    </w:p>
    <w:p>
      <w:pPr>
        <w:spacing w:after="0" w:line="200" w:lineRule="exact"/>
        <w:rPr>
          <w:sz w:val="20"/>
          <w:szCs w:val="20"/>
          <w:color w:val="auto"/>
        </w:rPr>
      </w:pPr>
    </w:p>
    <w:p>
      <w:pPr>
        <w:spacing w:after="0" w:line="330" w:lineRule="exact"/>
        <w:rPr>
          <w:sz w:val="20"/>
          <w:szCs w:val="20"/>
          <w:color w:val="auto"/>
        </w:rPr>
      </w:pPr>
    </w:p>
    <w:tbl>
      <w:tblPr>
        <w:tblLayout w:type="fixed"/>
        <w:tblInd w:w="5120" w:type="dxa"/>
        <w:tblCellMar>
          <w:top w:w="0" w:type="dxa"/>
          <w:left w:w="0" w:type="dxa"/>
          <w:bottom w:w="0" w:type="dxa"/>
          <w:right w:w="0" w:type="dxa"/>
        </w:tblCellMar>
      </w:tblPr>
      <w:tr>
        <w:trPr>
          <w:trHeight w:val="276"/>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Teresa L. Dick</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800" w:type="dxa"/>
            <w:vAlign w:val="bottom"/>
          </w:tcPr>
          <w:p>
            <w:pPr>
              <w:ind w:left="180"/>
              <w:spacing w:after="0"/>
              <w:rPr>
                <w:sz w:val="20"/>
                <w:szCs w:val="20"/>
                <w:color w:val="auto"/>
              </w:rPr>
            </w:pPr>
            <w:r>
              <w:rPr>
                <w:rFonts w:ascii="Arial" w:cs="Arial" w:eastAsia="Arial" w:hAnsi="Arial"/>
                <w:sz w:val="22"/>
                <w:szCs w:val="22"/>
                <w:color w:val="auto"/>
              </w:rPr>
              <w:t>Teresa L. Dick</w:t>
            </w:r>
          </w:p>
        </w:tc>
      </w:tr>
      <w:tr>
        <w:trPr>
          <w:trHeight w:val="270"/>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800" w:type="dxa"/>
            <w:vAlign w:val="bottom"/>
          </w:tcPr>
          <w:p>
            <w:pPr>
              <w:ind w:left="180"/>
              <w:spacing w:after="0"/>
              <w:rPr>
                <w:sz w:val="20"/>
                <w:szCs w:val="20"/>
                <w:color w:val="auto"/>
              </w:rPr>
            </w:pPr>
            <w:r>
              <w:rPr>
                <w:rFonts w:ascii="Arial" w:cs="Arial" w:eastAsia="Arial" w:hAnsi="Arial"/>
                <w:sz w:val="22"/>
                <w:szCs w:val="22"/>
                <w:color w:val="auto"/>
              </w:rPr>
              <w:t>Executive Vice President, Chief</w:t>
            </w:r>
          </w:p>
        </w:tc>
      </w:tr>
      <w:tr>
        <w:trPr>
          <w:trHeight w:val="270"/>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Financial Officer and Assistant</w:t>
            </w:r>
          </w:p>
        </w:tc>
      </w:tr>
      <w:tr>
        <w:trPr>
          <w:trHeight w:val="274"/>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Secretary</w:t>
            </w:r>
          </w:p>
        </w:tc>
      </w:tr>
    </w:tbl>
    <w:p>
      <w:pPr>
        <w:spacing w:after="0" w:line="246" w:lineRule="exact"/>
        <w:rPr>
          <w:sz w:val="20"/>
          <w:szCs w:val="20"/>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COMPANY</w:t>
      </w:r>
    </w:p>
    <w:p>
      <w:pPr>
        <w:spacing w:after="0" w:line="280"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RATTLER MIDSTREAM LP</w:t>
      </w:r>
    </w:p>
    <w:p>
      <w:pPr>
        <w:spacing w:after="0" w:line="21"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22"/>
          <w:szCs w:val="22"/>
          <w:color w:val="auto"/>
        </w:rPr>
        <w:t>By:</w:t>
        <w:tab/>
        <w:t>Rattler Midstream GP LLC,</w:t>
      </w:r>
    </w:p>
    <w:p>
      <w:pPr>
        <w:spacing w:after="0" w:line="17" w:lineRule="exact"/>
        <w:rPr>
          <w:sz w:val="20"/>
          <w:szCs w:val="20"/>
          <w:color w:val="auto"/>
        </w:rPr>
      </w:pPr>
    </w:p>
    <w:tbl>
      <w:tblPr>
        <w:tblLayout w:type="fixed"/>
        <w:tblInd w:w="5120" w:type="dxa"/>
        <w:tblCellMar>
          <w:top w:w="0" w:type="dxa"/>
          <w:left w:w="0" w:type="dxa"/>
          <w:bottom w:w="0" w:type="dxa"/>
          <w:right w:w="0" w:type="dxa"/>
        </w:tblCellMar>
      </w:tblPr>
      <w:tr>
        <w:trPr>
          <w:trHeight w:val="274"/>
        </w:trPr>
        <w:tc>
          <w:tcPr>
            <w:tcW w:w="560" w:type="dxa"/>
            <w:vAlign w:val="bottom"/>
          </w:tcPr>
          <w:p>
            <w:pPr>
              <w:spacing w:after="0"/>
              <w:rPr>
                <w:sz w:val="23"/>
                <w:szCs w:val="23"/>
                <w:color w:val="auto"/>
              </w:rPr>
            </w:pPr>
          </w:p>
        </w:tc>
        <w:tc>
          <w:tcPr>
            <w:tcW w:w="5560" w:type="dxa"/>
            <w:vAlign w:val="bottom"/>
            <w:gridSpan w:val="2"/>
          </w:tcPr>
          <w:p>
            <w:pPr>
              <w:ind w:left="80"/>
              <w:spacing w:after="0"/>
              <w:rPr>
                <w:sz w:val="20"/>
                <w:szCs w:val="20"/>
                <w:color w:val="auto"/>
              </w:rPr>
            </w:pPr>
            <w:r>
              <w:rPr>
                <w:rFonts w:ascii="Arial" w:cs="Arial" w:eastAsia="Arial" w:hAnsi="Arial"/>
                <w:sz w:val="22"/>
                <w:szCs w:val="22"/>
                <w:color w:val="auto"/>
              </w:rPr>
              <w:t>its general partner</w:t>
            </w:r>
          </w:p>
        </w:tc>
      </w:tr>
      <w:tr>
        <w:trPr>
          <w:trHeight w:val="524"/>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Teresa L. Dick</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800" w:type="dxa"/>
            <w:vAlign w:val="bottom"/>
          </w:tcPr>
          <w:p>
            <w:pPr>
              <w:ind w:left="180"/>
              <w:spacing w:after="0"/>
              <w:rPr>
                <w:sz w:val="20"/>
                <w:szCs w:val="20"/>
                <w:color w:val="auto"/>
              </w:rPr>
            </w:pPr>
            <w:r>
              <w:rPr>
                <w:rFonts w:ascii="Arial" w:cs="Arial" w:eastAsia="Arial" w:hAnsi="Arial"/>
                <w:sz w:val="22"/>
                <w:szCs w:val="22"/>
                <w:color w:val="auto"/>
              </w:rPr>
              <w:t>Teresa L. Dick</w:t>
            </w:r>
          </w:p>
        </w:tc>
      </w:tr>
      <w:tr>
        <w:trPr>
          <w:trHeight w:val="270"/>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800" w:type="dxa"/>
            <w:vAlign w:val="bottom"/>
          </w:tcPr>
          <w:p>
            <w:pPr>
              <w:ind w:left="180"/>
              <w:spacing w:after="0"/>
              <w:rPr>
                <w:sz w:val="20"/>
                <w:szCs w:val="20"/>
                <w:color w:val="auto"/>
              </w:rPr>
            </w:pPr>
            <w:r>
              <w:rPr>
                <w:rFonts w:ascii="Arial" w:cs="Arial" w:eastAsia="Arial" w:hAnsi="Arial"/>
                <w:sz w:val="22"/>
                <w:szCs w:val="22"/>
                <w:color w:val="auto"/>
              </w:rPr>
              <w:t>Chief Financial Officer, Executive</w:t>
            </w:r>
          </w:p>
        </w:tc>
      </w:tr>
      <w:tr>
        <w:trPr>
          <w:trHeight w:val="270"/>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Vice President, and Assistant</w:t>
            </w:r>
          </w:p>
        </w:tc>
      </w:tr>
      <w:tr>
        <w:trPr>
          <w:trHeight w:val="274"/>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Secretary</w:t>
            </w:r>
          </w:p>
        </w:tc>
      </w:tr>
    </w:tbl>
    <w:p>
      <w:pPr>
        <w:spacing w:after="0" w:line="260" w:lineRule="exact"/>
        <w:rPr>
          <w:sz w:val="20"/>
          <w:szCs w:val="20"/>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GUARANTORS</w:t>
      </w:r>
    </w:p>
    <w:p>
      <w:pPr>
        <w:spacing w:after="0" w:line="29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RATTLER MIDSTREAM OPERATING LLC</w:t>
      </w:r>
    </w:p>
    <w:p>
      <w:pPr>
        <w:spacing w:after="0" w:line="287" w:lineRule="exact"/>
        <w:rPr>
          <w:sz w:val="20"/>
          <w:szCs w:val="20"/>
          <w:color w:val="auto"/>
        </w:rPr>
      </w:pPr>
    </w:p>
    <w:tbl>
      <w:tblPr>
        <w:tblLayout w:type="fixed"/>
        <w:tblInd w:w="5120" w:type="dxa"/>
        <w:tblCellMar>
          <w:top w:w="0" w:type="dxa"/>
          <w:left w:w="0" w:type="dxa"/>
          <w:bottom w:w="0" w:type="dxa"/>
          <w:right w:w="0" w:type="dxa"/>
        </w:tblCellMar>
      </w:tblPr>
      <w:tr>
        <w:trPr>
          <w:trHeight w:val="276"/>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Teresa L. Dick</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800" w:type="dxa"/>
            <w:vAlign w:val="bottom"/>
          </w:tcPr>
          <w:p>
            <w:pPr>
              <w:ind w:left="180"/>
              <w:spacing w:after="0"/>
              <w:rPr>
                <w:sz w:val="20"/>
                <w:szCs w:val="20"/>
                <w:color w:val="auto"/>
              </w:rPr>
            </w:pPr>
            <w:r>
              <w:rPr>
                <w:rFonts w:ascii="Arial" w:cs="Arial" w:eastAsia="Arial" w:hAnsi="Arial"/>
                <w:sz w:val="22"/>
                <w:szCs w:val="22"/>
                <w:color w:val="auto"/>
              </w:rPr>
              <w:t>Teresa L. Dick</w:t>
            </w:r>
          </w:p>
        </w:tc>
      </w:tr>
      <w:tr>
        <w:trPr>
          <w:trHeight w:val="270"/>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800" w:type="dxa"/>
            <w:vAlign w:val="bottom"/>
          </w:tcPr>
          <w:p>
            <w:pPr>
              <w:ind w:left="180"/>
              <w:spacing w:after="0"/>
              <w:rPr>
                <w:sz w:val="20"/>
                <w:szCs w:val="20"/>
                <w:color w:val="auto"/>
              </w:rPr>
            </w:pPr>
            <w:r>
              <w:rPr>
                <w:rFonts w:ascii="Arial" w:cs="Arial" w:eastAsia="Arial" w:hAnsi="Arial"/>
                <w:sz w:val="22"/>
                <w:szCs w:val="22"/>
                <w:color w:val="auto"/>
              </w:rPr>
              <w:t>Chief Financial Officer, Executive</w:t>
            </w:r>
          </w:p>
        </w:tc>
      </w:tr>
      <w:tr>
        <w:trPr>
          <w:trHeight w:val="270"/>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Vice President, and Assistant</w:t>
            </w:r>
          </w:p>
        </w:tc>
      </w:tr>
      <w:tr>
        <w:trPr>
          <w:trHeight w:val="274"/>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Secretary</w:t>
            </w:r>
          </w:p>
        </w:tc>
      </w:tr>
      <w:tr>
        <w:trPr>
          <w:trHeight w:val="540"/>
        </w:trPr>
        <w:tc>
          <w:tcPr>
            <w:tcW w:w="6120" w:type="dxa"/>
            <w:vAlign w:val="bottom"/>
            <w:gridSpan w:val="3"/>
          </w:tcPr>
          <w:p>
            <w:pPr>
              <w:spacing w:after="0"/>
              <w:rPr>
                <w:sz w:val="20"/>
                <w:szCs w:val="20"/>
                <w:color w:val="auto"/>
              </w:rPr>
            </w:pPr>
            <w:r>
              <w:rPr>
                <w:rFonts w:ascii="Arial" w:cs="Arial" w:eastAsia="Arial" w:hAnsi="Arial"/>
                <w:sz w:val="22"/>
                <w:szCs w:val="22"/>
                <w:color w:val="auto"/>
              </w:rPr>
              <w:t>TALL CITY TOWERS LLC</w:t>
            </w:r>
          </w:p>
        </w:tc>
      </w:tr>
      <w:tr>
        <w:trPr>
          <w:trHeight w:val="542"/>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Teresa L. Dick</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800" w:type="dxa"/>
            <w:vAlign w:val="bottom"/>
          </w:tcPr>
          <w:p>
            <w:pPr>
              <w:ind w:left="180"/>
              <w:spacing w:after="0"/>
              <w:rPr>
                <w:sz w:val="20"/>
                <w:szCs w:val="20"/>
                <w:color w:val="auto"/>
              </w:rPr>
            </w:pPr>
            <w:r>
              <w:rPr>
                <w:rFonts w:ascii="Arial" w:cs="Arial" w:eastAsia="Arial" w:hAnsi="Arial"/>
                <w:sz w:val="22"/>
                <w:szCs w:val="22"/>
                <w:color w:val="auto"/>
              </w:rPr>
              <w:t>Teresa L. Dick</w:t>
            </w:r>
          </w:p>
        </w:tc>
      </w:tr>
      <w:tr>
        <w:trPr>
          <w:trHeight w:val="270"/>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800" w:type="dxa"/>
            <w:vAlign w:val="bottom"/>
          </w:tcPr>
          <w:p>
            <w:pPr>
              <w:ind w:left="180"/>
              <w:spacing w:after="0"/>
              <w:rPr>
                <w:sz w:val="20"/>
                <w:szCs w:val="20"/>
                <w:color w:val="auto"/>
              </w:rPr>
            </w:pPr>
            <w:r>
              <w:rPr>
                <w:rFonts w:ascii="Arial" w:cs="Arial" w:eastAsia="Arial" w:hAnsi="Arial"/>
                <w:sz w:val="22"/>
                <w:szCs w:val="22"/>
                <w:color w:val="auto"/>
              </w:rPr>
              <w:t>Chief Financial Officer, Executive</w:t>
            </w:r>
          </w:p>
        </w:tc>
      </w:tr>
      <w:tr>
        <w:trPr>
          <w:trHeight w:val="270"/>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Vice President, and Assistant</w:t>
            </w:r>
          </w:p>
        </w:tc>
      </w:tr>
      <w:tr>
        <w:trPr>
          <w:trHeight w:val="274"/>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Secretary</w:t>
            </w:r>
          </w:p>
        </w:tc>
      </w:tr>
    </w:tbl>
    <w:p>
      <w:pPr>
        <w:spacing w:after="0" w:line="200" w:lineRule="exact"/>
        <w:rPr>
          <w:sz w:val="20"/>
          <w:szCs w:val="20"/>
          <w:color w:val="auto"/>
        </w:rPr>
      </w:pP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Supplemental Indenture</w:t>
      </w:r>
    </w:p>
    <w:p>
      <w:pPr>
        <w:sectPr>
          <w:pgSz w:w="11900" w:h="16838" w:orient="portrait"/>
          <w:cols w:equalWidth="0" w:num="1">
            <w:col w:w="11240"/>
          </w:cols>
          <w:pgMar w:left="320" w:top="1400" w:right="339" w:bottom="1440" w:gutter="0" w:footer="0" w:header="0"/>
          <w:type w:val="continuous"/>
        </w:sectPr>
      </w:pPr>
    </w:p>
    <w:bookmarkStart w:id="144" w:name="page145"/>
    <w:bookmarkEnd w:id="144"/>
    <w:p>
      <w:pPr>
        <w:spacing w:after="0" w:line="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RATTLER OMOG LLC</w:t>
      </w:r>
    </w:p>
    <w:p>
      <w:pPr>
        <w:spacing w:after="0" w:line="21" w:lineRule="exact"/>
        <w:rPr>
          <w:sz w:val="20"/>
          <w:szCs w:val="20"/>
          <w:color w:val="auto"/>
        </w:rPr>
      </w:pPr>
    </w:p>
    <w:p>
      <w:pPr>
        <w:ind w:left="4000"/>
        <w:spacing w:after="0"/>
        <w:tabs>
          <w:tab w:leader="none" w:pos="4560" w:val="left"/>
        </w:tabs>
        <w:rPr>
          <w:sz w:val="20"/>
          <w:szCs w:val="20"/>
          <w:color w:val="auto"/>
        </w:rPr>
      </w:pPr>
      <w:r>
        <w:rPr>
          <w:rFonts w:ascii="Arial" w:cs="Arial" w:eastAsia="Arial" w:hAnsi="Arial"/>
          <w:sz w:val="22"/>
          <w:szCs w:val="22"/>
          <w:color w:val="auto"/>
        </w:rPr>
        <w:t>By:</w:t>
        <w:tab/>
        <w:t>Rattler Midstream Operating LLC,</w:t>
      </w:r>
    </w:p>
    <w:p>
      <w:pPr>
        <w:spacing w:after="0" w:line="1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its sole member</w:t>
      </w:r>
    </w:p>
    <w:p>
      <w:pPr>
        <w:spacing w:after="0" w:line="283" w:lineRule="exact"/>
        <w:rPr>
          <w:sz w:val="20"/>
          <w:szCs w:val="20"/>
          <w:color w:val="auto"/>
        </w:rPr>
      </w:pPr>
    </w:p>
    <w:tbl>
      <w:tblPr>
        <w:tblLayout w:type="fixed"/>
        <w:tblInd w:w="4000" w:type="dxa"/>
        <w:tblCellMar>
          <w:top w:w="0" w:type="dxa"/>
          <w:left w:w="0" w:type="dxa"/>
          <w:bottom w:w="0" w:type="dxa"/>
          <w:right w:w="0" w:type="dxa"/>
        </w:tblCellMar>
      </w:tblPr>
      <w:tr>
        <w:trPr>
          <w:trHeight w:val="276"/>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Teresa L. Dick</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800" w:type="dxa"/>
            <w:vAlign w:val="bottom"/>
          </w:tcPr>
          <w:p>
            <w:pPr>
              <w:ind w:left="180"/>
              <w:spacing w:after="0"/>
              <w:rPr>
                <w:sz w:val="20"/>
                <w:szCs w:val="20"/>
                <w:color w:val="auto"/>
              </w:rPr>
            </w:pPr>
            <w:r>
              <w:rPr>
                <w:rFonts w:ascii="Arial" w:cs="Arial" w:eastAsia="Arial" w:hAnsi="Arial"/>
                <w:sz w:val="22"/>
                <w:szCs w:val="22"/>
                <w:color w:val="auto"/>
              </w:rPr>
              <w:t>Teresa L. Dick</w:t>
            </w:r>
          </w:p>
        </w:tc>
      </w:tr>
      <w:tr>
        <w:trPr>
          <w:trHeight w:val="270"/>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800" w:type="dxa"/>
            <w:vAlign w:val="bottom"/>
          </w:tcPr>
          <w:p>
            <w:pPr>
              <w:ind w:left="180"/>
              <w:spacing w:after="0"/>
              <w:rPr>
                <w:sz w:val="20"/>
                <w:szCs w:val="20"/>
                <w:color w:val="auto"/>
              </w:rPr>
            </w:pPr>
            <w:r>
              <w:rPr>
                <w:rFonts w:ascii="Arial" w:cs="Arial" w:eastAsia="Arial" w:hAnsi="Arial"/>
                <w:sz w:val="22"/>
                <w:szCs w:val="22"/>
                <w:color w:val="auto"/>
              </w:rPr>
              <w:t>Chief Financial Officer, Executive</w:t>
            </w:r>
          </w:p>
        </w:tc>
      </w:tr>
      <w:tr>
        <w:trPr>
          <w:trHeight w:val="270"/>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Vice President, and Assistant</w:t>
            </w:r>
          </w:p>
        </w:tc>
      </w:tr>
      <w:tr>
        <w:trPr>
          <w:trHeight w:val="274"/>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Secretary</w:t>
            </w:r>
          </w:p>
        </w:tc>
      </w:tr>
    </w:tbl>
    <w:p>
      <w:pPr>
        <w:spacing w:after="0" w:line="26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RATTLER AJAX PROCESSING LLC</w:t>
      </w:r>
    </w:p>
    <w:p>
      <w:pPr>
        <w:spacing w:after="0" w:line="21" w:lineRule="exact"/>
        <w:rPr>
          <w:sz w:val="20"/>
          <w:szCs w:val="20"/>
          <w:color w:val="auto"/>
        </w:rPr>
      </w:pPr>
    </w:p>
    <w:p>
      <w:pPr>
        <w:ind w:left="4000"/>
        <w:spacing w:after="0"/>
        <w:tabs>
          <w:tab w:leader="none" w:pos="4560" w:val="left"/>
        </w:tabs>
        <w:rPr>
          <w:sz w:val="20"/>
          <w:szCs w:val="20"/>
          <w:color w:val="auto"/>
        </w:rPr>
      </w:pPr>
      <w:r>
        <w:rPr>
          <w:rFonts w:ascii="Arial" w:cs="Arial" w:eastAsia="Arial" w:hAnsi="Arial"/>
          <w:sz w:val="22"/>
          <w:szCs w:val="22"/>
          <w:color w:val="auto"/>
        </w:rPr>
        <w:t>By:</w:t>
        <w:tab/>
        <w:t>Rattler Midstream Operating LLC,</w:t>
      </w:r>
    </w:p>
    <w:p>
      <w:pPr>
        <w:spacing w:after="0" w:line="17" w:lineRule="exact"/>
        <w:rPr>
          <w:sz w:val="20"/>
          <w:szCs w:val="20"/>
          <w:color w:val="auto"/>
        </w:rPr>
      </w:pPr>
    </w:p>
    <w:p>
      <w:pPr>
        <w:jc w:val="center"/>
        <w:ind w:left="1500"/>
        <w:spacing w:after="0"/>
        <w:rPr>
          <w:sz w:val="20"/>
          <w:szCs w:val="20"/>
          <w:color w:val="auto"/>
        </w:rPr>
      </w:pPr>
      <w:r>
        <w:rPr>
          <w:rFonts w:ascii="Arial" w:cs="Arial" w:eastAsia="Arial" w:hAnsi="Arial"/>
          <w:sz w:val="22"/>
          <w:szCs w:val="22"/>
          <w:color w:val="auto"/>
        </w:rPr>
        <w:t>its sole member</w:t>
      </w:r>
    </w:p>
    <w:p>
      <w:pPr>
        <w:spacing w:after="0" w:line="283" w:lineRule="exact"/>
        <w:rPr>
          <w:sz w:val="20"/>
          <w:szCs w:val="20"/>
          <w:color w:val="auto"/>
        </w:rPr>
      </w:pPr>
    </w:p>
    <w:tbl>
      <w:tblPr>
        <w:tblLayout w:type="fixed"/>
        <w:tblInd w:w="4000" w:type="dxa"/>
        <w:tblCellMar>
          <w:top w:w="0" w:type="dxa"/>
          <w:left w:w="0" w:type="dxa"/>
          <w:bottom w:w="0" w:type="dxa"/>
          <w:right w:w="0" w:type="dxa"/>
        </w:tblCellMar>
      </w:tblPr>
      <w:tr>
        <w:trPr>
          <w:trHeight w:val="276"/>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Teresa L. Dick</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800" w:type="dxa"/>
            <w:vAlign w:val="bottom"/>
          </w:tcPr>
          <w:p>
            <w:pPr>
              <w:ind w:left="180"/>
              <w:spacing w:after="0"/>
              <w:rPr>
                <w:sz w:val="20"/>
                <w:szCs w:val="20"/>
                <w:color w:val="auto"/>
              </w:rPr>
            </w:pPr>
            <w:r>
              <w:rPr>
                <w:rFonts w:ascii="Arial" w:cs="Arial" w:eastAsia="Arial" w:hAnsi="Arial"/>
                <w:sz w:val="22"/>
                <w:szCs w:val="22"/>
                <w:color w:val="auto"/>
              </w:rPr>
              <w:t>Teresa L. Dick</w:t>
            </w:r>
          </w:p>
        </w:tc>
      </w:tr>
      <w:tr>
        <w:trPr>
          <w:trHeight w:val="270"/>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800" w:type="dxa"/>
            <w:vAlign w:val="bottom"/>
          </w:tcPr>
          <w:p>
            <w:pPr>
              <w:ind w:left="180"/>
              <w:spacing w:after="0"/>
              <w:rPr>
                <w:sz w:val="20"/>
                <w:szCs w:val="20"/>
                <w:color w:val="auto"/>
              </w:rPr>
            </w:pPr>
            <w:r>
              <w:rPr>
                <w:rFonts w:ascii="Arial" w:cs="Arial" w:eastAsia="Arial" w:hAnsi="Arial"/>
                <w:sz w:val="22"/>
                <w:szCs w:val="22"/>
                <w:color w:val="auto"/>
              </w:rPr>
              <w:t>Chief Financial Officer, Executive</w:t>
            </w:r>
          </w:p>
        </w:tc>
      </w:tr>
      <w:tr>
        <w:trPr>
          <w:trHeight w:val="270"/>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Vice President, and Assistant</w:t>
            </w:r>
          </w:p>
        </w:tc>
      </w:tr>
      <w:tr>
        <w:trPr>
          <w:trHeight w:val="274"/>
        </w:trPr>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Secretary</w:t>
            </w:r>
          </w:p>
        </w:tc>
      </w:tr>
    </w:tbl>
    <w:p>
      <w:pPr>
        <w:spacing w:after="0" w:line="26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RATTLER WTG LLC</w:t>
      </w:r>
    </w:p>
    <w:p>
      <w:pPr>
        <w:spacing w:after="0" w:line="21" w:lineRule="exact"/>
        <w:rPr>
          <w:sz w:val="20"/>
          <w:szCs w:val="20"/>
          <w:color w:val="auto"/>
        </w:rPr>
      </w:pPr>
    </w:p>
    <w:p>
      <w:pPr>
        <w:ind w:left="4000"/>
        <w:spacing w:after="0"/>
        <w:tabs>
          <w:tab w:leader="none" w:pos="4560" w:val="left"/>
        </w:tabs>
        <w:rPr>
          <w:sz w:val="20"/>
          <w:szCs w:val="20"/>
          <w:color w:val="auto"/>
        </w:rPr>
      </w:pPr>
      <w:r>
        <w:rPr>
          <w:rFonts w:ascii="Arial" w:cs="Arial" w:eastAsia="Arial" w:hAnsi="Arial"/>
          <w:sz w:val="22"/>
          <w:szCs w:val="22"/>
          <w:color w:val="auto"/>
        </w:rPr>
        <w:t>By:</w:t>
        <w:tab/>
        <w:t>Rattler Midstream Operating LLC,</w:t>
      </w:r>
    </w:p>
    <w:p>
      <w:pPr>
        <w:spacing w:after="0" w:line="1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its sole member</w:t>
      </w:r>
    </w:p>
    <w:p>
      <w:pPr>
        <w:spacing w:after="0" w:line="283" w:lineRule="exact"/>
        <w:rPr>
          <w:sz w:val="20"/>
          <w:szCs w:val="20"/>
          <w:color w:val="auto"/>
        </w:rPr>
      </w:pPr>
    </w:p>
    <w:p>
      <w:pPr>
        <w:jc w:val="center"/>
        <w:ind w:left="2120"/>
        <w:spacing w:after="0"/>
        <w:tabs>
          <w:tab w:leader="none" w:pos="240" w:val="left"/>
        </w:tabs>
        <w:rPr>
          <w:sz w:val="20"/>
          <w:szCs w:val="20"/>
          <w:color w:val="auto"/>
        </w:rPr>
      </w:pPr>
      <w:r>
        <w:rPr>
          <w:rFonts w:ascii="Arial" w:cs="Arial" w:eastAsia="Arial" w:hAnsi="Arial"/>
          <w:sz w:val="22"/>
          <w:szCs w:val="22"/>
          <w:color w:val="auto"/>
        </w:rPr>
        <w:t>By:</w:t>
        <w:tab/>
        <w:t>/s/ Teresa L. Dick</w:t>
      </w:r>
    </w:p>
    <w:p>
      <w:pPr>
        <w:spacing w:after="0" w:line="21" w:lineRule="exact"/>
        <w:rPr>
          <w:sz w:val="20"/>
          <w:szCs w:val="20"/>
          <w:color w:val="auto"/>
        </w:rPr>
      </w:pPr>
    </w:p>
    <w:tbl>
      <w:tblPr>
        <w:tblLayout w:type="fixed"/>
        <w:tblInd w:w="4560" w:type="dxa"/>
        <w:tblCellMar>
          <w:top w:w="0" w:type="dxa"/>
          <w:left w:w="0" w:type="dxa"/>
          <w:bottom w:w="0" w:type="dxa"/>
          <w:right w:w="0" w:type="dxa"/>
        </w:tblCellMar>
      </w:tblPr>
      <w:tr>
        <w:trPr>
          <w:trHeight w:val="259"/>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800" w:type="dxa"/>
            <w:vAlign w:val="bottom"/>
            <w:tcBorders>
              <w:top w:val="single" w:sz="8" w:color="auto"/>
            </w:tcBorders>
          </w:tcPr>
          <w:p>
            <w:pPr>
              <w:ind w:left="180"/>
              <w:spacing w:after="0"/>
              <w:rPr>
                <w:sz w:val="20"/>
                <w:szCs w:val="20"/>
                <w:color w:val="auto"/>
              </w:rPr>
            </w:pPr>
            <w:r>
              <w:rPr>
                <w:rFonts w:ascii="Arial" w:cs="Arial" w:eastAsia="Arial" w:hAnsi="Arial"/>
                <w:sz w:val="22"/>
                <w:szCs w:val="22"/>
                <w:color w:val="auto"/>
              </w:rPr>
              <w:t>Teresa L. Dick</w:t>
            </w:r>
          </w:p>
        </w:tc>
      </w:tr>
      <w:tr>
        <w:trPr>
          <w:trHeight w:val="270"/>
        </w:trPr>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800" w:type="dxa"/>
            <w:vAlign w:val="bottom"/>
          </w:tcPr>
          <w:p>
            <w:pPr>
              <w:ind w:left="180"/>
              <w:spacing w:after="0"/>
              <w:rPr>
                <w:sz w:val="20"/>
                <w:szCs w:val="20"/>
                <w:color w:val="auto"/>
              </w:rPr>
            </w:pPr>
            <w:r>
              <w:rPr>
                <w:rFonts w:ascii="Arial" w:cs="Arial" w:eastAsia="Arial" w:hAnsi="Arial"/>
                <w:sz w:val="22"/>
                <w:szCs w:val="22"/>
                <w:color w:val="auto"/>
              </w:rPr>
              <w:t>Chief Financial Officer, Executive</w:t>
            </w:r>
          </w:p>
        </w:tc>
      </w:tr>
      <w:tr>
        <w:trPr>
          <w:trHeight w:val="270"/>
        </w:trPr>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Vice President, and Assistant</w:t>
            </w:r>
          </w:p>
        </w:tc>
      </w:tr>
      <w:tr>
        <w:trPr>
          <w:trHeight w:val="274"/>
        </w:trPr>
        <w:tc>
          <w:tcPr>
            <w:tcW w:w="760" w:type="dxa"/>
            <w:vAlign w:val="bottom"/>
          </w:tcPr>
          <w:p>
            <w:pPr>
              <w:spacing w:after="0"/>
              <w:rPr>
                <w:sz w:val="23"/>
                <w:szCs w:val="23"/>
                <w:color w:val="auto"/>
              </w:rPr>
            </w:pPr>
          </w:p>
        </w:tc>
        <w:tc>
          <w:tcPr>
            <w:tcW w:w="4800" w:type="dxa"/>
            <w:vAlign w:val="bottom"/>
          </w:tcPr>
          <w:p>
            <w:pPr>
              <w:ind w:left="180"/>
              <w:spacing w:after="0"/>
              <w:rPr>
                <w:sz w:val="20"/>
                <w:szCs w:val="20"/>
                <w:color w:val="auto"/>
              </w:rPr>
            </w:pPr>
            <w:r>
              <w:rPr>
                <w:rFonts w:ascii="Arial" w:cs="Arial" w:eastAsia="Arial" w:hAnsi="Arial"/>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20"/>
          </w:cols>
          <w:pgMar w:left="1440" w:top="1440" w:right="339" w:bottom="1440" w:gutter="0" w:footer="0" w:header="0"/>
        </w:sectPr>
      </w:pPr>
    </w:p>
    <w:bookmarkStart w:id="145" w:name="page146"/>
    <w:bookmarkEnd w:id="145"/>
    <w:p>
      <w:pPr>
        <w:spacing w:after="0" w:line="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COMPUTERSHARE TRUST COMPANY, N.A.,</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agent for Wells Fargo Bank, National</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Association, as Trustee</w:t>
      </w:r>
    </w:p>
    <w:p>
      <w:pPr>
        <w:spacing w:after="0" w:line="283" w:lineRule="exact"/>
        <w:rPr>
          <w:sz w:val="20"/>
          <w:szCs w:val="20"/>
          <w:color w:val="auto"/>
        </w:rPr>
      </w:pPr>
    </w:p>
    <w:tbl>
      <w:tblPr>
        <w:tblLayout w:type="fixed"/>
        <w:tblInd w:w="4000" w:type="dxa"/>
        <w:tblCellMar>
          <w:top w:w="0" w:type="dxa"/>
          <w:left w:w="0" w:type="dxa"/>
          <w:bottom w:w="0" w:type="dxa"/>
          <w:right w:w="0" w:type="dxa"/>
        </w:tblCellMar>
      </w:tblPr>
      <w:tr>
        <w:trPr>
          <w:trHeight w:val="276"/>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Erik R. Starkman</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800" w:type="dxa"/>
            <w:vAlign w:val="bottom"/>
          </w:tcPr>
          <w:p>
            <w:pPr>
              <w:ind w:left="180"/>
              <w:spacing w:after="0"/>
              <w:rPr>
                <w:sz w:val="20"/>
                <w:szCs w:val="20"/>
                <w:color w:val="auto"/>
              </w:rPr>
            </w:pPr>
            <w:r>
              <w:rPr>
                <w:rFonts w:ascii="Arial" w:cs="Arial" w:eastAsia="Arial" w:hAnsi="Arial"/>
                <w:sz w:val="22"/>
                <w:szCs w:val="22"/>
                <w:color w:val="auto"/>
              </w:rPr>
              <w:t>Erik R. Starkman</w:t>
            </w:r>
          </w:p>
        </w:tc>
      </w:tr>
      <w:tr>
        <w:trPr>
          <w:trHeight w:val="274"/>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800" w:type="dxa"/>
            <w:vAlign w:val="bottom"/>
          </w:tcPr>
          <w:p>
            <w:pPr>
              <w:ind w:left="18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20"/>
          </w:cols>
          <w:pgMar w:left="1440" w:top="1440"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DIAMONDBACK ENERGY, INC.</w:t>
      </w:r>
    </w:p>
    <w:p>
      <w:pPr>
        <w:spacing w:after="0" w:line="200" w:lineRule="exact"/>
        <w:rPr>
          <w:sz w:val="20"/>
          <w:szCs w:val="20"/>
          <w:color w:val="auto"/>
        </w:rPr>
      </w:pPr>
    </w:p>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AMENDED AND RESTATED</w:t>
      </w:r>
    </w:p>
    <w:p>
      <w:pPr>
        <w:spacing w:after="0" w:line="172"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SENIOR MANAGEMENT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Effective as of February 21, 2022</w:t>
      </w:r>
    </w:p>
    <w:p>
      <w:pPr>
        <w:sectPr>
          <w:pgSz w:w="11900" w:h="16838" w:orient="portrait"/>
          <w:cols w:equalWidth="0" w:num="1">
            <w:col w:w="10120"/>
          </w:cols>
          <w:pgMar w:left="1440" w:top="98" w:right="339" w:bottom="1440" w:gutter="0" w:footer="0" w:header="0"/>
        </w:sectPr>
      </w:pPr>
    </w:p>
    <w:bookmarkStart w:id="147" w:name="page148"/>
    <w:bookmarkEnd w:id="147"/>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760" w:type="dxa"/>
            <w:vAlign w:val="bottom"/>
          </w:tcPr>
          <w:p>
            <w:pPr>
              <w:spacing w:after="0"/>
              <w:rPr>
                <w:sz w:val="24"/>
                <w:szCs w:val="24"/>
                <w:color w:val="auto"/>
              </w:rPr>
            </w:pPr>
          </w:p>
        </w:tc>
        <w:tc>
          <w:tcPr>
            <w:tcW w:w="8060" w:type="dxa"/>
            <w:vAlign w:val="bottom"/>
          </w:tcPr>
          <w:p>
            <w:pPr>
              <w:ind w:left="2620"/>
              <w:spacing w:after="0"/>
              <w:rPr>
                <w:sz w:val="20"/>
                <w:szCs w:val="20"/>
                <w:color w:val="auto"/>
              </w:rPr>
            </w:pPr>
            <w:r>
              <w:rPr>
                <w:rFonts w:ascii="Arial" w:cs="Arial" w:eastAsia="Arial" w:hAnsi="Arial"/>
                <w:sz w:val="22"/>
                <w:szCs w:val="22"/>
                <w:b w:val="1"/>
                <w:bCs w:val="1"/>
                <w:color w:val="auto"/>
              </w:rPr>
              <w:t>TABLE OF CONTENTS</w:t>
            </w:r>
          </w:p>
        </w:tc>
        <w:tc>
          <w:tcPr>
            <w:tcW w:w="780" w:type="dxa"/>
            <w:vAlign w:val="bottom"/>
            <w:vMerge w:val="restart"/>
          </w:tcPr>
          <w:p>
            <w:pPr>
              <w:ind w:left="340"/>
              <w:spacing w:after="0"/>
              <w:rPr>
                <w:sz w:val="20"/>
                <w:szCs w:val="20"/>
                <w:color w:val="auto"/>
              </w:rPr>
            </w:pPr>
            <w:r>
              <w:rPr>
                <w:rFonts w:ascii="Arial" w:cs="Arial" w:eastAsia="Arial" w:hAnsi="Arial"/>
                <w:sz w:val="22"/>
                <w:szCs w:val="22"/>
                <w:b w:val="1"/>
                <w:bCs w:val="1"/>
                <w:color w:val="auto"/>
                <w:w w:val="79"/>
              </w:rPr>
              <w:t>Page</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8060" w:type="dxa"/>
            <w:vAlign w:val="bottom"/>
          </w:tcPr>
          <w:p>
            <w:pPr>
              <w:spacing w:after="0"/>
              <w:rPr>
                <w:sz w:val="23"/>
                <w:szCs w:val="23"/>
                <w:color w:val="auto"/>
              </w:rPr>
            </w:pPr>
          </w:p>
        </w:tc>
        <w:tc>
          <w:tcPr>
            <w:tcW w:w="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9820" w:type="dxa"/>
            <w:vAlign w:val="bottom"/>
            <w:gridSpan w:val="2"/>
          </w:tcPr>
          <w:p>
            <w:pPr>
              <w:spacing w:after="0"/>
              <w:rPr>
                <w:sz w:val="20"/>
                <w:szCs w:val="20"/>
                <w:color w:val="auto"/>
              </w:rPr>
            </w:pPr>
            <w:r>
              <w:rPr>
                <w:rFonts w:ascii="Arial" w:cs="Arial" w:eastAsia="Arial" w:hAnsi="Arial"/>
                <w:sz w:val="22"/>
                <w:szCs w:val="22"/>
                <w:color w:val="auto"/>
              </w:rPr>
              <w:t>ARTICLE 1 PURPOSE AND SCOPE</w:t>
            </w:r>
          </w:p>
        </w:tc>
        <w:tc>
          <w:tcPr>
            <w:tcW w:w="780" w:type="dxa"/>
            <w:vAlign w:val="bottom"/>
          </w:tcPr>
          <w:p>
            <w:pPr>
              <w:ind w:left="40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1.1</w:t>
            </w:r>
          </w:p>
        </w:tc>
        <w:tc>
          <w:tcPr>
            <w:tcW w:w="8060" w:type="dxa"/>
            <w:vAlign w:val="bottom"/>
          </w:tcPr>
          <w:p>
            <w:pPr>
              <w:ind w:left="100"/>
              <w:spacing w:after="0"/>
              <w:rPr>
                <w:sz w:val="20"/>
                <w:szCs w:val="20"/>
                <w:color w:val="auto"/>
              </w:rPr>
            </w:pPr>
            <w:r>
              <w:rPr>
                <w:rFonts w:ascii="Arial" w:cs="Arial" w:eastAsia="Arial" w:hAnsi="Arial"/>
                <w:sz w:val="22"/>
                <w:szCs w:val="22"/>
                <w:color w:val="auto"/>
              </w:rPr>
              <w:t>Introduction</w:t>
            </w:r>
          </w:p>
        </w:tc>
        <w:tc>
          <w:tcPr>
            <w:tcW w:w="780" w:type="dxa"/>
            <w:vAlign w:val="bottom"/>
          </w:tcPr>
          <w:p>
            <w:pPr>
              <w:ind w:left="40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1.2</w:t>
            </w:r>
          </w:p>
        </w:tc>
        <w:tc>
          <w:tcPr>
            <w:tcW w:w="8060" w:type="dxa"/>
            <w:vAlign w:val="bottom"/>
          </w:tcPr>
          <w:p>
            <w:pPr>
              <w:ind w:left="100"/>
              <w:spacing w:after="0"/>
              <w:rPr>
                <w:sz w:val="20"/>
                <w:szCs w:val="20"/>
                <w:color w:val="auto"/>
              </w:rPr>
            </w:pPr>
            <w:r>
              <w:rPr>
                <w:rFonts w:ascii="Arial" w:cs="Arial" w:eastAsia="Arial" w:hAnsi="Arial"/>
                <w:sz w:val="22"/>
                <w:szCs w:val="22"/>
                <w:color w:val="auto"/>
              </w:rPr>
              <w:t>Purpose</w:t>
            </w:r>
          </w:p>
        </w:tc>
        <w:tc>
          <w:tcPr>
            <w:tcW w:w="780" w:type="dxa"/>
            <w:vAlign w:val="bottom"/>
          </w:tcPr>
          <w:p>
            <w:pPr>
              <w:ind w:left="40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1.3</w:t>
            </w:r>
          </w:p>
        </w:tc>
        <w:tc>
          <w:tcPr>
            <w:tcW w:w="8060" w:type="dxa"/>
            <w:vAlign w:val="bottom"/>
          </w:tcPr>
          <w:p>
            <w:pPr>
              <w:ind w:left="100"/>
              <w:spacing w:after="0"/>
              <w:rPr>
                <w:sz w:val="20"/>
                <w:szCs w:val="20"/>
                <w:color w:val="auto"/>
              </w:rPr>
            </w:pPr>
            <w:r>
              <w:rPr>
                <w:rFonts w:ascii="Arial" w:cs="Arial" w:eastAsia="Arial" w:hAnsi="Arial"/>
                <w:sz w:val="22"/>
                <w:szCs w:val="22"/>
                <w:color w:val="auto"/>
              </w:rPr>
              <w:t>Plan Status</w:t>
            </w:r>
          </w:p>
        </w:tc>
        <w:tc>
          <w:tcPr>
            <w:tcW w:w="780" w:type="dxa"/>
            <w:vAlign w:val="bottom"/>
          </w:tcPr>
          <w:p>
            <w:pPr>
              <w:ind w:left="40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86"/>
        </w:trPr>
        <w:tc>
          <w:tcPr>
            <w:tcW w:w="9820" w:type="dxa"/>
            <w:vAlign w:val="bottom"/>
            <w:gridSpan w:val="2"/>
          </w:tcPr>
          <w:p>
            <w:pPr>
              <w:spacing w:after="0"/>
              <w:rPr>
                <w:sz w:val="20"/>
                <w:szCs w:val="20"/>
                <w:color w:val="auto"/>
              </w:rPr>
            </w:pPr>
            <w:r>
              <w:rPr>
                <w:rFonts w:ascii="Arial" w:cs="Arial" w:eastAsia="Arial" w:hAnsi="Arial"/>
                <w:sz w:val="22"/>
                <w:szCs w:val="22"/>
                <w:color w:val="auto"/>
              </w:rPr>
              <w:t>ARTICLE 2 ELIGIBILITY FOR SEVERANCE BENEFITS</w:t>
            </w:r>
          </w:p>
        </w:tc>
        <w:tc>
          <w:tcPr>
            <w:tcW w:w="780" w:type="dxa"/>
            <w:vAlign w:val="bottom"/>
          </w:tcPr>
          <w:p>
            <w:pPr>
              <w:ind w:left="40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w w:val="93"/>
              </w:rPr>
              <w:t>Section 2.1  Payments and Benefits upon an Eligible Termination (Unrelated to a Change in Control)</w:t>
            </w:r>
          </w:p>
        </w:tc>
        <w:tc>
          <w:tcPr>
            <w:tcW w:w="780" w:type="dxa"/>
            <w:vAlign w:val="bottom"/>
          </w:tcPr>
          <w:p>
            <w:pPr>
              <w:ind w:left="40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w w:val="99"/>
              </w:rPr>
              <w:t>Section 2.2  Severance Benefits upon an Eligible Termination (Related to a Change in Control)</w:t>
            </w:r>
          </w:p>
        </w:tc>
        <w:tc>
          <w:tcPr>
            <w:tcW w:w="780" w:type="dxa"/>
            <w:vAlign w:val="bottom"/>
          </w:tcPr>
          <w:p>
            <w:pPr>
              <w:ind w:left="400"/>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rPr>
              <w:t>Section 2.3  Payments upon a Termination of Employment Due to Death or Disability</w:t>
            </w:r>
          </w:p>
        </w:tc>
        <w:tc>
          <w:tcPr>
            <w:tcW w:w="780" w:type="dxa"/>
            <w:vAlign w:val="bottom"/>
          </w:tcPr>
          <w:p>
            <w:pPr>
              <w:ind w:left="400"/>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rPr>
              <w:t>Section 2.4  Release and Full Settlement; Payment Delay; Repayment Obligations</w:t>
            </w:r>
          </w:p>
        </w:tc>
        <w:tc>
          <w:tcPr>
            <w:tcW w:w="780" w:type="dxa"/>
            <w:vAlign w:val="bottom"/>
          </w:tcPr>
          <w:p>
            <w:pPr>
              <w:ind w:left="400"/>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2.5</w:t>
            </w:r>
          </w:p>
        </w:tc>
        <w:tc>
          <w:tcPr>
            <w:tcW w:w="8060" w:type="dxa"/>
            <w:vAlign w:val="bottom"/>
          </w:tcPr>
          <w:p>
            <w:pPr>
              <w:ind w:left="100"/>
              <w:spacing w:after="0"/>
              <w:rPr>
                <w:sz w:val="20"/>
                <w:szCs w:val="20"/>
                <w:color w:val="auto"/>
              </w:rPr>
            </w:pPr>
            <w:r>
              <w:rPr>
                <w:rFonts w:ascii="Arial" w:cs="Arial" w:eastAsia="Arial" w:hAnsi="Arial"/>
                <w:sz w:val="22"/>
                <w:szCs w:val="22"/>
                <w:color w:val="auto"/>
              </w:rPr>
              <w:t>Parachute Payments</w:t>
            </w:r>
          </w:p>
        </w:tc>
        <w:tc>
          <w:tcPr>
            <w:tcW w:w="780" w:type="dxa"/>
            <w:vAlign w:val="bottom"/>
          </w:tcPr>
          <w:p>
            <w:pPr>
              <w:ind w:left="400"/>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rPr>
              <w:t>Section 2.6  Coordination with Certain Other Agreements</w:t>
            </w:r>
          </w:p>
        </w:tc>
        <w:tc>
          <w:tcPr>
            <w:tcW w:w="780" w:type="dxa"/>
            <w:vAlign w:val="bottom"/>
          </w:tcPr>
          <w:p>
            <w:pPr>
              <w:ind w:left="40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2.7</w:t>
            </w:r>
          </w:p>
        </w:tc>
        <w:tc>
          <w:tcPr>
            <w:tcW w:w="8060" w:type="dxa"/>
            <w:vAlign w:val="bottom"/>
          </w:tcPr>
          <w:p>
            <w:pPr>
              <w:ind w:left="100"/>
              <w:spacing w:after="0"/>
              <w:rPr>
                <w:sz w:val="20"/>
                <w:szCs w:val="20"/>
                <w:color w:val="auto"/>
              </w:rPr>
            </w:pPr>
            <w:r>
              <w:rPr>
                <w:rFonts w:ascii="Arial" w:cs="Arial" w:eastAsia="Arial" w:hAnsi="Arial"/>
                <w:sz w:val="22"/>
                <w:szCs w:val="22"/>
                <w:color w:val="auto"/>
              </w:rPr>
              <w:t>No Mitigation</w:t>
            </w:r>
          </w:p>
        </w:tc>
        <w:tc>
          <w:tcPr>
            <w:tcW w:w="780" w:type="dxa"/>
            <w:vAlign w:val="bottom"/>
          </w:tcPr>
          <w:p>
            <w:pPr>
              <w:ind w:left="400"/>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rPr>
              <w:t>Section 2.8  Deductions from Severance Benefits</w:t>
            </w:r>
          </w:p>
        </w:tc>
        <w:tc>
          <w:tcPr>
            <w:tcW w:w="780" w:type="dxa"/>
            <w:vAlign w:val="bottom"/>
          </w:tcPr>
          <w:p>
            <w:pPr>
              <w:ind w:left="40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486"/>
        </w:trPr>
        <w:tc>
          <w:tcPr>
            <w:tcW w:w="9820" w:type="dxa"/>
            <w:vAlign w:val="bottom"/>
            <w:gridSpan w:val="2"/>
          </w:tcPr>
          <w:p>
            <w:pPr>
              <w:spacing w:after="0"/>
              <w:rPr>
                <w:sz w:val="20"/>
                <w:szCs w:val="20"/>
                <w:color w:val="auto"/>
              </w:rPr>
            </w:pPr>
            <w:r>
              <w:rPr>
                <w:rFonts w:ascii="Arial" w:cs="Arial" w:eastAsia="Arial" w:hAnsi="Arial"/>
                <w:sz w:val="22"/>
                <w:szCs w:val="22"/>
                <w:color w:val="auto"/>
              </w:rPr>
              <w:t>ARTICLE 3 RESTRICTIVE COVENANTS</w:t>
            </w:r>
          </w:p>
        </w:tc>
        <w:tc>
          <w:tcPr>
            <w:tcW w:w="780" w:type="dxa"/>
            <w:vAlign w:val="bottom"/>
          </w:tcPr>
          <w:p>
            <w:pPr>
              <w:ind w:left="40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rPr>
              <w:t>Section 3.1  Non-Competition and Non-Solicitation Obligations</w:t>
            </w:r>
          </w:p>
        </w:tc>
        <w:tc>
          <w:tcPr>
            <w:tcW w:w="780" w:type="dxa"/>
            <w:vAlign w:val="bottom"/>
          </w:tcPr>
          <w:p>
            <w:pPr>
              <w:ind w:left="40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rPr>
              <w:t>Section 3.2  Limitations on Non-Competition</w:t>
            </w:r>
          </w:p>
        </w:tc>
        <w:tc>
          <w:tcPr>
            <w:tcW w:w="780" w:type="dxa"/>
            <w:vAlign w:val="bottom"/>
          </w:tcPr>
          <w:p>
            <w:pPr>
              <w:ind w:left="40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3.3</w:t>
            </w:r>
          </w:p>
        </w:tc>
        <w:tc>
          <w:tcPr>
            <w:tcW w:w="8060" w:type="dxa"/>
            <w:vAlign w:val="bottom"/>
          </w:tcPr>
          <w:p>
            <w:pPr>
              <w:ind w:left="100"/>
              <w:spacing w:after="0"/>
              <w:rPr>
                <w:sz w:val="20"/>
                <w:szCs w:val="20"/>
                <w:color w:val="auto"/>
              </w:rPr>
            </w:pPr>
            <w:r>
              <w:rPr>
                <w:rFonts w:ascii="Arial" w:cs="Arial" w:eastAsia="Arial" w:hAnsi="Arial"/>
                <w:sz w:val="22"/>
                <w:szCs w:val="22"/>
                <w:color w:val="auto"/>
              </w:rPr>
              <w:t>Non-Disparagement</w:t>
            </w:r>
          </w:p>
        </w:tc>
        <w:tc>
          <w:tcPr>
            <w:tcW w:w="780" w:type="dxa"/>
            <w:vAlign w:val="bottom"/>
          </w:tcPr>
          <w:p>
            <w:pPr>
              <w:ind w:left="40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rPr>
              <w:t>Section 3.4  Return of Property</w:t>
            </w:r>
          </w:p>
        </w:tc>
        <w:tc>
          <w:tcPr>
            <w:tcW w:w="780" w:type="dxa"/>
            <w:vAlign w:val="bottom"/>
          </w:tcPr>
          <w:p>
            <w:pPr>
              <w:ind w:left="40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3.5</w:t>
            </w:r>
          </w:p>
        </w:tc>
        <w:tc>
          <w:tcPr>
            <w:tcW w:w="8060" w:type="dxa"/>
            <w:vAlign w:val="bottom"/>
          </w:tcPr>
          <w:p>
            <w:pPr>
              <w:ind w:left="100"/>
              <w:spacing w:after="0"/>
              <w:rPr>
                <w:sz w:val="20"/>
                <w:szCs w:val="20"/>
                <w:color w:val="auto"/>
              </w:rPr>
            </w:pPr>
            <w:r>
              <w:rPr>
                <w:rFonts w:ascii="Arial" w:cs="Arial" w:eastAsia="Arial" w:hAnsi="Arial"/>
                <w:sz w:val="22"/>
                <w:szCs w:val="22"/>
                <w:color w:val="auto"/>
              </w:rPr>
              <w:t>Cooperation</w:t>
            </w:r>
          </w:p>
        </w:tc>
        <w:tc>
          <w:tcPr>
            <w:tcW w:w="780" w:type="dxa"/>
            <w:vAlign w:val="bottom"/>
          </w:tcPr>
          <w:p>
            <w:pPr>
              <w:ind w:left="40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3.6</w:t>
            </w:r>
          </w:p>
        </w:tc>
        <w:tc>
          <w:tcPr>
            <w:tcW w:w="8060" w:type="dxa"/>
            <w:vAlign w:val="bottom"/>
          </w:tcPr>
          <w:p>
            <w:pPr>
              <w:ind w:left="100"/>
              <w:spacing w:after="0"/>
              <w:rPr>
                <w:sz w:val="20"/>
                <w:szCs w:val="20"/>
                <w:color w:val="auto"/>
              </w:rPr>
            </w:pPr>
            <w:r>
              <w:rPr>
                <w:rFonts w:ascii="Arial" w:cs="Arial" w:eastAsia="Arial" w:hAnsi="Arial"/>
                <w:sz w:val="22"/>
                <w:szCs w:val="22"/>
                <w:color w:val="auto"/>
              </w:rPr>
              <w:t>Confidential Information</w:t>
            </w:r>
          </w:p>
        </w:tc>
        <w:tc>
          <w:tcPr>
            <w:tcW w:w="780" w:type="dxa"/>
            <w:vAlign w:val="bottom"/>
          </w:tcPr>
          <w:p>
            <w:pPr>
              <w:ind w:left="40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86"/>
        </w:trPr>
        <w:tc>
          <w:tcPr>
            <w:tcW w:w="9820" w:type="dxa"/>
            <w:vAlign w:val="bottom"/>
            <w:gridSpan w:val="2"/>
          </w:tcPr>
          <w:p>
            <w:pPr>
              <w:spacing w:after="0"/>
              <w:rPr>
                <w:sz w:val="20"/>
                <w:szCs w:val="20"/>
                <w:color w:val="auto"/>
              </w:rPr>
            </w:pPr>
            <w:r>
              <w:rPr>
                <w:rFonts w:ascii="Arial" w:cs="Arial" w:eastAsia="Arial" w:hAnsi="Arial"/>
                <w:sz w:val="22"/>
                <w:szCs w:val="22"/>
                <w:color w:val="auto"/>
              </w:rPr>
              <w:t>ARTICLE 4 CLAIMS AND APPEAL PROCEDURES</w:t>
            </w:r>
          </w:p>
        </w:tc>
        <w:tc>
          <w:tcPr>
            <w:tcW w:w="780" w:type="dxa"/>
            <w:vAlign w:val="bottom"/>
          </w:tcPr>
          <w:p>
            <w:pPr>
              <w:ind w:left="40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rPr>
              <w:t>Section 4.1  Filing Claim for Benefits</w:t>
            </w:r>
          </w:p>
        </w:tc>
        <w:tc>
          <w:tcPr>
            <w:tcW w:w="780" w:type="dxa"/>
            <w:vAlign w:val="bottom"/>
          </w:tcPr>
          <w:p>
            <w:pPr>
              <w:ind w:left="40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rPr>
              <w:t>Section 4.2  Notification by the Administrator</w:t>
            </w:r>
          </w:p>
        </w:tc>
        <w:tc>
          <w:tcPr>
            <w:tcW w:w="780" w:type="dxa"/>
            <w:vAlign w:val="bottom"/>
          </w:tcPr>
          <w:p>
            <w:pPr>
              <w:ind w:left="40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4.3</w:t>
            </w:r>
          </w:p>
        </w:tc>
        <w:tc>
          <w:tcPr>
            <w:tcW w:w="8060" w:type="dxa"/>
            <w:vAlign w:val="bottom"/>
          </w:tcPr>
          <w:p>
            <w:pPr>
              <w:ind w:left="100"/>
              <w:spacing w:after="0"/>
              <w:rPr>
                <w:sz w:val="20"/>
                <w:szCs w:val="20"/>
                <w:color w:val="auto"/>
              </w:rPr>
            </w:pPr>
            <w:r>
              <w:rPr>
                <w:rFonts w:ascii="Arial" w:cs="Arial" w:eastAsia="Arial" w:hAnsi="Arial"/>
                <w:sz w:val="22"/>
                <w:szCs w:val="22"/>
                <w:color w:val="auto"/>
              </w:rPr>
              <w:t>Review Procedure</w:t>
            </w:r>
          </w:p>
        </w:tc>
        <w:tc>
          <w:tcPr>
            <w:tcW w:w="780" w:type="dxa"/>
            <w:vAlign w:val="bottom"/>
          </w:tcPr>
          <w:p>
            <w:pPr>
              <w:ind w:left="40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4.4</w:t>
            </w:r>
          </w:p>
        </w:tc>
        <w:tc>
          <w:tcPr>
            <w:tcW w:w="8060" w:type="dxa"/>
            <w:vAlign w:val="bottom"/>
          </w:tcPr>
          <w:p>
            <w:pPr>
              <w:ind w:left="100"/>
              <w:spacing w:after="0"/>
              <w:rPr>
                <w:sz w:val="20"/>
                <w:szCs w:val="20"/>
                <w:color w:val="auto"/>
              </w:rPr>
            </w:pPr>
            <w:r>
              <w:rPr>
                <w:rFonts w:ascii="Arial" w:cs="Arial" w:eastAsia="Arial" w:hAnsi="Arial"/>
                <w:sz w:val="22"/>
                <w:szCs w:val="22"/>
                <w:color w:val="auto"/>
              </w:rPr>
              <w:t>Administrator’s Authority</w:t>
            </w:r>
          </w:p>
        </w:tc>
        <w:tc>
          <w:tcPr>
            <w:tcW w:w="780" w:type="dxa"/>
            <w:vAlign w:val="bottom"/>
          </w:tcPr>
          <w:p>
            <w:pPr>
              <w:ind w:left="400"/>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486"/>
        </w:trPr>
        <w:tc>
          <w:tcPr>
            <w:tcW w:w="9820" w:type="dxa"/>
            <w:vAlign w:val="bottom"/>
            <w:gridSpan w:val="2"/>
          </w:tcPr>
          <w:p>
            <w:pPr>
              <w:spacing w:after="0"/>
              <w:rPr>
                <w:sz w:val="20"/>
                <w:szCs w:val="20"/>
                <w:color w:val="auto"/>
              </w:rPr>
            </w:pPr>
            <w:r>
              <w:rPr>
                <w:rFonts w:ascii="Arial" w:cs="Arial" w:eastAsia="Arial" w:hAnsi="Arial"/>
                <w:sz w:val="22"/>
                <w:szCs w:val="22"/>
                <w:color w:val="auto"/>
              </w:rPr>
              <w:t>ARTICLE 5 PLAN ADMINISTRATION</w:t>
            </w:r>
          </w:p>
        </w:tc>
        <w:tc>
          <w:tcPr>
            <w:tcW w:w="780" w:type="dxa"/>
            <w:vAlign w:val="bottom"/>
          </w:tcPr>
          <w:p>
            <w:pPr>
              <w:ind w:left="400"/>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5.1</w:t>
            </w:r>
          </w:p>
        </w:tc>
        <w:tc>
          <w:tcPr>
            <w:tcW w:w="8060" w:type="dxa"/>
            <w:vAlign w:val="bottom"/>
          </w:tcPr>
          <w:p>
            <w:pPr>
              <w:ind w:left="100"/>
              <w:spacing w:after="0"/>
              <w:rPr>
                <w:sz w:val="20"/>
                <w:szCs w:val="20"/>
                <w:color w:val="auto"/>
              </w:rPr>
            </w:pPr>
            <w:r>
              <w:rPr>
                <w:rFonts w:ascii="Arial" w:cs="Arial" w:eastAsia="Arial" w:hAnsi="Arial"/>
                <w:sz w:val="22"/>
                <w:szCs w:val="22"/>
                <w:color w:val="auto"/>
              </w:rPr>
              <w:t>In General</w:t>
            </w:r>
          </w:p>
        </w:tc>
        <w:tc>
          <w:tcPr>
            <w:tcW w:w="780" w:type="dxa"/>
            <w:vAlign w:val="bottom"/>
          </w:tcPr>
          <w:p>
            <w:pPr>
              <w:ind w:left="400"/>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rPr>
              <w:t>Section 5.2  Reimbursement and Compensation</w:t>
            </w:r>
          </w:p>
        </w:tc>
        <w:tc>
          <w:tcPr>
            <w:tcW w:w="780" w:type="dxa"/>
            <w:vAlign w:val="bottom"/>
          </w:tcPr>
          <w:p>
            <w:pPr>
              <w:ind w:left="400"/>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486"/>
        </w:trPr>
        <w:tc>
          <w:tcPr>
            <w:tcW w:w="9820" w:type="dxa"/>
            <w:vAlign w:val="bottom"/>
            <w:gridSpan w:val="2"/>
          </w:tcPr>
          <w:p>
            <w:pPr>
              <w:spacing w:after="0"/>
              <w:rPr>
                <w:sz w:val="20"/>
                <w:szCs w:val="20"/>
                <w:color w:val="auto"/>
              </w:rPr>
            </w:pPr>
            <w:r>
              <w:rPr>
                <w:rFonts w:ascii="Arial" w:cs="Arial" w:eastAsia="Arial" w:hAnsi="Arial"/>
                <w:sz w:val="22"/>
                <w:szCs w:val="22"/>
                <w:color w:val="auto"/>
              </w:rPr>
              <w:t>ARTICLE 6 AMENDMENT AND TERMINATION</w:t>
            </w:r>
          </w:p>
        </w:tc>
        <w:tc>
          <w:tcPr>
            <w:tcW w:w="780" w:type="dxa"/>
            <w:vAlign w:val="bottom"/>
          </w:tcPr>
          <w:p>
            <w:pPr>
              <w:ind w:left="400"/>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486"/>
        </w:trPr>
        <w:tc>
          <w:tcPr>
            <w:tcW w:w="9820" w:type="dxa"/>
            <w:vAlign w:val="bottom"/>
            <w:gridSpan w:val="2"/>
          </w:tcPr>
          <w:p>
            <w:pPr>
              <w:spacing w:after="0"/>
              <w:rPr>
                <w:sz w:val="20"/>
                <w:szCs w:val="20"/>
                <w:color w:val="auto"/>
              </w:rPr>
            </w:pPr>
            <w:r>
              <w:rPr>
                <w:rFonts w:ascii="Arial" w:cs="Arial" w:eastAsia="Arial" w:hAnsi="Arial"/>
                <w:sz w:val="22"/>
                <w:szCs w:val="22"/>
                <w:color w:val="auto"/>
              </w:rPr>
              <w:t>ARTICLE 7 CODE SECTION 409A</w:t>
            </w:r>
          </w:p>
        </w:tc>
        <w:tc>
          <w:tcPr>
            <w:tcW w:w="780" w:type="dxa"/>
            <w:vAlign w:val="bottom"/>
          </w:tcPr>
          <w:p>
            <w:pPr>
              <w:ind w:left="400"/>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486"/>
        </w:trPr>
        <w:tc>
          <w:tcPr>
            <w:tcW w:w="9820" w:type="dxa"/>
            <w:vAlign w:val="bottom"/>
            <w:gridSpan w:val="2"/>
          </w:tcPr>
          <w:p>
            <w:pPr>
              <w:ind w:left="680"/>
              <w:spacing w:after="0"/>
              <w:rPr>
                <w:sz w:val="20"/>
                <w:szCs w:val="20"/>
                <w:color w:val="auto"/>
              </w:rPr>
            </w:pPr>
            <w:r>
              <w:rPr>
                <w:rFonts w:ascii="Arial" w:cs="Arial" w:eastAsia="Arial" w:hAnsi="Arial"/>
                <w:sz w:val="22"/>
                <w:szCs w:val="22"/>
                <w:color w:val="auto"/>
              </w:rPr>
              <w:t>Section 7.1  Deferred Compensation Exceptions</w:t>
            </w:r>
          </w:p>
        </w:tc>
        <w:tc>
          <w:tcPr>
            <w:tcW w:w="780" w:type="dxa"/>
            <w:vAlign w:val="bottom"/>
          </w:tcPr>
          <w:p>
            <w:pPr>
              <w:ind w:left="400"/>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bl>
    <w:p>
      <w:pPr>
        <w:sectPr>
          <w:pgSz w:w="11900" w:h="16901" w:orient="portrait"/>
          <w:cols w:equalWidth="0" w:num="1">
            <w:col w:w="10600"/>
          </w:cols>
          <w:pgMar w:left="400" w:top="1151" w:right="899" w:bottom="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780" w:type="dxa"/>
            <w:vAlign w:val="bottom"/>
            <w:gridSpan w:val="2"/>
          </w:tcPr>
          <w:p>
            <w:pPr>
              <w:ind w:left="680"/>
              <w:spacing w:after="0"/>
              <w:rPr>
                <w:sz w:val="20"/>
                <w:szCs w:val="20"/>
                <w:color w:val="auto"/>
              </w:rPr>
            </w:pPr>
            <w:r>
              <w:rPr>
                <w:rFonts w:ascii="Arial" w:cs="Arial" w:eastAsia="Arial" w:hAnsi="Arial"/>
                <w:sz w:val="22"/>
                <w:szCs w:val="22"/>
                <w:color w:val="auto"/>
              </w:rPr>
              <w:t>Section 7.2  Separate Payments and Payment Timing</w:t>
            </w:r>
          </w:p>
        </w:tc>
        <w:tc>
          <w:tcPr>
            <w:tcW w:w="26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7.3</w:t>
            </w:r>
          </w:p>
        </w:tc>
        <w:tc>
          <w:tcPr>
            <w:tcW w:w="6020" w:type="dxa"/>
            <w:vAlign w:val="bottom"/>
          </w:tcPr>
          <w:p>
            <w:pPr>
              <w:ind w:left="100"/>
              <w:spacing w:after="0"/>
              <w:rPr>
                <w:sz w:val="20"/>
                <w:szCs w:val="20"/>
                <w:color w:val="auto"/>
              </w:rPr>
            </w:pPr>
            <w:r>
              <w:rPr>
                <w:rFonts w:ascii="Arial" w:cs="Arial" w:eastAsia="Arial" w:hAnsi="Arial"/>
                <w:sz w:val="22"/>
                <w:szCs w:val="22"/>
                <w:color w:val="auto"/>
              </w:rPr>
              <w:t>General Section 409A Provisions</w:t>
            </w:r>
          </w:p>
        </w:tc>
        <w:tc>
          <w:tcPr>
            <w:tcW w:w="26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7.4</w:t>
            </w:r>
          </w:p>
        </w:tc>
        <w:tc>
          <w:tcPr>
            <w:tcW w:w="6020" w:type="dxa"/>
            <w:vAlign w:val="bottom"/>
          </w:tcPr>
          <w:p>
            <w:pPr>
              <w:ind w:left="100"/>
              <w:spacing w:after="0"/>
              <w:rPr>
                <w:sz w:val="20"/>
                <w:szCs w:val="20"/>
                <w:color w:val="auto"/>
              </w:rPr>
            </w:pPr>
            <w:r>
              <w:rPr>
                <w:rFonts w:ascii="Arial" w:cs="Arial" w:eastAsia="Arial" w:hAnsi="Arial"/>
                <w:sz w:val="22"/>
                <w:szCs w:val="22"/>
                <w:color w:val="auto"/>
              </w:rPr>
              <w:t>Specified Employee Status</w:t>
            </w:r>
          </w:p>
        </w:tc>
        <w:tc>
          <w:tcPr>
            <w:tcW w:w="26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86"/>
        </w:trPr>
        <w:tc>
          <w:tcPr>
            <w:tcW w:w="7780" w:type="dxa"/>
            <w:vAlign w:val="bottom"/>
            <w:gridSpan w:val="2"/>
          </w:tcPr>
          <w:p>
            <w:pPr>
              <w:spacing w:after="0"/>
              <w:rPr>
                <w:sz w:val="20"/>
                <w:szCs w:val="20"/>
                <w:color w:val="auto"/>
              </w:rPr>
            </w:pPr>
            <w:r>
              <w:rPr>
                <w:rFonts w:ascii="Arial" w:cs="Arial" w:eastAsia="Arial" w:hAnsi="Arial"/>
                <w:sz w:val="22"/>
                <w:szCs w:val="22"/>
                <w:color w:val="auto"/>
              </w:rPr>
              <w:t>ARTICLE 8 MISCELLANEOUS INFORMATION</w:t>
            </w:r>
          </w:p>
        </w:tc>
        <w:tc>
          <w:tcPr>
            <w:tcW w:w="26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8.1</w:t>
            </w:r>
          </w:p>
        </w:tc>
        <w:tc>
          <w:tcPr>
            <w:tcW w:w="6020" w:type="dxa"/>
            <w:vAlign w:val="bottom"/>
          </w:tcPr>
          <w:p>
            <w:pPr>
              <w:ind w:left="100"/>
              <w:spacing w:after="0"/>
              <w:rPr>
                <w:sz w:val="20"/>
                <w:szCs w:val="20"/>
                <w:color w:val="auto"/>
              </w:rPr>
            </w:pPr>
            <w:r>
              <w:rPr>
                <w:rFonts w:ascii="Arial" w:cs="Arial" w:eastAsia="Arial" w:hAnsi="Arial"/>
                <w:sz w:val="22"/>
                <w:szCs w:val="22"/>
                <w:color w:val="auto"/>
              </w:rPr>
              <w:t>Other Participating Employers</w:t>
            </w:r>
          </w:p>
        </w:tc>
        <w:tc>
          <w:tcPr>
            <w:tcW w:w="26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8.2</w:t>
            </w:r>
          </w:p>
        </w:tc>
        <w:tc>
          <w:tcPr>
            <w:tcW w:w="6020" w:type="dxa"/>
            <w:vAlign w:val="bottom"/>
          </w:tcPr>
          <w:p>
            <w:pPr>
              <w:ind w:left="100"/>
              <w:spacing w:after="0"/>
              <w:rPr>
                <w:sz w:val="20"/>
                <w:szCs w:val="20"/>
                <w:color w:val="auto"/>
              </w:rPr>
            </w:pPr>
            <w:r>
              <w:rPr>
                <w:rFonts w:ascii="Arial" w:cs="Arial" w:eastAsia="Arial" w:hAnsi="Arial"/>
                <w:sz w:val="22"/>
                <w:szCs w:val="22"/>
                <w:color w:val="auto"/>
              </w:rPr>
              <w:t>Limitation of Rights</w:t>
            </w:r>
          </w:p>
        </w:tc>
        <w:tc>
          <w:tcPr>
            <w:tcW w:w="2660" w:type="dxa"/>
            <w:vAlign w:val="bottom"/>
          </w:tcPr>
          <w:p>
            <w:pPr>
              <w:jc w:val="right"/>
              <w:spacing w:after="0"/>
              <w:rPr>
                <w:sz w:val="20"/>
                <w:szCs w:val="20"/>
                <w:color w:val="auto"/>
              </w:rPr>
            </w:pPr>
            <w:r>
              <w:rPr>
                <w:rFonts w:ascii="Arial" w:cs="Arial" w:eastAsia="Arial" w:hAnsi="Arial"/>
                <w:sz w:val="22"/>
                <w:szCs w:val="22"/>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440"/>
          </w:cols>
          <w:pgMar w:left="400" w:top="334" w:right="105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74"/>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8.3</w:t>
            </w:r>
          </w:p>
        </w:tc>
        <w:tc>
          <w:tcPr>
            <w:tcW w:w="7140" w:type="dxa"/>
            <w:vAlign w:val="bottom"/>
          </w:tcPr>
          <w:p>
            <w:pPr>
              <w:ind w:left="100"/>
              <w:spacing w:after="0"/>
              <w:rPr>
                <w:sz w:val="20"/>
                <w:szCs w:val="20"/>
                <w:color w:val="auto"/>
              </w:rPr>
            </w:pPr>
            <w:r>
              <w:rPr>
                <w:rFonts w:ascii="Arial" w:cs="Arial" w:eastAsia="Arial" w:hAnsi="Arial"/>
                <w:sz w:val="22"/>
                <w:szCs w:val="22"/>
                <w:color w:val="auto"/>
              </w:rPr>
              <w:t>Governing Law</w:t>
            </w:r>
          </w:p>
        </w:tc>
        <w:tc>
          <w:tcPr>
            <w:tcW w:w="1540" w:type="dxa"/>
            <w:vAlign w:val="bottom"/>
          </w:tcPr>
          <w:p>
            <w:pPr>
              <w:ind w:left="1320"/>
              <w:spacing w:after="0"/>
              <w:rPr>
                <w:sz w:val="20"/>
                <w:szCs w:val="20"/>
                <w:color w:val="auto"/>
              </w:rPr>
            </w:pPr>
            <w:r>
              <w:rPr>
                <w:rFonts w:ascii="Arial" w:cs="Arial" w:eastAsia="Arial" w:hAnsi="Arial"/>
                <w:sz w:val="22"/>
                <w:szCs w:val="22"/>
                <w:color w:val="auto"/>
                <w:w w:val="81"/>
              </w:rPr>
              <w:t>14</w:t>
            </w:r>
          </w:p>
        </w:tc>
      </w:tr>
      <w:tr>
        <w:trPr>
          <w:trHeight w:val="486"/>
        </w:trPr>
        <w:tc>
          <w:tcPr>
            <w:tcW w:w="8900" w:type="dxa"/>
            <w:vAlign w:val="bottom"/>
            <w:gridSpan w:val="2"/>
          </w:tcPr>
          <w:p>
            <w:pPr>
              <w:ind w:left="680"/>
              <w:spacing w:after="0"/>
              <w:rPr>
                <w:sz w:val="20"/>
                <w:szCs w:val="20"/>
                <w:color w:val="auto"/>
              </w:rPr>
            </w:pPr>
            <w:r>
              <w:rPr>
                <w:rFonts w:ascii="Arial" w:cs="Arial" w:eastAsia="Arial" w:hAnsi="Arial"/>
                <w:sz w:val="22"/>
                <w:szCs w:val="22"/>
                <w:color w:val="auto"/>
              </w:rPr>
              <w:t>Section 8.4  Jurisdiction and Venue</w:t>
            </w:r>
          </w:p>
        </w:tc>
        <w:tc>
          <w:tcPr>
            <w:tcW w:w="1540" w:type="dxa"/>
            <w:vAlign w:val="bottom"/>
          </w:tcPr>
          <w:p>
            <w:pPr>
              <w:ind w:left="1320"/>
              <w:spacing w:after="0"/>
              <w:rPr>
                <w:sz w:val="20"/>
                <w:szCs w:val="20"/>
                <w:color w:val="auto"/>
              </w:rPr>
            </w:pPr>
            <w:r>
              <w:rPr>
                <w:rFonts w:ascii="Arial" w:cs="Arial" w:eastAsia="Arial" w:hAnsi="Arial"/>
                <w:sz w:val="22"/>
                <w:szCs w:val="22"/>
                <w:color w:val="auto"/>
                <w:w w:val="81"/>
              </w:rPr>
              <w:t>14</w:t>
            </w:r>
          </w:p>
        </w:tc>
      </w:tr>
      <w:tr>
        <w:trPr>
          <w:trHeight w:val="486"/>
        </w:trPr>
        <w:tc>
          <w:tcPr>
            <w:tcW w:w="8900" w:type="dxa"/>
            <w:vAlign w:val="bottom"/>
            <w:gridSpan w:val="2"/>
          </w:tcPr>
          <w:p>
            <w:pPr>
              <w:ind w:left="680"/>
              <w:spacing w:after="0"/>
              <w:rPr>
                <w:sz w:val="20"/>
                <w:szCs w:val="20"/>
                <w:color w:val="auto"/>
              </w:rPr>
            </w:pPr>
            <w:r>
              <w:rPr>
                <w:rFonts w:ascii="Arial" w:cs="Arial" w:eastAsia="Arial" w:hAnsi="Arial"/>
                <w:sz w:val="22"/>
                <w:szCs w:val="22"/>
                <w:color w:val="auto"/>
              </w:rPr>
              <w:t>Section 8.5  Waiver of Trial by Jury</w:t>
            </w:r>
          </w:p>
        </w:tc>
        <w:tc>
          <w:tcPr>
            <w:tcW w:w="1540" w:type="dxa"/>
            <w:vAlign w:val="bottom"/>
          </w:tcPr>
          <w:p>
            <w:pPr>
              <w:ind w:left="1320"/>
              <w:spacing w:after="0"/>
              <w:rPr>
                <w:sz w:val="20"/>
                <w:szCs w:val="20"/>
                <w:color w:val="auto"/>
              </w:rPr>
            </w:pPr>
            <w:r>
              <w:rPr>
                <w:rFonts w:ascii="Arial" w:cs="Arial" w:eastAsia="Arial" w:hAnsi="Arial"/>
                <w:sz w:val="22"/>
                <w:szCs w:val="22"/>
                <w:color w:val="auto"/>
                <w:w w:val="81"/>
              </w:rPr>
              <w:t>14</w:t>
            </w: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8.6</w:t>
            </w:r>
          </w:p>
        </w:tc>
        <w:tc>
          <w:tcPr>
            <w:tcW w:w="7140" w:type="dxa"/>
            <w:vAlign w:val="bottom"/>
          </w:tcPr>
          <w:p>
            <w:pPr>
              <w:ind w:left="100"/>
              <w:spacing w:after="0"/>
              <w:rPr>
                <w:sz w:val="20"/>
                <w:szCs w:val="20"/>
                <w:color w:val="auto"/>
              </w:rPr>
            </w:pPr>
            <w:r>
              <w:rPr>
                <w:rFonts w:ascii="Arial" w:cs="Arial" w:eastAsia="Arial" w:hAnsi="Arial"/>
                <w:sz w:val="22"/>
                <w:szCs w:val="22"/>
                <w:color w:val="auto"/>
              </w:rPr>
              <w:t>No Assignment</w:t>
            </w:r>
          </w:p>
        </w:tc>
        <w:tc>
          <w:tcPr>
            <w:tcW w:w="1540" w:type="dxa"/>
            <w:vAlign w:val="bottom"/>
          </w:tcPr>
          <w:p>
            <w:pPr>
              <w:ind w:left="1320"/>
              <w:spacing w:after="0"/>
              <w:rPr>
                <w:sz w:val="20"/>
                <w:szCs w:val="20"/>
                <w:color w:val="auto"/>
              </w:rPr>
            </w:pPr>
            <w:r>
              <w:rPr>
                <w:rFonts w:ascii="Arial" w:cs="Arial" w:eastAsia="Arial" w:hAnsi="Arial"/>
                <w:sz w:val="22"/>
                <w:szCs w:val="22"/>
                <w:color w:val="auto"/>
                <w:w w:val="81"/>
              </w:rPr>
              <w:t>15</w:t>
            </w: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8.7</w:t>
            </w:r>
          </w:p>
        </w:tc>
        <w:tc>
          <w:tcPr>
            <w:tcW w:w="7140" w:type="dxa"/>
            <w:vAlign w:val="bottom"/>
          </w:tcPr>
          <w:p>
            <w:pPr>
              <w:ind w:left="100"/>
              <w:spacing w:after="0"/>
              <w:rPr>
                <w:sz w:val="20"/>
                <w:szCs w:val="20"/>
                <w:color w:val="auto"/>
              </w:rPr>
            </w:pPr>
            <w:r>
              <w:rPr>
                <w:rFonts w:ascii="Arial" w:cs="Arial" w:eastAsia="Arial" w:hAnsi="Arial"/>
                <w:sz w:val="22"/>
                <w:szCs w:val="22"/>
                <w:color w:val="auto"/>
              </w:rPr>
              <w:t>Severability</w:t>
            </w:r>
          </w:p>
        </w:tc>
        <w:tc>
          <w:tcPr>
            <w:tcW w:w="1540" w:type="dxa"/>
            <w:vAlign w:val="bottom"/>
          </w:tcPr>
          <w:p>
            <w:pPr>
              <w:ind w:left="1320"/>
              <w:spacing w:after="0"/>
              <w:rPr>
                <w:sz w:val="20"/>
                <w:szCs w:val="20"/>
                <w:color w:val="auto"/>
              </w:rPr>
            </w:pPr>
            <w:r>
              <w:rPr>
                <w:rFonts w:ascii="Arial" w:cs="Arial" w:eastAsia="Arial" w:hAnsi="Arial"/>
                <w:sz w:val="22"/>
                <w:szCs w:val="22"/>
                <w:color w:val="auto"/>
                <w:w w:val="81"/>
              </w:rPr>
              <w:t>15</w:t>
            </w: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8.8</w:t>
            </w:r>
          </w:p>
        </w:tc>
        <w:tc>
          <w:tcPr>
            <w:tcW w:w="7140" w:type="dxa"/>
            <w:vAlign w:val="bottom"/>
          </w:tcPr>
          <w:p>
            <w:pPr>
              <w:ind w:left="100"/>
              <w:spacing w:after="0"/>
              <w:rPr>
                <w:sz w:val="20"/>
                <w:szCs w:val="20"/>
                <w:color w:val="auto"/>
              </w:rPr>
            </w:pPr>
            <w:r>
              <w:rPr>
                <w:rFonts w:ascii="Arial" w:cs="Arial" w:eastAsia="Arial" w:hAnsi="Arial"/>
                <w:sz w:val="22"/>
                <w:szCs w:val="22"/>
                <w:color w:val="auto"/>
              </w:rPr>
              <w:t>Information Requested</w:t>
            </w:r>
          </w:p>
        </w:tc>
        <w:tc>
          <w:tcPr>
            <w:tcW w:w="1540" w:type="dxa"/>
            <w:vAlign w:val="bottom"/>
          </w:tcPr>
          <w:p>
            <w:pPr>
              <w:ind w:left="1320"/>
              <w:spacing w:after="0"/>
              <w:rPr>
                <w:sz w:val="20"/>
                <w:szCs w:val="20"/>
                <w:color w:val="auto"/>
              </w:rPr>
            </w:pPr>
            <w:r>
              <w:rPr>
                <w:rFonts w:ascii="Arial" w:cs="Arial" w:eastAsia="Arial" w:hAnsi="Arial"/>
                <w:sz w:val="22"/>
                <w:szCs w:val="22"/>
                <w:color w:val="auto"/>
                <w:w w:val="81"/>
              </w:rPr>
              <w:t>15</w:t>
            </w:r>
          </w:p>
        </w:tc>
      </w:tr>
      <w:tr>
        <w:trPr>
          <w:trHeight w:val="486"/>
        </w:trPr>
        <w:tc>
          <w:tcPr>
            <w:tcW w:w="8900" w:type="dxa"/>
            <w:vAlign w:val="bottom"/>
            <w:gridSpan w:val="2"/>
          </w:tcPr>
          <w:p>
            <w:pPr>
              <w:ind w:left="680"/>
              <w:spacing w:after="0"/>
              <w:rPr>
                <w:sz w:val="20"/>
                <w:szCs w:val="20"/>
                <w:color w:val="auto"/>
              </w:rPr>
            </w:pPr>
            <w:r>
              <w:rPr>
                <w:rFonts w:ascii="Arial" w:cs="Arial" w:eastAsia="Arial" w:hAnsi="Arial"/>
                <w:sz w:val="22"/>
                <w:szCs w:val="22"/>
                <w:color w:val="auto"/>
              </w:rPr>
              <w:t>Section 8.9  Basis of Payments to and From Plan</w:t>
            </w:r>
          </w:p>
        </w:tc>
        <w:tc>
          <w:tcPr>
            <w:tcW w:w="1540" w:type="dxa"/>
            <w:vAlign w:val="bottom"/>
          </w:tcPr>
          <w:p>
            <w:pPr>
              <w:ind w:left="1320"/>
              <w:spacing w:after="0"/>
              <w:rPr>
                <w:sz w:val="20"/>
                <w:szCs w:val="20"/>
                <w:color w:val="auto"/>
              </w:rPr>
            </w:pPr>
            <w:r>
              <w:rPr>
                <w:rFonts w:ascii="Arial" w:cs="Arial" w:eastAsia="Arial" w:hAnsi="Arial"/>
                <w:sz w:val="22"/>
                <w:szCs w:val="22"/>
                <w:color w:val="auto"/>
                <w:w w:val="81"/>
              </w:rPr>
              <w:t>15</w:t>
            </w:r>
          </w:p>
        </w:tc>
      </w:tr>
      <w:tr>
        <w:trPr>
          <w:trHeight w:val="486"/>
        </w:trPr>
        <w:tc>
          <w:tcPr>
            <w:tcW w:w="8900" w:type="dxa"/>
            <w:vAlign w:val="bottom"/>
            <w:gridSpan w:val="2"/>
          </w:tcPr>
          <w:p>
            <w:pPr>
              <w:spacing w:after="0"/>
              <w:rPr>
                <w:sz w:val="20"/>
                <w:szCs w:val="20"/>
                <w:color w:val="auto"/>
              </w:rPr>
            </w:pPr>
            <w:r>
              <w:rPr>
                <w:rFonts w:ascii="Arial" w:cs="Arial" w:eastAsia="Arial" w:hAnsi="Arial"/>
                <w:sz w:val="22"/>
                <w:szCs w:val="22"/>
                <w:color w:val="auto"/>
              </w:rPr>
              <w:t>ARTICLE 9 DEFINITIONS AND CONSTRUCTION</w:t>
            </w:r>
          </w:p>
        </w:tc>
        <w:tc>
          <w:tcPr>
            <w:tcW w:w="1540" w:type="dxa"/>
            <w:vAlign w:val="bottom"/>
          </w:tcPr>
          <w:p>
            <w:pPr>
              <w:ind w:left="1320"/>
              <w:spacing w:after="0"/>
              <w:rPr>
                <w:sz w:val="20"/>
                <w:szCs w:val="20"/>
                <w:color w:val="auto"/>
              </w:rPr>
            </w:pPr>
            <w:r>
              <w:rPr>
                <w:rFonts w:ascii="Arial" w:cs="Arial" w:eastAsia="Arial" w:hAnsi="Arial"/>
                <w:sz w:val="22"/>
                <w:szCs w:val="22"/>
                <w:color w:val="auto"/>
                <w:w w:val="81"/>
              </w:rPr>
              <w:t>15</w:t>
            </w: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9.1</w:t>
            </w:r>
          </w:p>
        </w:tc>
        <w:tc>
          <w:tcPr>
            <w:tcW w:w="7140" w:type="dxa"/>
            <w:vAlign w:val="bottom"/>
          </w:tcPr>
          <w:p>
            <w:pPr>
              <w:ind w:left="100"/>
              <w:spacing w:after="0"/>
              <w:rPr>
                <w:sz w:val="20"/>
                <w:szCs w:val="20"/>
                <w:color w:val="auto"/>
              </w:rPr>
            </w:pPr>
            <w:r>
              <w:rPr>
                <w:rFonts w:ascii="Arial" w:cs="Arial" w:eastAsia="Arial" w:hAnsi="Arial"/>
                <w:sz w:val="22"/>
                <w:szCs w:val="22"/>
                <w:color w:val="auto"/>
              </w:rPr>
              <w:t>Definitions</w:t>
            </w:r>
          </w:p>
        </w:tc>
        <w:tc>
          <w:tcPr>
            <w:tcW w:w="1540" w:type="dxa"/>
            <w:vAlign w:val="bottom"/>
          </w:tcPr>
          <w:p>
            <w:pPr>
              <w:ind w:left="1320"/>
              <w:spacing w:after="0"/>
              <w:rPr>
                <w:sz w:val="20"/>
                <w:szCs w:val="20"/>
                <w:color w:val="auto"/>
              </w:rPr>
            </w:pPr>
            <w:r>
              <w:rPr>
                <w:rFonts w:ascii="Arial" w:cs="Arial" w:eastAsia="Arial" w:hAnsi="Arial"/>
                <w:sz w:val="22"/>
                <w:szCs w:val="22"/>
                <w:color w:val="auto"/>
                <w:w w:val="81"/>
              </w:rPr>
              <w:t>15</w:t>
            </w:r>
          </w:p>
        </w:tc>
      </w:tr>
      <w:tr>
        <w:trPr>
          <w:trHeight w:val="486"/>
        </w:trPr>
        <w:tc>
          <w:tcPr>
            <w:tcW w:w="8900" w:type="dxa"/>
            <w:vAlign w:val="bottom"/>
            <w:gridSpan w:val="2"/>
          </w:tcPr>
          <w:p>
            <w:pPr>
              <w:ind w:left="680"/>
              <w:spacing w:after="0"/>
              <w:rPr>
                <w:sz w:val="20"/>
                <w:szCs w:val="20"/>
                <w:color w:val="auto"/>
              </w:rPr>
            </w:pPr>
            <w:r>
              <w:rPr>
                <w:rFonts w:ascii="Arial" w:cs="Arial" w:eastAsia="Arial" w:hAnsi="Arial"/>
                <w:sz w:val="22"/>
                <w:szCs w:val="22"/>
                <w:color w:val="auto"/>
              </w:rPr>
              <w:t>Section 9.2  Number and Gender</w:t>
            </w:r>
          </w:p>
        </w:tc>
        <w:tc>
          <w:tcPr>
            <w:tcW w:w="1540" w:type="dxa"/>
            <w:vAlign w:val="bottom"/>
          </w:tcPr>
          <w:p>
            <w:pPr>
              <w:ind w:left="1320"/>
              <w:spacing w:after="0"/>
              <w:rPr>
                <w:sz w:val="20"/>
                <w:szCs w:val="20"/>
                <w:color w:val="auto"/>
              </w:rPr>
            </w:pPr>
            <w:r>
              <w:rPr>
                <w:rFonts w:ascii="Arial" w:cs="Arial" w:eastAsia="Arial" w:hAnsi="Arial"/>
                <w:sz w:val="22"/>
                <w:szCs w:val="22"/>
                <w:color w:val="auto"/>
                <w:w w:val="81"/>
              </w:rPr>
              <w:t>19</w:t>
            </w:r>
          </w:p>
        </w:tc>
      </w:tr>
      <w:tr>
        <w:trPr>
          <w:trHeight w:val="486"/>
        </w:trPr>
        <w:tc>
          <w:tcPr>
            <w:tcW w:w="1760" w:type="dxa"/>
            <w:vAlign w:val="bottom"/>
          </w:tcPr>
          <w:p>
            <w:pPr>
              <w:ind w:left="680"/>
              <w:spacing w:after="0"/>
              <w:rPr>
                <w:sz w:val="20"/>
                <w:szCs w:val="20"/>
                <w:color w:val="auto"/>
              </w:rPr>
            </w:pPr>
            <w:r>
              <w:rPr>
                <w:rFonts w:ascii="Arial" w:cs="Arial" w:eastAsia="Arial" w:hAnsi="Arial"/>
                <w:sz w:val="22"/>
                <w:szCs w:val="22"/>
                <w:color w:val="auto"/>
                <w:w w:val="96"/>
              </w:rPr>
              <w:t>Section 9.3</w:t>
            </w:r>
          </w:p>
        </w:tc>
        <w:tc>
          <w:tcPr>
            <w:tcW w:w="7140" w:type="dxa"/>
            <w:vAlign w:val="bottom"/>
          </w:tcPr>
          <w:p>
            <w:pPr>
              <w:ind w:left="100"/>
              <w:spacing w:after="0"/>
              <w:rPr>
                <w:sz w:val="20"/>
                <w:szCs w:val="20"/>
                <w:color w:val="auto"/>
              </w:rPr>
            </w:pPr>
            <w:r>
              <w:rPr>
                <w:rFonts w:ascii="Arial" w:cs="Arial" w:eastAsia="Arial" w:hAnsi="Arial"/>
                <w:sz w:val="22"/>
                <w:szCs w:val="22"/>
                <w:color w:val="auto"/>
              </w:rPr>
              <w:t>Headings</w:t>
            </w:r>
          </w:p>
        </w:tc>
        <w:tc>
          <w:tcPr>
            <w:tcW w:w="1540" w:type="dxa"/>
            <w:vAlign w:val="bottom"/>
          </w:tcPr>
          <w:p>
            <w:pPr>
              <w:ind w:left="1320"/>
              <w:spacing w:after="0"/>
              <w:rPr>
                <w:sz w:val="20"/>
                <w:szCs w:val="20"/>
                <w:color w:val="auto"/>
              </w:rPr>
            </w:pPr>
            <w:r>
              <w:rPr>
                <w:rFonts w:ascii="Arial" w:cs="Arial" w:eastAsia="Arial" w:hAnsi="Arial"/>
                <w:sz w:val="22"/>
                <w:szCs w:val="22"/>
                <w:color w:val="auto"/>
                <w:w w:val="81"/>
              </w:rPr>
              <w:t>19</w:t>
            </w:r>
          </w:p>
        </w:tc>
      </w:tr>
      <w:tr>
        <w:trPr>
          <w:trHeight w:val="486"/>
        </w:trPr>
        <w:tc>
          <w:tcPr>
            <w:tcW w:w="8900" w:type="dxa"/>
            <w:vAlign w:val="bottom"/>
            <w:gridSpan w:val="2"/>
          </w:tcPr>
          <w:p>
            <w:pPr>
              <w:spacing w:after="0"/>
              <w:rPr>
                <w:sz w:val="20"/>
                <w:szCs w:val="20"/>
                <w:color w:val="auto"/>
              </w:rPr>
            </w:pPr>
            <w:r>
              <w:rPr>
                <w:rFonts w:ascii="Arial" w:cs="Arial" w:eastAsia="Arial" w:hAnsi="Arial"/>
                <w:sz w:val="22"/>
                <w:szCs w:val="22"/>
                <w:color w:val="auto"/>
              </w:rPr>
              <w:t>APPENDIX A - SUMMARY PLAN DESCRIPTION ADDITIONAL INFORMATION</w:t>
            </w:r>
          </w:p>
        </w:tc>
        <w:tc>
          <w:tcPr>
            <w:tcW w:w="1540" w:type="dxa"/>
            <w:vAlign w:val="bottom"/>
          </w:tcPr>
          <w:p>
            <w:pPr>
              <w:ind w:left="1320"/>
              <w:spacing w:after="0"/>
              <w:rPr>
                <w:sz w:val="20"/>
                <w:szCs w:val="20"/>
                <w:color w:val="auto"/>
              </w:rPr>
            </w:pPr>
            <w:r>
              <w:rPr>
                <w:rFonts w:ascii="Arial" w:cs="Arial" w:eastAsia="Arial" w:hAnsi="Arial"/>
                <w:sz w:val="22"/>
                <w:szCs w:val="22"/>
                <w:color w:val="auto"/>
              </w:rPr>
              <w:t>1</w:t>
            </w:r>
          </w:p>
        </w:tc>
      </w:tr>
      <w:tr>
        <w:trPr>
          <w:trHeight w:val="486"/>
        </w:trPr>
        <w:tc>
          <w:tcPr>
            <w:tcW w:w="8900" w:type="dxa"/>
            <w:vAlign w:val="bottom"/>
            <w:gridSpan w:val="2"/>
          </w:tcPr>
          <w:p>
            <w:pPr>
              <w:spacing w:after="0"/>
              <w:rPr>
                <w:sz w:val="20"/>
                <w:szCs w:val="20"/>
                <w:color w:val="auto"/>
              </w:rPr>
            </w:pPr>
            <w:r>
              <w:rPr>
                <w:rFonts w:ascii="Arial" w:cs="Arial" w:eastAsia="Arial" w:hAnsi="Arial"/>
                <w:sz w:val="22"/>
                <w:szCs w:val="22"/>
                <w:color w:val="auto"/>
              </w:rPr>
              <w:t>ARTICLE 1 OTHER PLAN INFORMATION</w:t>
            </w:r>
          </w:p>
        </w:tc>
        <w:tc>
          <w:tcPr>
            <w:tcW w:w="1540" w:type="dxa"/>
            <w:vAlign w:val="bottom"/>
          </w:tcPr>
          <w:p>
            <w:pPr>
              <w:ind w:left="1320"/>
              <w:spacing w:after="0"/>
              <w:rPr>
                <w:sz w:val="20"/>
                <w:szCs w:val="20"/>
                <w:color w:val="auto"/>
              </w:rPr>
            </w:pPr>
            <w:r>
              <w:rPr>
                <w:rFonts w:ascii="Arial" w:cs="Arial" w:eastAsia="Arial" w:hAnsi="Arial"/>
                <w:sz w:val="22"/>
                <w:szCs w:val="22"/>
                <w:color w:val="auto"/>
              </w:rPr>
              <w:t>1</w:t>
            </w:r>
          </w:p>
        </w:tc>
      </w:tr>
      <w:tr>
        <w:trPr>
          <w:trHeight w:val="486"/>
        </w:trPr>
        <w:tc>
          <w:tcPr>
            <w:tcW w:w="8900" w:type="dxa"/>
            <w:vAlign w:val="bottom"/>
            <w:gridSpan w:val="2"/>
          </w:tcPr>
          <w:p>
            <w:pPr>
              <w:ind w:left="680"/>
              <w:spacing w:after="0"/>
              <w:rPr>
                <w:sz w:val="20"/>
                <w:szCs w:val="20"/>
                <w:color w:val="auto"/>
              </w:rPr>
            </w:pPr>
            <w:r>
              <w:rPr>
                <w:rFonts w:ascii="Arial" w:cs="Arial" w:eastAsia="Arial" w:hAnsi="Arial"/>
                <w:sz w:val="22"/>
                <w:szCs w:val="22"/>
                <w:color w:val="auto"/>
              </w:rPr>
              <w:t>Section 1.1  Employer and Plan Identification Numbers</w:t>
            </w:r>
          </w:p>
        </w:tc>
        <w:tc>
          <w:tcPr>
            <w:tcW w:w="1540" w:type="dxa"/>
            <w:vAlign w:val="bottom"/>
          </w:tcPr>
          <w:p>
            <w:pPr>
              <w:ind w:left="1320"/>
              <w:spacing w:after="0"/>
              <w:rPr>
                <w:sz w:val="20"/>
                <w:szCs w:val="20"/>
                <w:color w:val="auto"/>
              </w:rPr>
            </w:pPr>
            <w:r>
              <w:rPr>
                <w:rFonts w:ascii="Arial" w:cs="Arial" w:eastAsia="Arial" w:hAnsi="Arial"/>
                <w:sz w:val="22"/>
                <w:szCs w:val="22"/>
                <w:color w:val="auto"/>
              </w:rPr>
              <w:t>1</w:t>
            </w:r>
          </w:p>
        </w:tc>
      </w:tr>
      <w:tr>
        <w:trPr>
          <w:trHeight w:val="486"/>
        </w:trPr>
        <w:tc>
          <w:tcPr>
            <w:tcW w:w="8900" w:type="dxa"/>
            <w:vAlign w:val="bottom"/>
            <w:gridSpan w:val="2"/>
          </w:tcPr>
          <w:p>
            <w:pPr>
              <w:ind w:left="680"/>
              <w:spacing w:after="0"/>
              <w:rPr>
                <w:sz w:val="20"/>
                <w:szCs w:val="20"/>
                <w:color w:val="auto"/>
              </w:rPr>
            </w:pPr>
            <w:r>
              <w:rPr>
                <w:rFonts w:ascii="Arial" w:cs="Arial" w:eastAsia="Arial" w:hAnsi="Arial"/>
                <w:sz w:val="22"/>
                <w:szCs w:val="22"/>
                <w:color w:val="auto"/>
              </w:rPr>
              <w:t>Section 1.2  Ending Date for Plan’s Fiscal Year</w:t>
            </w:r>
          </w:p>
        </w:tc>
        <w:tc>
          <w:tcPr>
            <w:tcW w:w="1540" w:type="dxa"/>
            <w:vAlign w:val="bottom"/>
          </w:tcPr>
          <w:p>
            <w:pPr>
              <w:ind w:left="1320"/>
              <w:spacing w:after="0"/>
              <w:rPr>
                <w:sz w:val="20"/>
                <w:szCs w:val="20"/>
                <w:color w:val="auto"/>
              </w:rPr>
            </w:pPr>
            <w:r>
              <w:rPr>
                <w:rFonts w:ascii="Arial" w:cs="Arial" w:eastAsia="Arial" w:hAnsi="Arial"/>
                <w:sz w:val="22"/>
                <w:szCs w:val="22"/>
                <w:color w:val="auto"/>
              </w:rPr>
              <w:t>1</w:t>
            </w:r>
          </w:p>
        </w:tc>
      </w:tr>
      <w:tr>
        <w:trPr>
          <w:trHeight w:val="486"/>
        </w:trPr>
        <w:tc>
          <w:tcPr>
            <w:tcW w:w="8900" w:type="dxa"/>
            <w:vAlign w:val="bottom"/>
            <w:gridSpan w:val="2"/>
          </w:tcPr>
          <w:p>
            <w:pPr>
              <w:ind w:left="680"/>
              <w:spacing w:after="0"/>
              <w:rPr>
                <w:sz w:val="20"/>
                <w:szCs w:val="20"/>
                <w:color w:val="auto"/>
              </w:rPr>
            </w:pPr>
            <w:r>
              <w:rPr>
                <w:rFonts w:ascii="Arial" w:cs="Arial" w:eastAsia="Arial" w:hAnsi="Arial"/>
                <w:sz w:val="22"/>
                <w:szCs w:val="22"/>
                <w:color w:val="auto"/>
              </w:rPr>
              <w:t>Section 1.3  Agent for the Service of Legal Process</w:t>
            </w:r>
          </w:p>
        </w:tc>
        <w:tc>
          <w:tcPr>
            <w:tcW w:w="1540" w:type="dxa"/>
            <w:vAlign w:val="bottom"/>
          </w:tcPr>
          <w:p>
            <w:pPr>
              <w:ind w:left="1320"/>
              <w:spacing w:after="0"/>
              <w:rPr>
                <w:sz w:val="20"/>
                <w:szCs w:val="20"/>
                <w:color w:val="auto"/>
              </w:rPr>
            </w:pPr>
            <w:r>
              <w:rPr>
                <w:rFonts w:ascii="Arial" w:cs="Arial" w:eastAsia="Arial" w:hAnsi="Arial"/>
                <w:sz w:val="22"/>
                <w:szCs w:val="22"/>
                <w:color w:val="auto"/>
              </w:rPr>
              <w:t>1</w:t>
            </w:r>
          </w:p>
        </w:tc>
      </w:tr>
      <w:tr>
        <w:trPr>
          <w:trHeight w:val="486"/>
        </w:trPr>
        <w:tc>
          <w:tcPr>
            <w:tcW w:w="8900" w:type="dxa"/>
            <w:vAlign w:val="bottom"/>
            <w:gridSpan w:val="2"/>
          </w:tcPr>
          <w:p>
            <w:pPr>
              <w:ind w:left="680"/>
              <w:spacing w:after="0"/>
              <w:rPr>
                <w:sz w:val="20"/>
                <w:szCs w:val="20"/>
                <w:color w:val="auto"/>
              </w:rPr>
            </w:pPr>
            <w:r>
              <w:rPr>
                <w:rFonts w:ascii="Arial" w:cs="Arial" w:eastAsia="Arial" w:hAnsi="Arial"/>
                <w:sz w:val="22"/>
                <w:szCs w:val="22"/>
                <w:color w:val="auto"/>
              </w:rPr>
              <w:t>Section 1.4  Plan Sponsor and Administrator</w:t>
            </w:r>
          </w:p>
        </w:tc>
        <w:tc>
          <w:tcPr>
            <w:tcW w:w="1540" w:type="dxa"/>
            <w:vAlign w:val="bottom"/>
          </w:tcPr>
          <w:p>
            <w:pPr>
              <w:ind w:left="1320"/>
              <w:spacing w:after="0"/>
              <w:rPr>
                <w:sz w:val="20"/>
                <w:szCs w:val="20"/>
                <w:color w:val="auto"/>
              </w:rPr>
            </w:pPr>
            <w:r>
              <w:rPr>
                <w:rFonts w:ascii="Arial" w:cs="Arial" w:eastAsia="Arial" w:hAnsi="Arial"/>
                <w:sz w:val="22"/>
                <w:szCs w:val="22"/>
                <w:color w:val="auto"/>
              </w:rPr>
              <w:t>1</w:t>
            </w:r>
          </w:p>
        </w:tc>
      </w:tr>
      <w:tr>
        <w:trPr>
          <w:trHeight w:val="486"/>
        </w:trPr>
        <w:tc>
          <w:tcPr>
            <w:tcW w:w="8900" w:type="dxa"/>
            <w:vAlign w:val="bottom"/>
            <w:gridSpan w:val="2"/>
          </w:tcPr>
          <w:p>
            <w:pPr>
              <w:spacing w:after="0"/>
              <w:rPr>
                <w:sz w:val="20"/>
                <w:szCs w:val="20"/>
                <w:color w:val="auto"/>
              </w:rPr>
            </w:pPr>
            <w:r>
              <w:rPr>
                <w:rFonts w:ascii="Arial" w:cs="Arial" w:eastAsia="Arial" w:hAnsi="Arial"/>
                <w:sz w:val="22"/>
                <w:szCs w:val="22"/>
                <w:color w:val="auto"/>
              </w:rPr>
              <w:t>ARTICLE 2 STATEMENT OF ERISA RIGHTS</w:t>
            </w:r>
          </w:p>
        </w:tc>
        <w:tc>
          <w:tcPr>
            <w:tcW w:w="1540" w:type="dxa"/>
            <w:vAlign w:val="bottom"/>
          </w:tcPr>
          <w:p>
            <w:pPr>
              <w:ind w:left="1320"/>
              <w:spacing w:after="0"/>
              <w:rPr>
                <w:sz w:val="20"/>
                <w:szCs w:val="20"/>
                <w:color w:val="auto"/>
              </w:rPr>
            </w:pPr>
            <w:r>
              <w:rPr>
                <w:rFonts w:ascii="Arial" w:cs="Arial" w:eastAsia="Arial" w:hAnsi="Arial"/>
                <w:sz w:val="22"/>
                <w:szCs w:val="22"/>
                <w:color w:val="auto"/>
              </w:rPr>
              <w:t>2</w:t>
            </w:r>
          </w:p>
        </w:tc>
      </w:tr>
      <w:tr>
        <w:trPr>
          <w:trHeight w:val="482"/>
        </w:trPr>
        <w:tc>
          <w:tcPr>
            <w:tcW w:w="8900" w:type="dxa"/>
            <w:vAlign w:val="bottom"/>
            <w:gridSpan w:val="2"/>
          </w:tcPr>
          <w:p>
            <w:pPr>
              <w:spacing w:after="0"/>
              <w:rPr>
                <w:sz w:val="20"/>
                <w:szCs w:val="20"/>
                <w:color w:val="auto"/>
              </w:rPr>
            </w:pPr>
            <w:r>
              <w:rPr>
                <w:rFonts w:ascii="Arial" w:cs="Arial" w:eastAsia="Arial" w:hAnsi="Arial"/>
                <w:sz w:val="22"/>
                <w:szCs w:val="22"/>
                <w:color w:val="auto"/>
              </w:rPr>
              <w:t>Schedule A – Applicable Factor</w:t>
            </w:r>
          </w:p>
        </w:tc>
        <w:tc>
          <w:tcPr>
            <w:tcW w:w="1540" w:type="dxa"/>
            <w:vAlign w:val="bottom"/>
          </w:tcPr>
          <w:p>
            <w:pPr>
              <w:ind w:left="1320"/>
              <w:spacing w:after="0"/>
              <w:rPr>
                <w:sz w:val="20"/>
                <w:szCs w:val="20"/>
                <w:color w:val="auto"/>
              </w:rPr>
            </w:pPr>
            <w:r>
              <w:rPr>
                <w:rFonts w:ascii="Arial" w:cs="Arial" w:eastAsia="Arial" w:hAnsi="Arial"/>
                <w:sz w:val="22"/>
                <w:szCs w:val="22"/>
                <w:color w:val="auto"/>
              </w:rPr>
              <w:t>4</w:t>
            </w:r>
          </w:p>
        </w:tc>
      </w:tr>
      <w:tr>
        <w:trPr>
          <w:trHeight w:val="270"/>
        </w:trPr>
        <w:tc>
          <w:tcPr>
            <w:tcW w:w="8900" w:type="dxa"/>
            <w:vAlign w:val="bottom"/>
            <w:gridSpan w:val="2"/>
          </w:tcPr>
          <w:p>
            <w:pPr>
              <w:spacing w:after="0"/>
              <w:rPr>
                <w:sz w:val="20"/>
                <w:szCs w:val="20"/>
                <w:color w:val="auto"/>
              </w:rPr>
            </w:pPr>
            <w:r>
              <w:rPr>
                <w:rFonts w:ascii="Arial" w:cs="Arial" w:eastAsia="Arial" w:hAnsi="Arial"/>
                <w:sz w:val="22"/>
                <w:szCs w:val="22"/>
                <w:color w:val="auto"/>
              </w:rPr>
              <w:t>Schedule B – Number of Months</w:t>
            </w:r>
          </w:p>
        </w:tc>
        <w:tc>
          <w:tcPr>
            <w:tcW w:w="1540" w:type="dxa"/>
            <w:vAlign w:val="bottom"/>
          </w:tcPr>
          <w:p>
            <w:pPr>
              <w:ind w:left="1320"/>
              <w:spacing w:after="0"/>
              <w:rPr>
                <w:sz w:val="20"/>
                <w:szCs w:val="20"/>
                <w:color w:val="auto"/>
              </w:rPr>
            </w:pPr>
            <w:r>
              <w:rPr>
                <w:rFonts w:ascii="Arial" w:cs="Arial" w:eastAsia="Arial" w:hAnsi="Arial"/>
                <w:sz w:val="22"/>
                <w:szCs w:val="22"/>
                <w:color w:val="auto"/>
              </w:rPr>
              <w:t>4</w:t>
            </w:r>
          </w:p>
        </w:tc>
      </w:tr>
      <w:tr>
        <w:trPr>
          <w:trHeight w:val="274"/>
        </w:trPr>
        <w:tc>
          <w:tcPr>
            <w:tcW w:w="8900" w:type="dxa"/>
            <w:vAlign w:val="bottom"/>
            <w:gridSpan w:val="2"/>
          </w:tcPr>
          <w:p>
            <w:pPr>
              <w:spacing w:after="0"/>
              <w:rPr>
                <w:sz w:val="20"/>
                <w:szCs w:val="20"/>
                <w:color w:val="auto"/>
              </w:rPr>
            </w:pPr>
            <w:r>
              <w:rPr>
                <w:rFonts w:ascii="Arial" w:cs="Arial" w:eastAsia="Arial" w:hAnsi="Arial"/>
                <w:sz w:val="22"/>
                <w:szCs w:val="22"/>
                <w:color w:val="auto"/>
              </w:rPr>
              <w:t>Schedule C – Forms of Participation Agreement</w:t>
            </w:r>
          </w:p>
        </w:tc>
        <w:tc>
          <w:tcPr>
            <w:tcW w:w="1540" w:type="dxa"/>
            <w:vAlign w:val="bottom"/>
          </w:tcPr>
          <w:p>
            <w:pPr>
              <w:ind w:left="1320"/>
              <w:spacing w:after="0"/>
              <w:rPr>
                <w:sz w:val="20"/>
                <w:szCs w:val="20"/>
                <w:color w:val="auto"/>
              </w:rPr>
            </w:pPr>
            <w:r>
              <w:rPr>
                <w:rFonts w:ascii="Arial" w:cs="Arial" w:eastAsia="Arial" w:hAnsi="Arial"/>
                <w:sz w:val="22"/>
                <w:szCs w:val="22"/>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440"/>
          </w:cols>
          <w:pgMar w:left="400" w:top="1211" w:right="105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2"/>
          <w:szCs w:val="22"/>
          <w:b w:val="1"/>
          <w:bCs w:val="1"/>
          <w:color w:val="auto"/>
        </w:rPr>
        <w:t>DIAMONDBACK ENERGY, INC.</w:t>
      </w:r>
    </w:p>
    <w:p>
      <w:pPr>
        <w:jc w:val="center"/>
        <w:spacing w:after="0" w:line="204" w:lineRule="auto"/>
        <w:rPr>
          <w:sz w:val="20"/>
          <w:szCs w:val="20"/>
          <w:color w:val="auto"/>
        </w:rPr>
      </w:pPr>
      <w:r>
        <w:rPr>
          <w:rFonts w:ascii="Arial" w:cs="Arial" w:eastAsia="Arial" w:hAnsi="Arial"/>
          <w:sz w:val="22"/>
          <w:szCs w:val="22"/>
          <w:b w:val="1"/>
          <w:bCs w:val="1"/>
          <w:color w:val="auto"/>
        </w:rPr>
        <w:t>AMENDED AND RESTATED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MANAGEMENT SEVERANCE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as of February 21, 2022</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Diamondback Energy, Inc., a Delaware corporation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pursuant to the authorization of the Compensation Committee of the Board, previously adopted the Senior Management Severance Plan, effective February 20, 2020 and now hereby adopts this Amended and Restated Senior Management Severance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to provide certain severance pay benefits to Eligible Senior Executives who experience an Eligible Termination, in each case, under the terms and conditions provided herein.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1</w:t>
      </w:r>
    </w:p>
    <w:p>
      <w:pPr>
        <w:jc w:val="center"/>
        <w:spacing w:after="0"/>
        <w:rPr>
          <w:sz w:val="20"/>
          <w:szCs w:val="20"/>
          <w:color w:val="auto"/>
        </w:rPr>
      </w:pPr>
      <w:r>
        <w:rPr>
          <w:rFonts w:ascii="Arial" w:cs="Arial" w:eastAsia="Arial" w:hAnsi="Arial"/>
          <w:sz w:val="22"/>
          <w:szCs w:val="22"/>
          <w:b w:val="1"/>
          <w:bCs w:val="1"/>
          <w:color w:val="auto"/>
        </w:rPr>
        <w:t>PURPOSE AND SCOPE</w:t>
      </w:r>
    </w:p>
    <w:p>
      <w:pPr>
        <w:spacing w:after="0" w:line="155" w:lineRule="exact"/>
        <w:rPr>
          <w:sz w:val="20"/>
          <w:szCs w:val="20"/>
          <w:color w:val="auto"/>
        </w:rPr>
      </w:pPr>
    </w:p>
    <w:p>
      <w:pPr>
        <w:jc w:val="both"/>
        <w:ind w:right="20" w:firstLine="648"/>
        <w:spacing w:after="0" w:line="305" w:lineRule="auto"/>
        <w:rPr>
          <w:sz w:val="20"/>
          <w:szCs w:val="20"/>
          <w:color w:val="auto"/>
        </w:rPr>
      </w:pPr>
      <w:r>
        <w:rPr>
          <w:rFonts w:ascii="Arial" w:cs="Arial" w:eastAsia="Arial" w:hAnsi="Arial"/>
          <w:sz w:val="19"/>
          <w:szCs w:val="19"/>
          <w:b w:val="1"/>
          <w:bCs w:val="1"/>
          <w:color w:val="010000"/>
        </w:rPr>
        <w:t xml:space="preserve">Section 1.1 </w:t>
      </w:r>
      <w:r>
        <w:rPr>
          <w:rFonts w:ascii="Arial" w:cs="Arial" w:eastAsia="Arial" w:hAnsi="Arial"/>
          <w:sz w:val="19"/>
          <w:szCs w:val="19"/>
          <w:b w:val="1"/>
          <w:bCs w:val="1"/>
          <w:color w:val="000000"/>
        </w:rPr>
        <w:t>Introduction</w:t>
      </w:r>
      <w:r>
        <w:rPr>
          <w:rFonts w:ascii="Arial" w:cs="Arial" w:eastAsia="Arial" w:hAnsi="Arial"/>
          <w:sz w:val="19"/>
          <w:szCs w:val="19"/>
          <w:color w:val="000000"/>
        </w:rPr>
        <w:t>. The Plan is being adopted pursuant to the authorization of the Compensation Committee of</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Board for the benefit of certain Eligible Senior Executives of the Company or any other adopting Employer.</w:t>
      </w:r>
    </w:p>
    <w:p>
      <w:pPr>
        <w:spacing w:after="0" w:line="9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b w:val="1"/>
          <w:bCs w:val="1"/>
          <w:color w:val="010000"/>
        </w:rPr>
        <w:t xml:space="preserve">Section 1.2 </w:t>
      </w:r>
      <w:r>
        <w:rPr>
          <w:rFonts w:ascii="Arial" w:cs="Arial" w:eastAsia="Arial" w:hAnsi="Arial"/>
          <w:sz w:val="21"/>
          <w:szCs w:val="21"/>
          <w:b w:val="1"/>
          <w:bCs w:val="1"/>
          <w:color w:val="000000"/>
        </w:rPr>
        <w:t>Purpose</w:t>
      </w:r>
      <w:r>
        <w:rPr>
          <w:rFonts w:ascii="Arial" w:cs="Arial" w:eastAsia="Arial" w:hAnsi="Arial"/>
          <w:sz w:val="21"/>
          <w:szCs w:val="21"/>
          <w:color w:val="000000"/>
        </w:rPr>
        <w:t>. The purpose of the Plan is to provide severance pay benefits under the terms and conditions</w:t>
      </w:r>
      <w:r>
        <w:rPr>
          <w:rFonts w:ascii="Arial" w:cs="Arial" w:eastAsia="Arial" w:hAnsi="Arial"/>
          <w:sz w:val="21"/>
          <w:szCs w:val="21"/>
          <w:b w:val="1"/>
          <w:bCs w:val="1"/>
          <w:color w:val="010000"/>
        </w:rPr>
        <w:t xml:space="preserve"> </w:t>
      </w:r>
      <w:r>
        <w:rPr>
          <w:rFonts w:ascii="Arial" w:cs="Arial" w:eastAsia="Arial" w:hAnsi="Arial"/>
          <w:sz w:val="21"/>
          <w:szCs w:val="21"/>
          <w:color w:val="000000"/>
        </w:rPr>
        <w:t>specified in Article 2 and Article 3 to Eligible Senior Executives who are subject to an Eligible Termination. The severance pay benefits provided hereunder are not required by law and nothing herein creates an obligation to pay severance pay benefits of any kind or amount, except as provided by this Plan. No other employee of the Company, an Affiliate, an Employer or any other Person shall have any rights to benefits under this Plan.</w:t>
      </w:r>
    </w:p>
    <w:p>
      <w:pPr>
        <w:spacing w:after="0" w:line="15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010000"/>
        </w:rPr>
        <w:t xml:space="preserve">Section 1.3 </w:t>
      </w:r>
      <w:r>
        <w:rPr>
          <w:rFonts w:ascii="Arial" w:cs="Arial" w:eastAsia="Arial" w:hAnsi="Arial"/>
          <w:sz w:val="21"/>
          <w:szCs w:val="21"/>
          <w:b w:val="1"/>
          <w:bCs w:val="1"/>
          <w:color w:val="000000"/>
        </w:rPr>
        <w:t>Plan Status</w:t>
      </w:r>
      <w:r>
        <w:rPr>
          <w:rFonts w:ascii="Arial" w:cs="Arial" w:eastAsia="Arial" w:hAnsi="Arial"/>
          <w:sz w:val="21"/>
          <w:szCs w:val="21"/>
          <w:color w:val="000000"/>
        </w:rPr>
        <w:t>. For tax purposes and for purposes of Title I of ERISA, this Plan document is intended to be</w:t>
      </w:r>
      <w:r>
        <w:rPr>
          <w:rFonts w:ascii="Arial" w:cs="Arial" w:eastAsia="Arial" w:hAnsi="Arial"/>
          <w:sz w:val="21"/>
          <w:szCs w:val="21"/>
          <w:b w:val="1"/>
          <w:bCs w:val="1"/>
          <w:color w:val="010000"/>
        </w:rPr>
        <w:t xml:space="preserve"> </w:t>
      </w:r>
      <w:r>
        <w:rPr>
          <w:rFonts w:ascii="Arial" w:cs="Arial" w:eastAsia="Arial" w:hAnsi="Arial"/>
          <w:sz w:val="21"/>
          <w:szCs w:val="21"/>
          <w:color w:val="000000"/>
        </w:rPr>
        <w:t>governed by ERISA as both an unfunded “employee welfare benefit plan” within the meaning of Section 3(l) of ERISA and a “pension plan” within the meaning of Section 3(2) of ERISA that is an unfunded plan maintained primarily for the purpose of providing deferred compensation for a select group of management or highly compensated employees, and shall be interpreted accordingly. This document is intended to serve as both the plan document and, together with the additional information in Appendix A, the summary plan description for the Plan.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2</w:t>
      </w:r>
    </w:p>
    <w:p>
      <w:pPr>
        <w:jc w:val="center"/>
        <w:spacing w:after="0"/>
        <w:rPr>
          <w:sz w:val="20"/>
          <w:szCs w:val="20"/>
          <w:color w:val="auto"/>
        </w:rPr>
      </w:pPr>
      <w:r>
        <w:rPr>
          <w:rFonts w:ascii="Arial" w:cs="Arial" w:eastAsia="Arial" w:hAnsi="Arial"/>
          <w:sz w:val="22"/>
          <w:szCs w:val="22"/>
          <w:b w:val="1"/>
          <w:bCs w:val="1"/>
          <w:color w:val="auto"/>
        </w:rPr>
        <w:t>ELIGIBILITY FOR SEVERANCE BENEFITS</w:t>
      </w:r>
    </w:p>
    <w:p>
      <w:pPr>
        <w:spacing w:after="0" w:line="15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010000"/>
        </w:rPr>
        <w:t xml:space="preserve">Section 2.1 </w:t>
      </w:r>
      <w:r>
        <w:rPr>
          <w:rFonts w:ascii="Arial" w:cs="Arial" w:eastAsia="Arial" w:hAnsi="Arial"/>
          <w:sz w:val="22"/>
          <w:szCs w:val="22"/>
          <w:b w:val="1"/>
          <w:bCs w:val="1"/>
          <w:color w:val="000000"/>
        </w:rPr>
        <w:t>Payments and Benefits upon an Eligible Termination (Unrelated to a Change in Control)</w:t>
      </w:r>
      <w:r>
        <w:rPr>
          <w:rFonts w:ascii="Arial" w:cs="Arial" w:eastAsia="Arial" w:hAnsi="Arial"/>
          <w:sz w:val="22"/>
          <w:szCs w:val="22"/>
          <w:color w:val="000000"/>
        </w:rPr>
        <w:t>. Subject to</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further provisions of this Article 2 and the Participant’s continued compliance with his or her obligations under Article 3 hereof, upon a Participant’s Eligible Termination (other than on account of death or Disability) that does not occur within the Protection Period:</w:t>
      </w:r>
    </w:p>
    <w:p>
      <w:pPr>
        <w:spacing w:after="0" w:line="158" w:lineRule="exact"/>
        <w:rPr>
          <w:sz w:val="20"/>
          <w:szCs w:val="20"/>
          <w:color w:val="auto"/>
        </w:rPr>
      </w:pPr>
    </w:p>
    <w:p>
      <w:pPr>
        <w:ind w:firstLine="1304"/>
        <w:spacing w:after="0" w:line="232" w:lineRule="auto"/>
        <w:tabs>
          <w:tab w:leader="none" w:pos="1941" w:val="left"/>
        </w:tabs>
        <w:numPr>
          <w:ilvl w:val="0"/>
          <w:numId w:val="56"/>
        </w:numPr>
        <w:rPr>
          <w:rFonts w:ascii="Arial" w:cs="Arial" w:eastAsia="Arial" w:hAnsi="Arial"/>
          <w:sz w:val="22"/>
          <w:szCs w:val="22"/>
          <w:color w:val="010000"/>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Employer will pay or provide to the Participant, the Participant’s Accrued Obligations, including any payments required by applicable law;</w:t>
      </w:r>
    </w:p>
    <w:p>
      <w:pPr>
        <w:spacing w:after="0" w:line="158" w:lineRule="exact"/>
        <w:rPr>
          <w:rFonts w:ascii="Arial" w:cs="Arial" w:eastAsia="Arial" w:hAnsi="Arial"/>
          <w:sz w:val="22"/>
          <w:szCs w:val="22"/>
          <w:color w:val="010000"/>
        </w:rPr>
      </w:pPr>
    </w:p>
    <w:p>
      <w:pPr>
        <w:jc w:val="both"/>
        <w:ind w:firstLine="1304"/>
        <w:spacing w:after="0" w:line="229" w:lineRule="auto"/>
        <w:tabs>
          <w:tab w:leader="none" w:pos="1831" w:val="left"/>
        </w:tabs>
        <w:numPr>
          <w:ilvl w:val="0"/>
          <w:numId w:val="56"/>
        </w:numPr>
        <w:rPr>
          <w:rFonts w:ascii="Arial" w:cs="Arial" w:eastAsia="Arial" w:hAnsi="Arial"/>
          <w:sz w:val="21"/>
          <w:szCs w:val="21"/>
          <w:color w:val="010000"/>
        </w:rPr>
      </w:pPr>
      <w:r>
        <w:rPr>
          <w:rFonts w:ascii="Arial" w:cs="Arial" w:eastAsia="Arial" w:hAnsi="Arial"/>
          <w:sz w:val="21"/>
          <w:szCs w:val="21"/>
          <w:u w:val="single" w:color="auto"/>
          <w:color w:val="auto"/>
        </w:rPr>
        <w:t>Prior Year Unpaid Bonus Payment Amount</w:t>
      </w:r>
      <w:r>
        <w:rPr>
          <w:rFonts w:ascii="Arial" w:cs="Arial" w:eastAsia="Arial" w:hAnsi="Arial"/>
          <w:sz w:val="21"/>
          <w:szCs w:val="21"/>
          <w:color w:val="auto"/>
        </w:rPr>
        <w:t>. The Employer will pay an amount, if any, equal to the bonus that would be payable for services attributable to a completed prior year performance period that, as of the Termination Date, has not been paid under the terms of the Diamondback Energy, Inc. Executive Annual Incentive Compensation Plan, or any successor thereto. The prior year bonus payment amount will be paid after, and only to the</w:t>
      </w:r>
    </w:p>
    <w:p>
      <w:pPr>
        <w:sectPr>
          <w:pgSz w:w="11900" w:h="16838" w:orient="portrait"/>
          <w:cols w:equalWidth="0" w:num="1">
            <w:col w:w="11240"/>
          </w:cols>
          <w:pgMar w:left="320" w:top="1139" w:right="339" w:bottom="1440" w:gutter="0" w:footer="0" w:header="0"/>
        </w:sectPr>
      </w:pPr>
    </w:p>
    <w:bookmarkStart w:id="151" w:name="page152"/>
    <w:bookmarkEnd w:id="151"/>
    <w:p>
      <w:pPr>
        <w:jc w:val="both"/>
        <w:spacing w:after="0" w:line="223" w:lineRule="auto"/>
        <w:rPr>
          <w:sz w:val="20"/>
          <w:szCs w:val="20"/>
          <w:color w:val="auto"/>
        </w:rPr>
      </w:pPr>
      <w:r>
        <w:rPr>
          <w:rFonts w:ascii="Arial" w:cs="Arial" w:eastAsia="Arial" w:hAnsi="Arial"/>
          <w:sz w:val="22"/>
          <w:szCs w:val="22"/>
          <w:color w:val="auto"/>
        </w:rPr>
        <w:t>extent, it is certified by the Compensation Committee of the Board, and will be paid at the same time bonuses to similarly situated executives are paid, as if the terminated Participant continued to be employed on the certification and bonus payment dates;</w:t>
      </w:r>
    </w:p>
    <w:p>
      <w:pPr>
        <w:spacing w:after="0" w:line="159" w:lineRule="exact"/>
        <w:rPr>
          <w:sz w:val="20"/>
          <w:szCs w:val="20"/>
          <w:color w:val="auto"/>
        </w:rPr>
      </w:pPr>
    </w:p>
    <w:p>
      <w:pPr>
        <w:jc w:val="both"/>
        <w:ind w:firstLine="1304"/>
        <w:spacing w:after="0" w:line="247" w:lineRule="auto"/>
        <w:tabs>
          <w:tab w:leader="none" w:pos="1792" w:val="left"/>
        </w:tabs>
        <w:numPr>
          <w:ilvl w:val="1"/>
          <w:numId w:val="57"/>
        </w:numPr>
        <w:rPr>
          <w:rFonts w:ascii="Arial" w:cs="Arial" w:eastAsia="Arial" w:hAnsi="Arial"/>
          <w:sz w:val="19"/>
          <w:szCs w:val="19"/>
          <w:color w:val="010000"/>
        </w:rPr>
      </w:pPr>
      <w:r>
        <w:rPr>
          <w:rFonts w:ascii="Arial" w:cs="Arial" w:eastAsia="Arial" w:hAnsi="Arial"/>
          <w:sz w:val="19"/>
          <w:szCs w:val="19"/>
          <w:u w:val="single" w:color="auto"/>
          <w:color w:val="auto"/>
        </w:rPr>
        <w:t>Base Salary Continuation</w:t>
      </w:r>
      <w:r>
        <w:rPr>
          <w:rFonts w:ascii="Arial" w:cs="Arial" w:eastAsia="Arial" w:hAnsi="Arial"/>
          <w:sz w:val="19"/>
          <w:szCs w:val="19"/>
          <w:color w:val="auto"/>
        </w:rPr>
        <w:t>. For each month during the period following the Termination Date that applies to the Participant as specified in Schedule A, the Employer will continue to pay to the Participant an amount equal to the product of</w:t>
      </w:r>
    </w:p>
    <w:p>
      <w:pPr>
        <w:jc w:val="both"/>
        <w:ind w:firstLine="8"/>
        <w:spacing w:after="0" w:line="214" w:lineRule="auto"/>
        <w:tabs>
          <w:tab w:leader="none" w:pos="271" w:val="left"/>
        </w:tabs>
        <w:numPr>
          <w:ilvl w:val="0"/>
          <w:numId w:val="58"/>
        </w:numPr>
        <w:rPr>
          <w:rFonts w:ascii="Arial" w:cs="Arial" w:eastAsia="Arial" w:hAnsi="Arial"/>
          <w:sz w:val="22"/>
          <w:szCs w:val="22"/>
          <w:color w:val="auto"/>
        </w:rPr>
      </w:pPr>
      <w:r>
        <w:rPr>
          <w:rFonts w:ascii="Arial" w:cs="Arial" w:eastAsia="Arial" w:hAnsi="Arial"/>
          <w:sz w:val="22"/>
          <w:szCs w:val="22"/>
          <w:color w:val="auto"/>
        </w:rPr>
        <w:t>his or her monthly base salary, as in effect immediately prior to the Eligible Termination (or immediately prior to any event constituting Good Reason, if applicable), multiplied by (ii) the multiple specified in Schedule A that is applicable to such Participant. The Base Salary Continuation amount will be payable in substantially equal periodic installments commencing on the Payment Date in accordance with the normal payroll practices of the Employer;</w:t>
      </w:r>
    </w:p>
    <w:p>
      <w:pPr>
        <w:spacing w:after="0" w:line="159" w:lineRule="exact"/>
        <w:rPr>
          <w:rFonts w:ascii="Arial" w:cs="Arial" w:eastAsia="Arial" w:hAnsi="Arial"/>
          <w:sz w:val="22"/>
          <w:szCs w:val="22"/>
          <w:color w:val="auto"/>
        </w:rPr>
      </w:pPr>
    </w:p>
    <w:p>
      <w:pPr>
        <w:jc w:val="both"/>
        <w:ind w:firstLine="1304"/>
        <w:spacing w:after="0" w:line="226" w:lineRule="auto"/>
        <w:tabs>
          <w:tab w:leader="none" w:pos="1872" w:val="left"/>
        </w:tabs>
        <w:numPr>
          <w:ilvl w:val="1"/>
          <w:numId w:val="58"/>
        </w:numPr>
        <w:rPr>
          <w:rFonts w:ascii="Arial" w:cs="Arial" w:eastAsia="Arial" w:hAnsi="Arial"/>
          <w:sz w:val="21"/>
          <w:szCs w:val="21"/>
          <w:color w:val="010000"/>
        </w:rPr>
      </w:pPr>
      <w:r>
        <w:rPr>
          <w:rFonts w:ascii="Arial" w:cs="Arial" w:eastAsia="Arial" w:hAnsi="Arial"/>
          <w:sz w:val="21"/>
          <w:szCs w:val="21"/>
          <w:u w:val="single" w:color="auto"/>
          <w:color w:val="auto"/>
        </w:rPr>
        <w:t>Pro-rated Target Annual Bonus</w:t>
      </w:r>
      <w:r>
        <w:rPr>
          <w:rFonts w:ascii="Arial" w:cs="Arial" w:eastAsia="Arial" w:hAnsi="Arial"/>
          <w:sz w:val="21"/>
          <w:szCs w:val="21"/>
          <w:color w:val="auto"/>
        </w:rPr>
        <w:t>. To the extent not paid or payable under the terms of the Diamondback Energy, Inc. Executive Annual Incentive Compensation Plan, or any successor thereto, Employer will pay to the Participant a lump sum amount in cash equal to the Participant’s target annual bonus for the year that includes the Termination Date pro-rated to reflect the number of days that the Participant was employed by an Employer or an Affiliate during such calendar year. Such pro-rated target annual bonus amount will be payable on the Payment Date;</w:t>
      </w:r>
    </w:p>
    <w:p>
      <w:pPr>
        <w:spacing w:after="0" w:line="159" w:lineRule="exact"/>
        <w:rPr>
          <w:rFonts w:ascii="Arial" w:cs="Arial" w:eastAsia="Arial" w:hAnsi="Arial"/>
          <w:sz w:val="21"/>
          <w:szCs w:val="21"/>
          <w:color w:val="010000"/>
        </w:rPr>
      </w:pPr>
    </w:p>
    <w:p>
      <w:pPr>
        <w:jc w:val="both"/>
        <w:ind w:firstLine="1304"/>
        <w:spacing w:after="0" w:line="212" w:lineRule="auto"/>
        <w:tabs>
          <w:tab w:leader="none" w:pos="1819" w:val="left"/>
        </w:tabs>
        <w:numPr>
          <w:ilvl w:val="1"/>
          <w:numId w:val="58"/>
        </w:numPr>
        <w:rPr>
          <w:rFonts w:ascii="Arial" w:cs="Arial" w:eastAsia="Arial" w:hAnsi="Arial"/>
          <w:sz w:val="22"/>
          <w:szCs w:val="22"/>
          <w:color w:val="010000"/>
        </w:rPr>
      </w:pPr>
      <w:r>
        <w:rPr>
          <w:rFonts w:ascii="Arial" w:cs="Arial" w:eastAsia="Arial" w:hAnsi="Arial"/>
          <w:sz w:val="22"/>
          <w:szCs w:val="22"/>
          <w:u w:val="single" w:color="auto"/>
          <w:color w:val="auto"/>
        </w:rPr>
        <w:t>Group Health Plan Premiums</w:t>
      </w:r>
      <w:r>
        <w:rPr>
          <w:rFonts w:ascii="Arial" w:cs="Arial" w:eastAsia="Arial" w:hAnsi="Arial"/>
          <w:sz w:val="22"/>
          <w:szCs w:val="22"/>
          <w:color w:val="auto"/>
        </w:rPr>
        <w:t>. Provided that the Participant timely and properly elects and continues to be eligible for group health plan continuation coverage under COBRA for himself and/or his eligible dependents under an adopting Employer’s or an Affiliate’s group health plans, the Employer will reimburse the Participant on a monthly basis for the premium cost of such COBRA continuation coverage during the Continuation Period. Subject to the Participant submitting adequate substantiation of payment of the applicable COBRA premiums, the reimbursements will commence on the Payment Date and continue on a monthly basis for the remainder of the Continuation Period, but not more than 18 months following the commencement thereof;</w:t>
      </w:r>
    </w:p>
    <w:p>
      <w:pPr>
        <w:spacing w:after="0" w:line="163" w:lineRule="exact"/>
        <w:rPr>
          <w:rFonts w:ascii="Arial" w:cs="Arial" w:eastAsia="Arial" w:hAnsi="Arial"/>
          <w:sz w:val="22"/>
          <w:szCs w:val="22"/>
          <w:color w:val="010000"/>
        </w:rPr>
      </w:pPr>
    </w:p>
    <w:p>
      <w:pPr>
        <w:jc w:val="both"/>
        <w:ind w:firstLine="1304"/>
        <w:spacing w:after="0" w:line="257" w:lineRule="auto"/>
        <w:tabs>
          <w:tab w:leader="none" w:pos="1836" w:val="left"/>
        </w:tabs>
        <w:numPr>
          <w:ilvl w:val="1"/>
          <w:numId w:val="58"/>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Except as otherwise set forth in a Participation Agreement between the Company and a Participant, each outstanding unvested equity-based compensation award granted by the Company or an Affiliate that is held by or for the Participant will be forfeited or vested, as applicable, in accordance with the applicable equity award agreement. Any vested awards will be settled, based on the vesting, forfeiture and settlement terms of the applicable equity award agreements.</w:t>
      </w:r>
    </w:p>
    <w:p>
      <w:pPr>
        <w:spacing w:after="0" w:line="13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010000"/>
        </w:rPr>
        <w:t xml:space="preserve">Section 2.2 </w:t>
      </w:r>
      <w:r>
        <w:rPr>
          <w:rFonts w:ascii="Arial" w:cs="Arial" w:eastAsia="Arial" w:hAnsi="Arial"/>
          <w:sz w:val="22"/>
          <w:szCs w:val="22"/>
          <w:b w:val="1"/>
          <w:bCs w:val="1"/>
          <w:color w:val="000000"/>
        </w:rPr>
        <w:t>Severance Benefits upon an Eligible Termination (Related to a Change in Control)</w:t>
      </w:r>
      <w:r>
        <w:rPr>
          <w:rFonts w:ascii="Arial" w:cs="Arial" w:eastAsia="Arial" w:hAnsi="Arial"/>
          <w:sz w:val="22"/>
          <w:szCs w:val="22"/>
          <w:color w:val="000000"/>
        </w:rPr>
        <w:t>. Subject to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further provisions of this Article 2, upon a Participant’s Eligible Termination (other than on account of death or Disability) that occurs within the Protection Period, the Participant will receive all of the payments and benefits described in Section 2.1 above, except that the following substitution and modification will be made:</w:t>
      </w:r>
    </w:p>
    <w:p>
      <w:pPr>
        <w:spacing w:after="0" w:line="158" w:lineRule="exact"/>
        <w:rPr>
          <w:sz w:val="20"/>
          <w:szCs w:val="20"/>
          <w:color w:val="auto"/>
        </w:rPr>
      </w:pPr>
    </w:p>
    <w:p>
      <w:pPr>
        <w:ind w:firstLine="1304"/>
        <w:spacing w:after="0" w:line="232" w:lineRule="auto"/>
        <w:tabs>
          <w:tab w:leader="none" w:pos="1792"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auto"/>
        </w:rPr>
        <w:t>Lump Sum Compensation Payment</w:t>
      </w:r>
      <w:r>
        <w:rPr>
          <w:rFonts w:ascii="Arial" w:cs="Arial" w:eastAsia="Arial" w:hAnsi="Arial"/>
          <w:sz w:val="22"/>
          <w:szCs w:val="22"/>
          <w:color w:val="auto"/>
        </w:rPr>
        <w:t>. In lieu of any Base Salary Continuation payment under Section 2.1(c), the Employer will pay to the Participant an amount in cash equal to the product of:</w:t>
      </w:r>
    </w:p>
    <w:p>
      <w:pPr>
        <w:spacing w:after="0" w:line="158" w:lineRule="exact"/>
        <w:rPr>
          <w:rFonts w:ascii="Arial" w:cs="Arial" w:eastAsia="Arial" w:hAnsi="Arial"/>
          <w:sz w:val="22"/>
          <w:szCs w:val="22"/>
          <w:color w:val="010000"/>
        </w:rPr>
      </w:pPr>
    </w:p>
    <w:p>
      <w:pPr>
        <w:jc w:val="both"/>
        <w:ind w:left="660" w:firstLine="1292"/>
        <w:spacing w:after="0" w:line="223" w:lineRule="auto"/>
        <w:tabs>
          <w:tab w:leader="none" w:pos="2430" w:val="left"/>
        </w:tabs>
        <w:numPr>
          <w:ilvl w:val="1"/>
          <w:numId w:val="59"/>
        </w:numPr>
        <w:rPr>
          <w:rFonts w:ascii="Arial" w:cs="Arial" w:eastAsia="Arial" w:hAnsi="Arial"/>
          <w:sz w:val="22"/>
          <w:szCs w:val="22"/>
          <w:color w:val="010000"/>
        </w:rPr>
      </w:pPr>
      <w:r>
        <w:rPr>
          <w:rFonts w:ascii="Arial" w:cs="Arial" w:eastAsia="Arial" w:hAnsi="Arial"/>
          <w:sz w:val="22"/>
          <w:szCs w:val="22"/>
          <w:color w:val="auto"/>
        </w:rPr>
        <w:t>the sum of (A) the Participant’s annualized base salary as in effect immediately prior to the Eligible Termination (or immediately prior to any event constituting Good Reason, if applicable), plus (B) the Average Annual Bonus amount in effect immediately preceding the Termination Date; multiplied by</w:t>
      </w:r>
    </w:p>
    <w:p>
      <w:pPr>
        <w:spacing w:after="0" w:line="158" w:lineRule="exact"/>
        <w:rPr>
          <w:rFonts w:ascii="Arial" w:cs="Arial" w:eastAsia="Arial" w:hAnsi="Arial"/>
          <w:sz w:val="22"/>
          <w:szCs w:val="22"/>
          <w:color w:val="010000"/>
        </w:rPr>
      </w:pPr>
    </w:p>
    <w:p>
      <w:pPr>
        <w:ind w:left="2440" w:hanging="488"/>
        <w:spacing w:after="0"/>
        <w:tabs>
          <w:tab w:leader="none" w:pos="2440" w:val="left"/>
        </w:tabs>
        <w:numPr>
          <w:ilvl w:val="1"/>
          <w:numId w:val="59"/>
        </w:numPr>
        <w:rPr>
          <w:rFonts w:ascii="Arial" w:cs="Arial" w:eastAsia="Arial" w:hAnsi="Arial"/>
          <w:sz w:val="22"/>
          <w:szCs w:val="22"/>
          <w:color w:val="010000"/>
        </w:rPr>
      </w:pPr>
      <w:r>
        <w:rPr>
          <w:rFonts w:ascii="Arial" w:cs="Arial" w:eastAsia="Arial" w:hAnsi="Arial"/>
          <w:sz w:val="22"/>
          <w:szCs w:val="22"/>
          <w:color w:val="auto"/>
        </w:rPr>
        <w:t>the Applicable Factor specified in Schedule B that applies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57" w:right="339" w:bottom="1440" w:gutter="0" w:footer="0" w:header="0"/>
        </w:sectPr>
      </w:pPr>
    </w:p>
    <w:bookmarkStart w:id="152" w:name="page153"/>
    <w:bookmarkEnd w:id="152"/>
    <w:p>
      <w:pPr>
        <w:ind w:firstLine="1304"/>
        <w:spacing w:after="0" w:line="232" w:lineRule="auto"/>
        <w:tabs>
          <w:tab w:leader="none" w:pos="1777" w:val="left"/>
        </w:tabs>
        <w:numPr>
          <w:ilvl w:val="0"/>
          <w:numId w:val="60"/>
        </w:numPr>
        <w:rPr>
          <w:rFonts w:ascii="Arial" w:cs="Arial" w:eastAsia="Arial" w:hAnsi="Arial"/>
          <w:sz w:val="22"/>
          <w:szCs w:val="22"/>
          <w:color w:val="010000"/>
        </w:rPr>
      </w:pPr>
      <w:r>
        <w:rPr>
          <w:rFonts w:ascii="Arial" w:cs="Arial" w:eastAsia="Arial" w:hAnsi="Arial"/>
          <w:sz w:val="22"/>
          <w:szCs w:val="22"/>
          <w:u w:val="single" w:color="auto"/>
          <w:color w:val="auto"/>
        </w:rPr>
        <w:t>Payment Timing</w:t>
      </w:r>
      <w:r>
        <w:rPr>
          <w:rFonts w:ascii="Arial" w:cs="Arial" w:eastAsia="Arial" w:hAnsi="Arial"/>
          <w:sz w:val="22"/>
          <w:szCs w:val="22"/>
          <w:color w:val="auto"/>
        </w:rPr>
        <w:t>. The lump sum compensation payment amount determined in Section 2.2(a) will be paid in a single lump sum on the Payment Date.</w:t>
      </w:r>
    </w:p>
    <w:p>
      <w:pPr>
        <w:spacing w:after="0" w:line="15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010000"/>
        </w:rPr>
        <w:t xml:space="preserve">Section 2.3 </w:t>
      </w:r>
      <w:r>
        <w:rPr>
          <w:rFonts w:ascii="Arial" w:cs="Arial" w:eastAsia="Arial" w:hAnsi="Arial"/>
          <w:sz w:val="22"/>
          <w:szCs w:val="22"/>
          <w:b w:val="1"/>
          <w:bCs w:val="1"/>
          <w:color w:val="000000"/>
        </w:rPr>
        <w:t>Payments upon a Termination of Employment Due to Death or Disability</w:t>
      </w:r>
      <w:r>
        <w:rPr>
          <w:rFonts w:ascii="Arial" w:cs="Arial" w:eastAsia="Arial" w:hAnsi="Arial"/>
          <w:sz w:val="22"/>
          <w:szCs w:val="22"/>
          <w:color w:val="000000"/>
        </w:rPr>
        <w:t>. Subject to the further</w:t>
      </w:r>
      <w:r>
        <w:rPr>
          <w:rFonts w:ascii="Arial" w:cs="Arial" w:eastAsia="Arial" w:hAnsi="Arial"/>
          <w:sz w:val="22"/>
          <w:szCs w:val="22"/>
          <w:b w:val="1"/>
          <w:bCs w:val="1"/>
          <w:color w:val="010000"/>
        </w:rPr>
        <w:t xml:space="preserve"> </w:t>
      </w:r>
      <w:r>
        <w:rPr>
          <w:rFonts w:ascii="Arial" w:cs="Arial" w:eastAsia="Arial" w:hAnsi="Arial"/>
          <w:sz w:val="22"/>
          <w:szCs w:val="22"/>
          <w:color w:val="000000"/>
        </w:rPr>
        <w:t>provisions of this Article 2, upon a Participant’s Eligible Termination due to death or Disability:</w:t>
      </w:r>
    </w:p>
    <w:p>
      <w:pPr>
        <w:spacing w:after="0" w:line="159" w:lineRule="exact"/>
        <w:rPr>
          <w:sz w:val="20"/>
          <w:szCs w:val="20"/>
          <w:color w:val="auto"/>
        </w:rPr>
      </w:pPr>
    </w:p>
    <w:p>
      <w:pPr>
        <w:ind w:firstLine="1304"/>
        <w:spacing w:after="0" w:line="232" w:lineRule="auto"/>
        <w:tabs>
          <w:tab w:leader="none" w:pos="1995"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The Employer will pay or provide to the Participant or his or her Personal representative or estate, the Participant’s Accrued Obligations.</w:t>
      </w:r>
    </w:p>
    <w:p>
      <w:pPr>
        <w:spacing w:after="0" w:line="158" w:lineRule="exact"/>
        <w:rPr>
          <w:rFonts w:ascii="Arial" w:cs="Arial" w:eastAsia="Arial" w:hAnsi="Arial"/>
          <w:sz w:val="22"/>
          <w:szCs w:val="22"/>
          <w:color w:val="010000"/>
        </w:rPr>
      </w:pPr>
    </w:p>
    <w:p>
      <w:pPr>
        <w:jc w:val="both"/>
        <w:ind w:firstLine="1304"/>
        <w:spacing w:after="0" w:line="212" w:lineRule="auto"/>
        <w:tabs>
          <w:tab w:leader="none" w:pos="1791"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Prior Year Unpaid Bonus Payment Amount</w:t>
      </w:r>
      <w:r>
        <w:rPr>
          <w:rFonts w:ascii="Arial" w:cs="Arial" w:eastAsia="Arial" w:hAnsi="Arial"/>
          <w:sz w:val="22"/>
          <w:szCs w:val="22"/>
          <w:color w:val="auto"/>
        </w:rPr>
        <w:t>. The Employer will pay to the Participant or his or her Personal representative or estate an amount, if any, equal to the bonus that would be payable for services attributable to a completed prior year performance period that, as of the Termination Date, has not been paid under the terms of the Diamondback Energy, Inc. Executive Annual Incentive Compensation Plan, or any successor thereto. The prior year bonus payment amount will be paid after, and only to the extent, it is certified by the Compensation Committee of the Board, and will be paid at the same time bonuses to similarly situated executives are paid, as if the terminated Participant continued to be employed on the certification and bonus payment dates;</w:t>
      </w:r>
    </w:p>
    <w:p>
      <w:pPr>
        <w:spacing w:after="0" w:line="163" w:lineRule="exact"/>
        <w:rPr>
          <w:rFonts w:ascii="Arial" w:cs="Arial" w:eastAsia="Arial" w:hAnsi="Arial"/>
          <w:sz w:val="22"/>
          <w:szCs w:val="22"/>
          <w:color w:val="010000"/>
        </w:rPr>
      </w:pPr>
    </w:p>
    <w:p>
      <w:pPr>
        <w:jc w:val="both"/>
        <w:ind w:firstLine="1304"/>
        <w:spacing w:after="0" w:line="212" w:lineRule="auto"/>
        <w:tabs>
          <w:tab w:leader="none" w:pos="1792"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Base Salary Continuation</w:t>
      </w:r>
      <w:r>
        <w:rPr>
          <w:rFonts w:ascii="Arial" w:cs="Arial" w:eastAsia="Arial" w:hAnsi="Arial"/>
          <w:sz w:val="22"/>
          <w:szCs w:val="22"/>
          <w:color w:val="auto"/>
        </w:rPr>
        <w:t>. For each month during the period following the Termination Date that applies to the Participant as specified in Schedule A, the Employer will continue to pay to the Participant or his or her Personal representative or estate an amount equal to the product of (i) his or her monthly base salary, as in effect immediately prior to the Eligible Termination (or immediately prior to any event constituting Good Reason, if applicable), multiplied by (ii) the multiple specified in Schedule A that is applicable to such Participant. The Base Salary Continuation amount will be payable in substantially equal periodic installments commencing on the Payment Date in accordance with the normal payroll practices of the Employer;</w:t>
      </w:r>
    </w:p>
    <w:p>
      <w:pPr>
        <w:spacing w:after="0" w:line="163" w:lineRule="exact"/>
        <w:rPr>
          <w:rFonts w:ascii="Arial" w:cs="Arial" w:eastAsia="Arial" w:hAnsi="Arial"/>
          <w:sz w:val="22"/>
          <w:szCs w:val="22"/>
          <w:color w:val="010000"/>
        </w:rPr>
      </w:pPr>
    </w:p>
    <w:p>
      <w:pPr>
        <w:jc w:val="both"/>
        <w:ind w:firstLine="1304"/>
        <w:spacing w:after="0" w:line="252" w:lineRule="auto"/>
        <w:tabs>
          <w:tab w:leader="none" w:pos="1872" w:val="left"/>
        </w:tabs>
        <w:numPr>
          <w:ilvl w:val="0"/>
          <w:numId w:val="61"/>
        </w:numPr>
        <w:rPr>
          <w:rFonts w:ascii="Arial" w:cs="Arial" w:eastAsia="Arial" w:hAnsi="Arial"/>
          <w:sz w:val="19"/>
          <w:szCs w:val="19"/>
          <w:color w:val="010000"/>
        </w:rPr>
      </w:pPr>
      <w:r>
        <w:rPr>
          <w:rFonts w:ascii="Arial" w:cs="Arial" w:eastAsia="Arial" w:hAnsi="Arial"/>
          <w:sz w:val="19"/>
          <w:szCs w:val="19"/>
          <w:u w:val="single" w:color="auto"/>
          <w:color w:val="auto"/>
        </w:rPr>
        <w:t>Pro-rated Target Annual Bonus</w:t>
      </w:r>
      <w:r>
        <w:rPr>
          <w:rFonts w:ascii="Arial" w:cs="Arial" w:eastAsia="Arial" w:hAnsi="Arial"/>
          <w:sz w:val="19"/>
          <w:szCs w:val="19"/>
          <w:color w:val="auto"/>
        </w:rPr>
        <w:t>. To the extent not paid or payable under the terms of the Diamondback Energy, Inc. Executive Annual Incentive Compensation Plan, or any successor thereto, Employer will pay to the Participant or his or her Personal representative or estate a lump sum amount in cash equal to the Participant’s target annual bonus for the year that includes the Termination Date pro-rated to reflect the number of days that the Participant was employed by an Employer or an Affiliate during such calendar year. Such pro-rated target annual bonus amount will be payable on the Payment Date;</w:t>
      </w:r>
    </w:p>
    <w:p>
      <w:pPr>
        <w:spacing w:after="0" w:line="148" w:lineRule="exact"/>
        <w:rPr>
          <w:rFonts w:ascii="Arial" w:cs="Arial" w:eastAsia="Arial" w:hAnsi="Arial"/>
          <w:sz w:val="19"/>
          <w:szCs w:val="19"/>
          <w:color w:val="010000"/>
        </w:rPr>
      </w:pPr>
    </w:p>
    <w:p>
      <w:pPr>
        <w:jc w:val="both"/>
        <w:ind w:firstLine="1304"/>
        <w:spacing w:after="0" w:line="216" w:lineRule="auto"/>
        <w:tabs>
          <w:tab w:leader="none" w:pos="1860"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Except as otherwise set forth in a Participation Agreement between the Company and a Participant, each outstanding unvested equity-based compensation award granted by the Company or an Affiliate that is held by or for the Participant will be forfeited or vested, as applicable, in accordance with the terms of the applicable equity award agreements. Any vested awards will be settled, based on the vesting, forfeiture and settlement terms of the applicable equity award agreements.</w:t>
      </w:r>
    </w:p>
    <w:p>
      <w:pPr>
        <w:spacing w:after="0" w:line="15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2.4</w:t>
      </w:r>
      <w:r>
        <w:rPr>
          <w:sz w:val="20"/>
          <w:szCs w:val="20"/>
          <w:color w:val="auto"/>
        </w:rPr>
        <w:tab/>
      </w:r>
      <w:r>
        <w:rPr>
          <w:rFonts w:ascii="Arial" w:cs="Arial" w:eastAsia="Arial" w:hAnsi="Arial"/>
          <w:sz w:val="19"/>
          <w:szCs w:val="19"/>
          <w:b w:val="1"/>
          <w:bCs w:val="1"/>
          <w:color w:val="auto"/>
        </w:rPr>
        <w:t>Release and Full Settlement; Payment Delay; Repayment Obligations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16" w:lineRule="auto"/>
        <w:tabs>
          <w:tab w:leader="none" w:pos="1779" w:val="left"/>
        </w:tabs>
        <w:numPr>
          <w:ilvl w:val="0"/>
          <w:numId w:val="62"/>
        </w:numPr>
        <w:rPr>
          <w:rFonts w:ascii="Arial" w:cs="Arial" w:eastAsia="Arial" w:hAnsi="Arial"/>
          <w:sz w:val="22"/>
          <w:szCs w:val="22"/>
          <w:color w:val="010000"/>
        </w:rPr>
      </w:pPr>
      <w:r>
        <w:rPr>
          <w:rFonts w:ascii="Arial" w:cs="Arial" w:eastAsia="Arial" w:hAnsi="Arial"/>
          <w:sz w:val="22"/>
          <w:szCs w:val="22"/>
          <w:u w:val="single" w:color="auto"/>
          <w:color w:val="auto"/>
        </w:rPr>
        <w:t>Release and Full Settlement</w:t>
      </w:r>
      <w:r>
        <w:rPr>
          <w:rFonts w:ascii="Arial" w:cs="Arial" w:eastAsia="Arial" w:hAnsi="Arial"/>
          <w:sz w:val="22"/>
          <w:szCs w:val="22"/>
          <w:color w:val="auto"/>
        </w:rPr>
        <w:t>. Any provision of this Plan to the contrary notwithstanding, the payment of any amounts or provision of any benefits under Section 2.1, Section 2.2, Section 2.3 or Section 3.2 will be subject to the Participant’s (or, if applicable, his Personal representative or estate’s) execution, within forty five (45) days following receipt (or such shorter period as set forth in such release), of a waiver and general release of claims in the form provided by the Administrator, and such waiver and general release of claims becoming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58" w:right="3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effective and irrevocable in accordance with its terms within sixty (60) days following the Termination Date.</w:t>
      </w:r>
    </w:p>
    <w:p>
      <w:pPr>
        <w:spacing w:after="0" w:line="179" w:lineRule="exact"/>
        <w:rPr>
          <w:sz w:val="20"/>
          <w:szCs w:val="20"/>
          <w:color w:val="auto"/>
        </w:rPr>
      </w:pPr>
    </w:p>
    <w:p>
      <w:pPr>
        <w:jc w:val="both"/>
        <w:ind w:firstLine="1304"/>
        <w:spacing w:after="0" w:line="247" w:lineRule="auto"/>
        <w:tabs>
          <w:tab w:leader="none" w:pos="1899" w:val="left"/>
        </w:tabs>
        <w:numPr>
          <w:ilvl w:val="0"/>
          <w:numId w:val="63"/>
        </w:numPr>
        <w:rPr>
          <w:rFonts w:ascii="Arial" w:cs="Arial" w:eastAsia="Arial" w:hAnsi="Arial"/>
          <w:sz w:val="19"/>
          <w:szCs w:val="19"/>
          <w:color w:val="010000"/>
        </w:rPr>
      </w:pPr>
      <w:r>
        <w:rPr>
          <w:rFonts w:ascii="Arial" w:cs="Arial" w:eastAsia="Arial" w:hAnsi="Arial"/>
          <w:sz w:val="19"/>
          <w:szCs w:val="19"/>
          <w:u w:val="single" w:color="auto"/>
          <w:color w:val="auto"/>
        </w:rPr>
        <w:t>Payment Timing</w:t>
      </w:r>
      <w:r>
        <w:rPr>
          <w:rFonts w:ascii="Arial" w:cs="Arial" w:eastAsia="Arial" w:hAnsi="Arial"/>
          <w:sz w:val="19"/>
          <w:szCs w:val="19"/>
          <w:color w:val="auto"/>
        </w:rPr>
        <w:t>. Except as set forth in the following sentence, any payments pursuant to Section 2.1, Section 2.2, Section 2.3 or Section 3.2 that would otherwise be payable in the first sixty (60) days following the Termination Date will be withheld and any unpaid installments will become payable in a lump sum on the date that is sixty (60) days following the Termination Date. However, if the Participant is a Specified Employee, any payments hereunder that constitute a “deferral of compensation” within the meaning of Section 409A and to which the Participant would otherwise be entitled during the first six months following the Termination Date will be accumulated and paid to the Participant on the date that is six months following the Termination Date (or if earlier, to the Participant’s estate or Personal representative upon the Participant’s death).</w:t>
      </w:r>
    </w:p>
    <w:p>
      <w:pPr>
        <w:spacing w:after="0" w:line="153" w:lineRule="exact"/>
        <w:rPr>
          <w:rFonts w:ascii="Arial" w:cs="Arial" w:eastAsia="Arial" w:hAnsi="Arial"/>
          <w:sz w:val="19"/>
          <w:szCs w:val="19"/>
          <w:color w:val="010000"/>
        </w:rPr>
      </w:pPr>
    </w:p>
    <w:p>
      <w:pPr>
        <w:jc w:val="both"/>
        <w:ind w:firstLine="1304"/>
        <w:spacing w:after="0" w:line="242" w:lineRule="auto"/>
        <w:tabs>
          <w:tab w:leader="none" w:pos="1752" w:val="left"/>
        </w:tabs>
        <w:numPr>
          <w:ilvl w:val="0"/>
          <w:numId w:val="63"/>
        </w:numPr>
        <w:rPr>
          <w:rFonts w:ascii="Arial" w:cs="Arial" w:eastAsia="Arial" w:hAnsi="Arial"/>
          <w:sz w:val="19"/>
          <w:szCs w:val="19"/>
          <w:color w:val="010000"/>
        </w:rPr>
      </w:pPr>
      <w:r>
        <w:rPr>
          <w:rFonts w:ascii="Arial" w:cs="Arial" w:eastAsia="Arial" w:hAnsi="Arial"/>
          <w:sz w:val="19"/>
          <w:szCs w:val="19"/>
          <w:u w:val="single" w:color="auto"/>
          <w:color w:val="auto"/>
        </w:rPr>
        <w:t>Clawback or Forfeiture of Payments</w:t>
      </w:r>
      <w:r>
        <w:rPr>
          <w:rFonts w:ascii="Arial" w:cs="Arial" w:eastAsia="Arial" w:hAnsi="Arial"/>
          <w:sz w:val="19"/>
          <w:szCs w:val="19"/>
          <w:color w:val="auto"/>
        </w:rPr>
        <w:t>. The payment of any amounts or provision of any benefits under Section 2.1, Section 2.2, Section 2.3 or Section 3.2 hereof will be subject to the Participant’s continued compliance with his or her Restrictive Covenant obligations under Article 3, and, in the event of any breach of such obligations by the Participant, the Participant agrees to promptly repay the Employer the gross amount or value of any payments or benefits provided under this Article 2. Notwithstanding any provision in this Plan or any Participation Agreement to the contrary, if Participant breaches the Restrictive Covenant Provisions of Article 3, or if required by any policy of the Company, the Employer or an Affiliate, by the Dodd-Frank Wall Street Reform and Consumer Protection Act or the Sarbanes–Oxley Act of 2002 or by other applicable law in effect as of the time that any benefit payment is paid hereunder, each Participant’s benefits under this Plan shall be conditioned on repayment or forfeiture in accordance with such applicable laws, policy, or any relevant provision of the related Participation Agreement. By entering into a Participation Agreement and becoming a Participant under this Plan, a Participant will have consented to any such clawback, repayment or forfeiture condition, regardless of whether or not such condition is expressly stated in the Participation Agreement.</w:t>
      </w:r>
    </w:p>
    <w:p>
      <w:pPr>
        <w:spacing w:after="0" w:line="3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010000"/>
        </w:rPr>
        <w:t xml:space="preserve">Section 2.5 </w:t>
      </w:r>
      <w:r>
        <w:rPr>
          <w:rFonts w:ascii="Arial" w:cs="Arial" w:eastAsia="Arial" w:hAnsi="Arial"/>
          <w:sz w:val="19"/>
          <w:szCs w:val="19"/>
          <w:b w:val="1"/>
          <w:bCs w:val="1"/>
          <w:color w:val="000000"/>
        </w:rPr>
        <w:t>Parachute Payments</w:t>
      </w:r>
      <w:r>
        <w:rPr>
          <w:rFonts w:ascii="Arial" w:cs="Arial" w:eastAsia="Arial" w:hAnsi="Arial"/>
          <w:sz w:val="19"/>
          <w:szCs w:val="19"/>
          <w:color w:val="000000"/>
        </w:rPr>
        <w:t>. Notwithstanding any other provisions of this Plan, in the event that any payment or</w:t>
      </w:r>
      <w:r>
        <w:rPr>
          <w:rFonts w:ascii="Arial" w:cs="Arial" w:eastAsia="Arial" w:hAnsi="Arial"/>
          <w:sz w:val="19"/>
          <w:szCs w:val="19"/>
          <w:b w:val="1"/>
          <w:bCs w:val="1"/>
          <w:color w:val="010000"/>
        </w:rPr>
        <w:t xml:space="preserve"> </w:t>
      </w:r>
      <w:r>
        <w:rPr>
          <w:rFonts w:ascii="Arial" w:cs="Arial" w:eastAsia="Arial" w:hAnsi="Arial"/>
          <w:sz w:val="19"/>
          <w:szCs w:val="19"/>
          <w:color w:val="000000"/>
        </w:rPr>
        <w:t>benefit received or to be received by a Participant (including any payment or benefit received in connection with a Change in Control or the termination of a Participant’s employment during the Protected Period, whether pursuant to the terms of this Plan or any other plan, arrangement or agreement) (all such payments and benefits, including the payments and benefits under this Plan, being hereinafter referred to as the “</w:t>
      </w:r>
      <w:r>
        <w:rPr>
          <w:rFonts w:ascii="Arial" w:cs="Arial" w:eastAsia="Arial" w:hAnsi="Arial"/>
          <w:sz w:val="19"/>
          <w:szCs w:val="19"/>
          <w:b w:val="1"/>
          <w:bCs w:val="1"/>
          <w:color w:val="000000"/>
        </w:rPr>
        <w:t>Total Payments</w:t>
      </w:r>
      <w:r>
        <w:rPr>
          <w:rFonts w:ascii="Arial" w:cs="Arial" w:eastAsia="Arial" w:hAnsi="Arial"/>
          <w:sz w:val="19"/>
          <w:szCs w:val="19"/>
          <w:color w:val="000000"/>
        </w:rPr>
        <w:t>”) would be subject (in whole or part), to the excise tax imposed under Section 4999 of the Code (the “</w:t>
      </w:r>
      <w:r>
        <w:rPr>
          <w:rFonts w:ascii="Arial" w:cs="Arial" w:eastAsia="Arial" w:hAnsi="Arial"/>
          <w:sz w:val="19"/>
          <w:szCs w:val="19"/>
          <w:b w:val="1"/>
          <w:bCs w:val="1"/>
          <w:color w:val="000000"/>
        </w:rPr>
        <w:t>Excise Tax</w:t>
      </w:r>
      <w:r>
        <w:rPr>
          <w:rFonts w:ascii="Arial" w:cs="Arial" w:eastAsia="Arial" w:hAnsi="Arial"/>
          <w:sz w:val="19"/>
          <w:szCs w:val="19"/>
          <w:color w:val="000000"/>
        </w:rPr>
        <w:t>”), then, after taking into account any reduction in the Total Payments provided by reason of Section 280G of the Code in such other plan, arrangement or agreement, the Total Payments shall be reduced, in the order set forth below, to the extent necessary so that no portion of the Total Payments is subject to the Excise Tax, but only if (x)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(y)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spacing w:after="0" w:line="162" w:lineRule="exact"/>
        <w:rPr>
          <w:sz w:val="20"/>
          <w:szCs w:val="20"/>
          <w:color w:val="auto"/>
        </w:rPr>
      </w:pPr>
    </w:p>
    <w:p>
      <w:pPr>
        <w:jc w:val="both"/>
        <w:ind w:firstLine="1304"/>
        <w:spacing w:after="0" w:line="229" w:lineRule="auto"/>
        <w:tabs>
          <w:tab w:leader="none" w:pos="1873" w:val="left"/>
        </w:tabs>
        <w:numPr>
          <w:ilvl w:val="0"/>
          <w:numId w:val="64"/>
        </w:numPr>
        <w:rPr>
          <w:rFonts w:ascii="Arial" w:cs="Arial" w:eastAsia="Arial" w:hAnsi="Arial"/>
          <w:sz w:val="21"/>
          <w:szCs w:val="21"/>
          <w:color w:val="010000"/>
        </w:rPr>
      </w:pPr>
      <w:r>
        <w:rPr>
          <w:rFonts w:ascii="Arial" w:cs="Arial" w:eastAsia="Arial" w:hAnsi="Arial"/>
          <w:sz w:val="21"/>
          <w:szCs w:val="21"/>
          <w:u w:val="single" w:color="auto"/>
          <w:color w:val="auto"/>
        </w:rPr>
        <w:t>Total Payments Reduction</w:t>
      </w:r>
      <w:r>
        <w:rPr>
          <w:rFonts w:ascii="Arial" w:cs="Arial" w:eastAsia="Arial" w:hAnsi="Arial"/>
          <w:sz w:val="21"/>
          <w:szCs w:val="21"/>
          <w:color w:val="auto"/>
        </w:rPr>
        <w:t>. The Total Payments shall be reduced by the Administrator in its reasonable discretion in the following order: (A) reduction of any cash severance payments otherwise payable that are exempt from Section 409A of the Code; (B) reduction of any other cash payments or benefits otherwise payable that are exempt from Section 409A of the Code, but excluding any payments attributable to the acceleration of vesting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158" w:right="339" w:bottom="1440" w:gutter="0" w:footer="0" w:header="0"/>
        </w:sectPr>
      </w:pPr>
    </w:p>
    <w:bookmarkStart w:id="154" w:name="page155"/>
    <w:bookmarkEnd w:id="154"/>
    <w:p>
      <w:pPr>
        <w:jc w:val="both"/>
        <w:spacing w:after="0" w:line="243" w:lineRule="auto"/>
        <w:rPr>
          <w:sz w:val="20"/>
          <w:szCs w:val="20"/>
          <w:color w:val="auto"/>
        </w:rPr>
      </w:pPr>
      <w:r>
        <w:rPr>
          <w:rFonts w:ascii="Arial" w:cs="Arial" w:eastAsia="Arial" w:hAnsi="Arial"/>
          <w:sz w:val="19"/>
          <w:szCs w:val="19"/>
          <w:color w:val="auto"/>
        </w:rPr>
        <w:t>payments with respect to any stock option or other equity award with respect to Company’s or an Affiliate’s common stock or other form of equity award that are exempt from Section 409A of the Code; (C) reduction of any other payments or benefits otherwise payable to you on a pro-rata basis or such other manner that complies with Section 409A of the Code, but excluding any payments attributable to the acceleration of vesting and payments with respect to any stock option or other equity award with respect to Company’s or an Affiliate’s common stock or other form of equity award that are exempt from Section 409A of the Code; and (D) reduction of any payments attributable to the acceleration of vesting or payments with respect to any stock option or other equity award with respect to Company’s or an Affiliate’s common stock or other equity interest that are exempt from Section 409A of the Code; provided, however, that no reduction of a payment or benefit of nonqualified deferred compensation that is subject to Section 409A of the Code shall be made to the extent that such reduction would result in any other payment or benefit being deemed a substitute (within the meaning of Section 1.409A-3(f) of the Treasury Regulations) for the forfeited amount by reason of such other payment or benefit having a different time or form of payment.</w:t>
      </w:r>
    </w:p>
    <w:p>
      <w:pPr>
        <w:spacing w:after="0" w:line="159" w:lineRule="exact"/>
        <w:rPr>
          <w:sz w:val="20"/>
          <w:szCs w:val="20"/>
          <w:color w:val="auto"/>
        </w:rPr>
      </w:pPr>
    </w:p>
    <w:p>
      <w:pPr>
        <w:jc w:val="both"/>
        <w:ind w:firstLine="1304"/>
        <w:spacing w:after="0" w:line="239" w:lineRule="auto"/>
        <w:tabs>
          <w:tab w:leader="none" w:pos="1939" w:val="left"/>
        </w:tabs>
        <w:numPr>
          <w:ilvl w:val="0"/>
          <w:numId w:val="65"/>
        </w:numPr>
        <w:rPr>
          <w:rFonts w:ascii="Arial" w:cs="Arial" w:eastAsia="Arial" w:hAnsi="Arial"/>
          <w:sz w:val="19"/>
          <w:szCs w:val="19"/>
          <w:color w:val="010000"/>
        </w:rPr>
      </w:pPr>
      <w:r>
        <w:rPr>
          <w:rFonts w:ascii="Arial" w:cs="Arial" w:eastAsia="Arial" w:hAnsi="Arial"/>
          <w:sz w:val="19"/>
          <w:szCs w:val="19"/>
          <w:u w:val="single" w:color="auto"/>
          <w:color w:val="auto"/>
        </w:rPr>
        <w:t>Performance of Calculations</w:t>
      </w:r>
      <w:r>
        <w:rPr>
          <w:rFonts w:ascii="Arial" w:cs="Arial" w:eastAsia="Arial" w:hAnsi="Arial"/>
          <w:sz w:val="19"/>
          <w:szCs w:val="19"/>
          <w:color w:val="auto"/>
        </w:rPr>
        <w:t>. For purposes of determining whether and the extent to which the Total Payments will be subject to the Excise Tax, (A) no portion of the Total Payments the receipt or enjoyment of which a Participant has waived at such time and in such manner as not to constitute a “payment” within the meaning of Section 280G(b) of the Code shall be taken into account; (B) no portion of the Total Payments shall be taken into account which, in the written opinion of independent accountants of nationally recognized standing (“</w:t>
      </w:r>
      <w:r>
        <w:rPr>
          <w:rFonts w:ascii="Arial" w:cs="Arial" w:eastAsia="Arial" w:hAnsi="Arial"/>
          <w:sz w:val="19"/>
          <w:szCs w:val="19"/>
          <w:b w:val="1"/>
          <w:bCs w:val="1"/>
          <w:color w:val="auto"/>
        </w:rPr>
        <w:t>Accounting Firm</w:t>
      </w:r>
      <w:r>
        <w:rPr>
          <w:rFonts w:ascii="Arial" w:cs="Arial" w:eastAsia="Arial" w:hAnsi="Arial"/>
          <w:sz w:val="19"/>
          <w:szCs w:val="19"/>
          <w:color w:val="auto"/>
        </w:rPr>
        <w:t>”) selected by Company, does not constitute a “parachute payment” within the meaning of Section 280G(b)(2) of the Code (including by reason of Section 280G(b)(4)(A) of the Code) and, in calculating the Excise Tax, no portion of such Total Payments shall be taken into account which, in the opinion of Accounting Firm, constitutes reasonable compensation for services actually rendered, within the meaning of Section 280G(b)</w:t>
      </w:r>
    </w:p>
    <w:p>
      <w:pPr>
        <w:spacing w:after="0" w:line="5" w:lineRule="exact"/>
        <w:rPr>
          <w:rFonts w:ascii="Arial" w:cs="Arial" w:eastAsia="Arial" w:hAnsi="Arial"/>
          <w:sz w:val="19"/>
          <w:szCs w:val="19"/>
          <w:color w:val="010000"/>
        </w:rPr>
      </w:pPr>
    </w:p>
    <w:p>
      <w:pPr>
        <w:jc w:val="both"/>
        <w:spacing w:after="0" w:line="258" w:lineRule="auto"/>
        <w:rPr>
          <w:rFonts w:ascii="Arial" w:cs="Arial" w:eastAsia="Arial" w:hAnsi="Arial"/>
          <w:sz w:val="19"/>
          <w:szCs w:val="19"/>
          <w:color w:val="010000"/>
        </w:rPr>
      </w:pPr>
      <w:r>
        <w:rPr>
          <w:rFonts w:ascii="Arial" w:cs="Arial" w:eastAsia="Arial" w:hAnsi="Arial"/>
          <w:sz w:val="19"/>
          <w:szCs w:val="19"/>
          <w:color w:val="auto"/>
        </w:rPr>
        <w:t>(4)(B) of the Code, in excess of the Base Amount (as defined in Section 280G(b)(3) of the Code) allocable to such reasonable compensation; and (C) the value of any non-cash benefit or any deferred payment or benefit included in the Total Payments shall be determined by the Accounting Firm in accordance with the principles of Sections 280G(d)(3) and (4) of the Code.</w:t>
      </w:r>
    </w:p>
    <w:p>
      <w:pPr>
        <w:spacing w:after="0" w:line="141" w:lineRule="exact"/>
        <w:rPr>
          <w:rFonts w:ascii="Arial" w:cs="Arial" w:eastAsia="Arial" w:hAnsi="Arial"/>
          <w:sz w:val="19"/>
          <w:szCs w:val="19"/>
          <w:color w:val="010000"/>
        </w:rPr>
      </w:pPr>
    </w:p>
    <w:p>
      <w:pPr>
        <w:jc w:val="both"/>
        <w:ind w:firstLine="1304"/>
        <w:spacing w:after="0" w:line="252" w:lineRule="auto"/>
        <w:tabs>
          <w:tab w:leader="none" w:pos="1887" w:val="left"/>
        </w:tabs>
        <w:numPr>
          <w:ilvl w:val="0"/>
          <w:numId w:val="65"/>
        </w:numPr>
        <w:rPr>
          <w:rFonts w:ascii="Arial" w:cs="Arial" w:eastAsia="Arial" w:hAnsi="Arial"/>
          <w:sz w:val="19"/>
          <w:szCs w:val="19"/>
          <w:color w:val="010000"/>
        </w:rPr>
      </w:pPr>
      <w:r>
        <w:rPr>
          <w:rFonts w:ascii="Arial" w:cs="Arial" w:eastAsia="Arial" w:hAnsi="Arial"/>
          <w:sz w:val="19"/>
          <w:szCs w:val="19"/>
          <w:u w:val="single" w:color="auto"/>
          <w:color w:val="auto"/>
        </w:rPr>
        <w:t>Cooperation</w:t>
      </w:r>
      <w:r>
        <w:rPr>
          <w:rFonts w:ascii="Arial" w:cs="Arial" w:eastAsia="Arial" w:hAnsi="Arial"/>
          <w:sz w:val="19"/>
          <w:szCs w:val="19"/>
          <w:color w:val="auto"/>
        </w:rPr>
        <w:t>. If applicable, Participant, Company and Affiliates will each provide the Accounting Firm access to and copies of any books, records and documents in their respective possession, reasonably requested by the Accounting Firm, and otherwise cooperate with the Accounting Firm in connection with the preparation and issuance of the determinations and calculations contemplated by this Section 2.5. The fees and expenses of the Accounting Firm for its services in connection with the determinations and calculations contemplated by this Section 2.5 will be borne by Company.</w:t>
      </w:r>
    </w:p>
    <w:p>
      <w:pPr>
        <w:spacing w:after="0" w:line="148" w:lineRule="exact"/>
        <w:rPr>
          <w:rFonts w:ascii="Arial" w:cs="Arial" w:eastAsia="Arial" w:hAnsi="Arial"/>
          <w:sz w:val="19"/>
          <w:szCs w:val="19"/>
          <w:color w:val="010000"/>
        </w:rPr>
      </w:pPr>
    </w:p>
    <w:p>
      <w:pPr>
        <w:ind w:firstLine="1304"/>
        <w:spacing w:after="0" w:line="232" w:lineRule="auto"/>
        <w:tabs>
          <w:tab w:leader="none" w:pos="1818" w:val="left"/>
        </w:tabs>
        <w:numPr>
          <w:ilvl w:val="0"/>
          <w:numId w:val="65"/>
        </w:numPr>
        <w:rPr>
          <w:rFonts w:ascii="Arial" w:cs="Arial" w:eastAsia="Arial" w:hAnsi="Arial"/>
          <w:sz w:val="22"/>
          <w:szCs w:val="22"/>
          <w:color w:val="010000"/>
        </w:rPr>
      </w:pPr>
      <w:r>
        <w:rPr>
          <w:rFonts w:ascii="Arial" w:cs="Arial" w:eastAsia="Arial" w:hAnsi="Arial"/>
          <w:sz w:val="22"/>
          <w:szCs w:val="22"/>
          <w:u w:val="single" w:color="auto"/>
          <w:color w:val="auto"/>
        </w:rPr>
        <w:t>No Gross-Ups</w:t>
      </w:r>
      <w:r>
        <w:rPr>
          <w:rFonts w:ascii="Arial" w:cs="Arial" w:eastAsia="Arial" w:hAnsi="Arial"/>
          <w:sz w:val="22"/>
          <w:szCs w:val="22"/>
          <w:color w:val="auto"/>
        </w:rPr>
        <w:t>. None of the Company, any Affiliate or any Employer is obligated to provide a gross-up or similar payment to any Participant who is subject to Excise Tax on the Total Payments.</w:t>
      </w:r>
    </w:p>
    <w:p>
      <w:pPr>
        <w:spacing w:after="0" w:line="153"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010000"/>
        </w:rPr>
        <w:t xml:space="preserve">Section 2.6 </w:t>
      </w:r>
      <w:r>
        <w:rPr>
          <w:rFonts w:ascii="Arial" w:cs="Arial" w:eastAsia="Arial" w:hAnsi="Arial"/>
          <w:sz w:val="22"/>
          <w:szCs w:val="22"/>
          <w:b w:val="1"/>
          <w:bCs w:val="1"/>
          <w:color w:val="000000"/>
        </w:rPr>
        <w:t>Coordination with Certain Other Agreements</w:t>
      </w:r>
      <w:r>
        <w:rPr>
          <w:rFonts w:ascii="Arial" w:cs="Arial" w:eastAsia="Arial" w:hAnsi="Arial"/>
          <w:sz w:val="22"/>
          <w:szCs w:val="22"/>
          <w:color w:val="000000"/>
        </w:rPr>
        <w:t>. The benefits under, and participation in, this Plan are</w:t>
      </w:r>
      <w:r>
        <w:rPr>
          <w:rFonts w:ascii="Arial" w:cs="Arial" w:eastAsia="Arial" w:hAnsi="Arial"/>
          <w:sz w:val="22"/>
          <w:szCs w:val="22"/>
          <w:b w:val="1"/>
          <w:bCs w:val="1"/>
          <w:color w:val="010000"/>
        </w:rPr>
        <w:t xml:space="preserve"> </w:t>
      </w:r>
      <w:r>
        <w:rPr>
          <w:rFonts w:ascii="Arial" w:cs="Arial" w:eastAsia="Arial" w:hAnsi="Arial"/>
          <w:sz w:val="22"/>
          <w:szCs w:val="22"/>
          <w:color w:val="000000"/>
        </w:rPr>
        <w:t>intended to supersede and replace the severance and separation benefits to which an Participant may be entitled under any other plan, policy, agreement or arrangement. By executing a Participation Agreement with the Company to participate in this Plan, an Eligible Senior Executive will waive any right to severance or separation benefits under any other severance or separation benefits plan, policy, agreement or arrangement of any Employer.</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010000"/>
        </w:rPr>
        <w:t xml:space="preserve">Section 2.7 </w:t>
      </w:r>
      <w:r>
        <w:rPr>
          <w:rFonts w:ascii="Arial" w:cs="Arial" w:eastAsia="Arial" w:hAnsi="Arial"/>
          <w:sz w:val="22"/>
          <w:szCs w:val="22"/>
          <w:b w:val="1"/>
          <w:bCs w:val="1"/>
          <w:color w:val="000000"/>
        </w:rPr>
        <w:t>No Mitigation</w:t>
      </w:r>
      <w:r>
        <w:rPr>
          <w:rFonts w:ascii="Arial" w:cs="Arial" w:eastAsia="Arial" w:hAnsi="Arial"/>
          <w:sz w:val="22"/>
          <w:szCs w:val="22"/>
          <w:color w:val="000000"/>
        </w:rPr>
        <w:t>. A Participant will not be required to mitigate the amount of any payment or benefit</w:t>
      </w:r>
      <w:r>
        <w:rPr>
          <w:rFonts w:ascii="Arial" w:cs="Arial" w:eastAsia="Arial" w:hAnsi="Arial"/>
          <w:sz w:val="22"/>
          <w:szCs w:val="22"/>
          <w:b w:val="1"/>
          <w:bCs w:val="1"/>
          <w:color w:val="010000"/>
        </w:rPr>
        <w:t xml:space="preserve"> </w:t>
      </w:r>
      <w:r>
        <w:rPr>
          <w:rFonts w:ascii="Arial" w:cs="Arial" w:eastAsia="Arial" w:hAnsi="Arial"/>
          <w:sz w:val="22"/>
          <w:szCs w:val="22"/>
          <w:color w:val="000000"/>
        </w:rPr>
        <w:t>provided for in this Article 2 or Section 3.2 by seeking other employment or otherwise, nor will the amount of any payment or benefit provided for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158" w:right="339" w:bottom="1440" w:gutter="0" w:footer="0" w:header="0"/>
        </w:sectPr>
      </w:pPr>
    </w:p>
    <w:bookmarkStart w:id="155" w:name="page156"/>
    <w:bookmarkEnd w:id="155"/>
    <w:p>
      <w:pPr>
        <w:spacing w:after="0" w:line="232" w:lineRule="auto"/>
        <w:rPr>
          <w:sz w:val="20"/>
          <w:szCs w:val="20"/>
          <w:color w:val="auto"/>
        </w:rPr>
      </w:pPr>
      <w:r>
        <w:rPr>
          <w:rFonts w:ascii="Arial" w:cs="Arial" w:eastAsia="Arial" w:hAnsi="Arial"/>
          <w:sz w:val="22"/>
          <w:szCs w:val="22"/>
          <w:color w:val="auto"/>
        </w:rPr>
        <w:t>Article 2 or Section 3.2 be reduced by any compensation or benefit earned by the Participant as the result of employment by another employer.</w:t>
      </w:r>
    </w:p>
    <w:p>
      <w:pPr>
        <w:spacing w:after="0" w:line="153"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b w:val="1"/>
          <w:bCs w:val="1"/>
          <w:color w:val="010000"/>
        </w:rPr>
        <w:t xml:space="preserve">Section 2.8 </w:t>
      </w:r>
      <w:r>
        <w:rPr>
          <w:rFonts w:ascii="Arial" w:cs="Arial" w:eastAsia="Arial" w:hAnsi="Arial"/>
          <w:sz w:val="22"/>
          <w:szCs w:val="22"/>
          <w:b w:val="1"/>
          <w:bCs w:val="1"/>
          <w:color w:val="000000"/>
        </w:rPr>
        <w:t>Deductions from Severance Benefits</w:t>
      </w:r>
      <w:r>
        <w:rPr>
          <w:rFonts w:ascii="Arial" w:cs="Arial" w:eastAsia="Arial" w:hAnsi="Arial"/>
          <w:sz w:val="22"/>
          <w:szCs w:val="22"/>
          <w:color w:val="000000"/>
        </w:rPr>
        <w:t>. The following items will be deducted from the benefits paid under</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Plan:</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1"/>
          <w:szCs w:val="21"/>
          <w:color w:val="010000"/>
        </w:rPr>
        <w:t>(a)</w:t>
      </w:r>
      <w:r>
        <w:rPr>
          <w:sz w:val="20"/>
          <w:szCs w:val="20"/>
          <w:color w:val="auto"/>
        </w:rPr>
        <w:tab/>
      </w:r>
      <w:r>
        <w:rPr>
          <w:rFonts w:ascii="Arial" w:cs="Arial" w:eastAsia="Arial" w:hAnsi="Arial"/>
          <w:sz w:val="21"/>
          <w:szCs w:val="21"/>
          <w:color w:val="auto"/>
        </w:rPr>
        <w:t>All Federal, State and local taxes that the Administrator determines the Plan must or may deduct or</w:t>
      </w:r>
    </w:p>
    <w:p>
      <w:pPr>
        <w:spacing w:after="0"/>
        <w:rPr>
          <w:sz w:val="20"/>
          <w:szCs w:val="20"/>
          <w:color w:val="auto"/>
        </w:rPr>
      </w:pPr>
      <w:r>
        <w:rPr>
          <w:rFonts w:ascii="Arial" w:cs="Arial" w:eastAsia="Arial" w:hAnsi="Arial"/>
          <w:sz w:val="22"/>
          <w:szCs w:val="22"/>
          <w:color w:val="auto"/>
        </w:rPr>
        <w:t>withhold;</w:t>
      </w:r>
    </w:p>
    <w:p>
      <w:pPr>
        <w:spacing w:after="0" w:line="154" w:lineRule="exact"/>
        <w:rPr>
          <w:sz w:val="20"/>
          <w:szCs w:val="20"/>
          <w:color w:val="auto"/>
        </w:rPr>
      </w:pPr>
    </w:p>
    <w:p>
      <w:pPr>
        <w:ind w:left="1900" w:hanging="596"/>
        <w:spacing w:after="0"/>
        <w:tabs>
          <w:tab w:leader="none" w:pos="1900" w:val="left"/>
        </w:tabs>
        <w:numPr>
          <w:ilvl w:val="0"/>
          <w:numId w:val="66"/>
        </w:numPr>
        <w:rPr>
          <w:rFonts w:ascii="Arial" w:cs="Arial" w:eastAsia="Arial" w:hAnsi="Arial"/>
          <w:sz w:val="21"/>
          <w:szCs w:val="21"/>
          <w:color w:val="010000"/>
        </w:rPr>
      </w:pPr>
      <w:r>
        <w:rPr>
          <w:rFonts w:ascii="Arial" w:cs="Arial" w:eastAsia="Arial" w:hAnsi="Arial"/>
          <w:sz w:val="21"/>
          <w:szCs w:val="21"/>
          <w:color w:val="auto"/>
        </w:rPr>
        <w:t>To the extent permitted by law, any amounts a Participant owes to the Company, any Affiliate or any</w:t>
      </w:r>
    </w:p>
    <w:p>
      <w:pPr>
        <w:spacing w:after="0"/>
        <w:rPr>
          <w:sz w:val="20"/>
          <w:szCs w:val="20"/>
          <w:color w:val="auto"/>
        </w:rPr>
      </w:pPr>
      <w:r>
        <w:rPr>
          <w:rFonts w:ascii="Arial" w:cs="Arial" w:eastAsia="Arial" w:hAnsi="Arial"/>
          <w:sz w:val="22"/>
          <w:szCs w:val="22"/>
          <w:color w:val="auto"/>
        </w:rPr>
        <w:t>Employer; and</w:t>
      </w:r>
    </w:p>
    <w:p>
      <w:pPr>
        <w:spacing w:after="0" w:line="161" w:lineRule="exact"/>
        <w:rPr>
          <w:sz w:val="20"/>
          <w:szCs w:val="20"/>
          <w:color w:val="auto"/>
        </w:rPr>
      </w:pPr>
    </w:p>
    <w:p>
      <w:pPr>
        <w:ind w:right="20" w:firstLine="1304"/>
        <w:spacing w:after="0" w:line="247" w:lineRule="auto"/>
        <w:tabs>
          <w:tab w:leader="none" w:pos="1765" w:val="left"/>
        </w:tabs>
        <w:numPr>
          <w:ilvl w:val="0"/>
          <w:numId w:val="67"/>
        </w:numPr>
        <w:rPr>
          <w:rFonts w:ascii="Arial" w:cs="Arial" w:eastAsia="Arial" w:hAnsi="Arial"/>
          <w:sz w:val="21"/>
          <w:szCs w:val="21"/>
          <w:color w:val="010000"/>
        </w:rPr>
      </w:pPr>
      <w:r>
        <w:rPr>
          <w:rFonts w:ascii="Arial" w:cs="Arial" w:eastAsia="Arial" w:hAnsi="Arial"/>
          <w:sz w:val="21"/>
          <w:szCs w:val="21"/>
          <w:color w:val="auto"/>
        </w:rPr>
        <w:t>Any amount of garnished earnings which are required to be withheld from the Participant’s pay, if Employer has been garnishing the Participant’s earnings pursuant to an order of garnishment, child support or tax lien.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3</w:t>
      </w:r>
    </w:p>
    <w:p>
      <w:pPr>
        <w:jc w:val="center"/>
        <w:spacing w:after="0"/>
        <w:rPr>
          <w:sz w:val="20"/>
          <w:szCs w:val="20"/>
          <w:color w:val="auto"/>
        </w:rPr>
      </w:pPr>
      <w:r>
        <w:rPr>
          <w:rFonts w:ascii="Arial" w:cs="Arial" w:eastAsia="Arial" w:hAnsi="Arial"/>
          <w:sz w:val="22"/>
          <w:szCs w:val="22"/>
          <w:b w:val="1"/>
          <w:bCs w:val="1"/>
          <w:color w:val="auto"/>
        </w:rPr>
        <w:t>RESTRICTIVE COVENANTS</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010000"/>
        </w:rPr>
        <w:t xml:space="preserve">Section 3.1 </w:t>
      </w:r>
      <w:r>
        <w:rPr>
          <w:rFonts w:ascii="Arial" w:cs="Arial" w:eastAsia="Arial" w:hAnsi="Arial"/>
          <w:sz w:val="21"/>
          <w:szCs w:val="21"/>
          <w:b w:val="1"/>
          <w:bCs w:val="1"/>
          <w:color w:val="000000"/>
        </w:rPr>
        <w:t>Non-Competition and Non-Solicitation Obligations</w:t>
      </w:r>
      <w:r>
        <w:rPr>
          <w:rFonts w:ascii="Arial" w:cs="Arial" w:eastAsia="Arial" w:hAnsi="Arial"/>
          <w:sz w:val="21"/>
          <w:szCs w:val="21"/>
          <w:color w:val="000000"/>
        </w:rPr>
        <w:t>. In consideration of the payments and benefits that</w:t>
      </w:r>
      <w:r>
        <w:rPr>
          <w:rFonts w:ascii="Arial" w:cs="Arial" w:eastAsia="Arial" w:hAnsi="Arial"/>
          <w:sz w:val="21"/>
          <w:szCs w:val="21"/>
          <w:b w:val="1"/>
          <w:bCs w:val="1"/>
          <w:color w:val="010000"/>
        </w:rPr>
        <w:t xml:space="preserve"> </w:t>
      </w:r>
      <w:r>
        <w:rPr>
          <w:rFonts w:ascii="Arial" w:cs="Arial" w:eastAsia="Arial" w:hAnsi="Arial"/>
          <w:sz w:val="21"/>
          <w:szCs w:val="21"/>
          <w:color w:val="000000"/>
        </w:rPr>
        <w:t>may be paid or provided to the Participant hereunder and to protect the trade secrets and confidential information of the Company and its Affiliates that have been and will in the future be disclosed or entrusted to the Participant, the business goodwill of the Company or its Affiliates, and the business opportunities that have been and will in the future be disclosed or entrusted to the Participant by the Company or its Affiliates, the Company and the Participant agree to the provisions of this Article 3. The Participant agrees that during the Restricted Period, the Participant will not:</w:t>
      </w:r>
    </w:p>
    <w:p>
      <w:pPr>
        <w:spacing w:after="0" w:line="160" w:lineRule="exact"/>
        <w:rPr>
          <w:sz w:val="20"/>
          <w:szCs w:val="20"/>
          <w:color w:val="auto"/>
        </w:rPr>
      </w:pPr>
    </w:p>
    <w:p>
      <w:pPr>
        <w:jc w:val="both"/>
        <w:ind w:firstLine="1304"/>
        <w:spacing w:after="0" w:line="242" w:lineRule="auto"/>
        <w:tabs>
          <w:tab w:leader="none" w:pos="1779" w:val="left"/>
        </w:tabs>
        <w:numPr>
          <w:ilvl w:val="0"/>
          <w:numId w:val="68"/>
        </w:numPr>
        <w:rPr>
          <w:rFonts w:ascii="Arial" w:cs="Arial" w:eastAsia="Arial" w:hAnsi="Arial"/>
          <w:sz w:val="19"/>
          <w:szCs w:val="19"/>
          <w:color w:val="010000"/>
        </w:rPr>
      </w:pPr>
      <w:r>
        <w:rPr>
          <w:rFonts w:ascii="Arial" w:cs="Arial" w:eastAsia="Arial" w:hAnsi="Arial"/>
          <w:sz w:val="19"/>
          <w:szCs w:val="19"/>
          <w:u w:val="single" w:color="auto"/>
          <w:color w:val="auto"/>
        </w:rPr>
        <w:t>Non-Competition</w:t>
      </w:r>
      <w:r>
        <w:rPr>
          <w:rFonts w:ascii="Arial" w:cs="Arial" w:eastAsia="Arial" w:hAnsi="Arial"/>
          <w:sz w:val="19"/>
          <w:szCs w:val="19"/>
          <w:color w:val="auto"/>
        </w:rPr>
        <w:t>. Without the written consent of the Compensation Committee of the Board, at any time or in any manner, either directly or indirectly, become associated with, render services to, invest in, represent, advise or otherwise participate as an officer, employee, director, stockholder, partner, member, agent of or consultant for any company, business, organization or other legal or natural person that engages or participates in the Restricted Business; provided, however, that nothing herein shall prevent a Participant from acquiring up to two percent (2%) of the securities of any company listed on a national securities exchange or quoted on the NASDAQ quotation system, provided Participant’s involvement with any such company is solely that of a passive stockholder. The covenant contained in this Section 3.1(a) shall be deemed a series of separate covenants for each state, county and city in which the Diamondback Parties’ business is conducted or is preparing to be conducted. If, in any judicial proceeding, a court shall refuse to enforce all of the separate covenants deemed included in this Section 3.1(a) because, taken together, they cover too extensive a geographic area, the parties intend that those covenants (taken in order of the states, counties and cities therein which are least populous), which if eliminated would permit the remaining separate covenants to be enforced in such proceeding, shall, for the purpose of such proceeding, be deemed eliminated from the provisions of this Section 3.1(a).</w:t>
      </w:r>
    </w:p>
    <w:p>
      <w:pPr>
        <w:spacing w:after="0" w:line="380" w:lineRule="exact"/>
        <w:rPr>
          <w:rFonts w:ascii="Arial" w:cs="Arial" w:eastAsia="Arial" w:hAnsi="Arial"/>
          <w:sz w:val="19"/>
          <w:szCs w:val="19"/>
          <w:color w:val="010000"/>
        </w:rPr>
      </w:pPr>
    </w:p>
    <w:p>
      <w:pPr>
        <w:jc w:val="both"/>
        <w:ind w:firstLine="1304"/>
        <w:spacing w:after="0" w:line="249" w:lineRule="auto"/>
        <w:tabs>
          <w:tab w:leader="none" w:pos="1804" w:val="left"/>
        </w:tabs>
        <w:numPr>
          <w:ilvl w:val="0"/>
          <w:numId w:val="68"/>
        </w:numPr>
        <w:rPr>
          <w:rFonts w:ascii="Arial" w:cs="Arial" w:eastAsia="Arial" w:hAnsi="Arial"/>
          <w:sz w:val="19"/>
          <w:szCs w:val="19"/>
          <w:color w:val="010000"/>
        </w:rPr>
      </w:pPr>
      <w:r>
        <w:rPr>
          <w:rFonts w:ascii="Arial" w:cs="Arial" w:eastAsia="Arial" w:hAnsi="Arial"/>
          <w:sz w:val="19"/>
          <w:szCs w:val="19"/>
          <w:u w:val="single" w:color="auto"/>
          <w:color w:val="auto"/>
        </w:rPr>
        <w:t>Non Solicitation, Non Hire of Employees</w:t>
      </w:r>
      <w:r>
        <w:rPr>
          <w:rFonts w:ascii="Arial" w:cs="Arial" w:eastAsia="Arial" w:hAnsi="Arial"/>
          <w:sz w:val="19"/>
          <w:szCs w:val="19"/>
          <w:color w:val="auto"/>
        </w:rPr>
        <w:t>. At any time or in any manner, either directly or indirectly, either on Participant’s behalf or on behalf of any Person (other than the Diamondback Parties), recruit, solicit, hire, divert or otherwise encourage or attempt to recruit, solicit, hire, divert or otherwise encourage any officer or employees or agents of any Diamondback Party to enter into any employment, consulting or advisory arrangement or contract with or to perform any services for or on Participant’s behalf or on behalf of any Person (other than a Diamondback Party), or to enter into any kind of business with Participant or any other Person, including, without limitation, any Restricted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158" w:right="339" w:bottom="1440" w:gutter="0" w:footer="0" w:header="0"/>
        </w:sectPr>
      </w:pPr>
    </w:p>
    <w:bookmarkStart w:id="156" w:name="page157"/>
    <w:bookmarkEnd w:id="156"/>
    <w:p>
      <w:pPr>
        <w:jc w:val="both"/>
        <w:ind w:firstLine="1304"/>
        <w:spacing w:after="0" w:line="218" w:lineRule="auto"/>
        <w:tabs>
          <w:tab w:leader="none" w:pos="1887"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Non-Interference</w:t>
      </w:r>
      <w:r>
        <w:rPr>
          <w:rFonts w:ascii="Arial" w:cs="Arial" w:eastAsia="Arial" w:hAnsi="Arial"/>
          <w:sz w:val="22"/>
          <w:szCs w:val="22"/>
          <w:color w:val="auto"/>
        </w:rPr>
        <w:t>. At any time or in any manner, either directly or indirectly, for the Participant’s own account or for the account of any other Person, interfere with any Diamondback Party’s relationship with any of its land owners, mineral owners, gatherers, processors, employees, contractors, suppliers or regulators or any other third party with which a Diamondback Party maintains a business relationship.</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010000"/>
        </w:rPr>
        <w:t xml:space="preserve">Section 3.2 </w:t>
      </w:r>
      <w:r>
        <w:rPr>
          <w:rFonts w:ascii="Arial" w:cs="Arial" w:eastAsia="Arial" w:hAnsi="Arial"/>
          <w:sz w:val="19"/>
          <w:szCs w:val="19"/>
          <w:b w:val="1"/>
          <w:bCs w:val="1"/>
          <w:color w:val="000000"/>
        </w:rPr>
        <w:t>Limitations on Non-Competition</w:t>
      </w:r>
      <w:r>
        <w:rPr>
          <w:rFonts w:ascii="Arial" w:cs="Arial" w:eastAsia="Arial" w:hAnsi="Arial"/>
          <w:sz w:val="19"/>
          <w:szCs w:val="19"/>
          <w:color w:val="000000"/>
        </w:rPr>
        <w:t>. Notwithstanding the provisions of Section 3.1, if the Participant</w:t>
      </w:r>
      <w:r>
        <w:rPr>
          <w:rFonts w:ascii="Arial" w:cs="Arial" w:eastAsia="Arial" w:hAnsi="Arial"/>
          <w:sz w:val="19"/>
          <w:szCs w:val="19"/>
          <w:b w:val="1"/>
          <w:bCs w:val="1"/>
          <w:color w:val="010000"/>
        </w:rPr>
        <w:t xml:space="preserve"> </w:t>
      </w:r>
      <w:r>
        <w:rPr>
          <w:rFonts w:ascii="Arial" w:cs="Arial" w:eastAsia="Arial" w:hAnsi="Arial"/>
          <w:sz w:val="19"/>
          <w:szCs w:val="19"/>
          <w:color w:val="000000"/>
        </w:rPr>
        <w:t>provides written notice to the Employer that the Participant will terminate employment with the Employer pursuant to a resignation by the Participant that does not constitute an Eligible Termination, then, solely for purposes of Section 3.1(a), the Restricted Period will end on a date selected by the Company and set forth in a written notice provided by the Company to the Participant; provided, however, that (a) the date selected by the Company will be a whole number of months (not in excess of 12) after the Termination Date and (b) subject to the provisions of Section 2.4 hereof, beginning on the Payment Date, the Employer will pay to the Participant an amount equal to one-twelfth of the Participant’s annualized base salary plus target annual bonus for each month of the Restricted Period, which amount will be paid on a prorated basis on each regularly scheduled payroll date during the Restricted Period following the Termination Date. The Participant hereby delegates to the Company the right to select and determine in good faith the duration of the Restricted Period as provided in this Section 3.2.</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010000"/>
        </w:rPr>
        <w:t xml:space="preserve">Section 3.3 </w:t>
      </w:r>
      <w:r>
        <w:rPr>
          <w:rFonts w:ascii="Arial" w:cs="Arial" w:eastAsia="Arial" w:hAnsi="Arial"/>
          <w:sz w:val="21"/>
          <w:szCs w:val="21"/>
          <w:b w:val="1"/>
          <w:bCs w:val="1"/>
          <w:color w:val="000000"/>
        </w:rPr>
        <w:t>Non-Disparagement</w:t>
      </w:r>
      <w:r>
        <w:rPr>
          <w:rFonts w:ascii="Arial" w:cs="Arial" w:eastAsia="Arial" w:hAnsi="Arial"/>
          <w:sz w:val="21"/>
          <w:szCs w:val="21"/>
          <w:color w:val="000000"/>
        </w:rPr>
        <w:t>. During and following the Participant’s employment with the Employer,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Participant agrees not to make public statements, negative comments or otherwise disparage any Diamondback Party or any Diamondback Party’s officers, directors, employees, agents, shareholders or other equity holders in any manner harmful to them or their business, business reputation or personal reputation.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15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b w:val="1"/>
          <w:bCs w:val="1"/>
          <w:color w:val="010000"/>
        </w:rPr>
        <w:t xml:space="preserve">Section 3.4 </w:t>
      </w:r>
      <w:r>
        <w:rPr>
          <w:rFonts w:ascii="Arial" w:cs="Arial" w:eastAsia="Arial" w:hAnsi="Arial"/>
          <w:sz w:val="21"/>
          <w:szCs w:val="21"/>
          <w:b w:val="1"/>
          <w:bCs w:val="1"/>
          <w:color w:val="000000"/>
        </w:rPr>
        <w:t>Return of Property</w:t>
      </w:r>
      <w:r>
        <w:rPr>
          <w:rFonts w:ascii="Arial" w:cs="Arial" w:eastAsia="Arial" w:hAnsi="Arial"/>
          <w:sz w:val="21"/>
          <w:szCs w:val="21"/>
          <w:color w:val="000000"/>
        </w:rPr>
        <w:t>. All materials, records and documents in any medium made by a Participant or coming</w:t>
      </w:r>
      <w:r>
        <w:rPr>
          <w:rFonts w:ascii="Arial" w:cs="Arial" w:eastAsia="Arial" w:hAnsi="Arial"/>
          <w:sz w:val="21"/>
          <w:szCs w:val="21"/>
          <w:b w:val="1"/>
          <w:bCs w:val="1"/>
          <w:color w:val="010000"/>
        </w:rPr>
        <w:t xml:space="preserve"> </w:t>
      </w:r>
      <w:r>
        <w:rPr>
          <w:rFonts w:ascii="Arial" w:cs="Arial" w:eastAsia="Arial" w:hAnsi="Arial"/>
          <w:sz w:val="21"/>
          <w:szCs w:val="21"/>
          <w:color w:val="000000"/>
        </w:rPr>
        <w:t>into a Participant’s possession during employment concerning any products, processes or services, manufactured, used, developed, investigated, provided or considered by any Diamondback Party or otherwise concerning the business or affairs of the Diamondback Parties, are the sole property of the applicable Diamondback Party, and upon termination of a Participant’s employment, or upon request of the Company during employment, a Participant will promptly deliver the same to the Diamondback Party designated by the Company. In addition, upon termination of employment, or upon request of the Company during a Participant’s employment, the Participant will deliver to the Diamondback Party designated by the Company all other property of the Diamondback Parties in Participant’s possession or under Participant’s control, including, but not limited to, confidential or proprietary data or information, financial statements, marketing and sales data, drawings, documents and electronic records.</w:t>
      </w:r>
    </w:p>
    <w:p>
      <w:pPr>
        <w:spacing w:after="0" w:line="15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b w:val="1"/>
          <w:bCs w:val="1"/>
          <w:color w:val="010000"/>
        </w:rPr>
        <w:t xml:space="preserve">Section 3.5 </w:t>
      </w:r>
      <w:r>
        <w:rPr>
          <w:rFonts w:ascii="Arial" w:cs="Arial" w:eastAsia="Arial" w:hAnsi="Arial"/>
          <w:sz w:val="19"/>
          <w:szCs w:val="19"/>
          <w:b w:val="1"/>
          <w:bCs w:val="1"/>
          <w:color w:val="000000"/>
        </w:rPr>
        <w:t>Cooperation</w:t>
      </w:r>
      <w:r>
        <w:rPr>
          <w:rFonts w:ascii="Arial" w:cs="Arial" w:eastAsia="Arial" w:hAnsi="Arial"/>
          <w:sz w:val="19"/>
          <w:szCs w:val="19"/>
          <w:color w:val="000000"/>
        </w:rPr>
        <w:t>. Upon the receipt of reasonable notice from the Company, an Employer or an Affiliate</w:t>
      </w:r>
      <w:r>
        <w:rPr>
          <w:rFonts w:ascii="Arial" w:cs="Arial" w:eastAsia="Arial" w:hAnsi="Arial"/>
          <w:sz w:val="19"/>
          <w:szCs w:val="19"/>
          <w:b w:val="1"/>
          <w:bCs w:val="1"/>
          <w:color w:val="010000"/>
        </w:rPr>
        <w:t xml:space="preserve"> </w:t>
      </w:r>
      <w:r>
        <w:rPr>
          <w:rFonts w:ascii="Arial" w:cs="Arial" w:eastAsia="Arial" w:hAnsi="Arial"/>
          <w:sz w:val="19"/>
          <w:szCs w:val="19"/>
          <w:color w:val="000000"/>
        </w:rPr>
        <w:t>(including outside counsel), a Participant agrees that while employed by any Diamondback Party and thereafter, the Participant will provide reasonable assistance to any Diamondback Party and their respective representatives in defense of any claims that may be made against any Diamondback Party and will assist any Diamondback Party in the prosecution of any claims that may be made by any Diamondback Party, to the extent that such claims relate to the period of participant’s employment with a Diamondback Party. Participants agree to promptly inform the Company if they become aware of any lawsuits involving such claims that may be filed or threatened against any Diamondback Party. Participants also agree to promptly inform the Company (to the extent legally permitted to do so) if asked to assist in any investigation of any Diamondback Party (or its actions), regardless of whether a lawsuit or other proceeding has then been filed against any Diamondback Party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158" w:right="339" w:bottom="1440" w:gutter="0" w:footer="0" w:header="0"/>
        </w:sectPr>
      </w:pPr>
    </w:p>
    <w:bookmarkStart w:id="157" w:name="page158"/>
    <w:bookmarkEnd w:id="157"/>
    <w:p>
      <w:pPr>
        <w:jc w:val="both"/>
        <w:spacing w:after="0" w:line="218" w:lineRule="auto"/>
        <w:rPr>
          <w:sz w:val="20"/>
          <w:szCs w:val="20"/>
          <w:color w:val="auto"/>
        </w:rPr>
      </w:pPr>
      <w:r>
        <w:rPr>
          <w:rFonts w:ascii="Arial" w:cs="Arial" w:eastAsia="Arial" w:hAnsi="Arial"/>
          <w:sz w:val="22"/>
          <w:szCs w:val="22"/>
          <w:color w:val="auto"/>
        </w:rPr>
        <w:t>investigation. Upon presentation of appropriate documentation, the Company or an Employer will pay or reimburse the Participant for all reasonable, out-of-pocket expenses incurred in complying with this Section 3.5. If at the time of compliance Participant is no longer an employee, officer or director (or functional equivalent) of any Diamondback Party, the Company or an Employer will provide a reasonable per diem.</w:t>
      </w:r>
    </w:p>
    <w:p>
      <w:pPr>
        <w:spacing w:after="0" w:line="15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3.6</w:t>
      </w:r>
      <w:r>
        <w:rPr>
          <w:sz w:val="20"/>
          <w:szCs w:val="20"/>
          <w:color w:val="auto"/>
        </w:rPr>
        <w:tab/>
      </w:r>
      <w:r>
        <w:rPr>
          <w:rFonts w:ascii="Arial" w:cs="Arial" w:eastAsia="Arial" w:hAnsi="Arial"/>
          <w:sz w:val="19"/>
          <w:szCs w:val="19"/>
          <w:b w:val="1"/>
          <w:bCs w:val="1"/>
          <w:color w:val="auto"/>
        </w:rPr>
        <w:t>Confidential Information</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41" w:lineRule="auto"/>
        <w:tabs>
          <w:tab w:leader="none" w:pos="1846" w:val="left"/>
        </w:tabs>
        <w:numPr>
          <w:ilvl w:val="0"/>
          <w:numId w:val="70"/>
        </w:numPr>
        <w:rPr>
          <w:rFonts w:ascii="Arial" w:cs="Arial" w:eastAsia="Arial" w:hAnsi="Arial"/>
          <w:sz w:val="19"/>
          <w:szCs w:val="19"/>
          <w:color w:val="010000"/>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In the course of employment with the Diamondback Parties, a Participant will have had, and/or will have, access to confidential or proprietary data or information of the Diamondback Parties. Each Participant hereby agrees to not at any time during or after employment divulge or communicate to any Person (which term, for purposes of this Plan, includes both individual Persons or entities) nor shall a Participant direct any employee of a Diamondback Party to divulge or communicate to any Person (other than to a Person bound by confidentiality obligations similar to those contained herein and other than as necessary in performing your duties hereunder), or use to the detriment of the Diamondback Parties or for the benefit of any other Person, any of such data or information. No business conducted by a Participant or any organization of which a Participant, directly or indirectly, is an owner, partner, manager, joint venturer, director, officer, manager or otherwise a participant in or connected with in any locality, state or country in which the Diamondback Parties conduct business may use any name, designation or logo which is substantially similar to that presently used by any Diamondback Party. The term “</w:t>
      </w:r>
      <w:r>
        <w:rPr>
          <w:rFonts w:ascii="Arial" w:cs="Arial" w:eastAsia="Arial" w:hAnsi="Arial"/>
          <w:sz w:val="19"/>
          <w:szCs w:val="19"/>
          <w:b w:val="1"/>
          <w:bCs w:val="1"/>
          <w:color w:val="auto"/>
        </w:rPr>
        <w:t>confidential or proprietary data or information</w:t>
      </w:r>
      <w:r>
        <w:rPr>
          <w:rFonts w:ascii="Arial" w:cs="Arial" w:eastAsia="Arial" w:hAnsi="Arial"/>
          <w:sz w:val="19"/>
          <w:szCs w:val="19"/>
          <w:color w:val="auto"/>
        </w:rPr>
        <w:t>” as used in this Plan means any information not generally available to the public or generally known within the applicable Diamondback Party’s industry, including, without limitation, Personnel information, financial information, customer lists or contacts, vendor lists and pricing information, strategy and plans, engineering data and analysis, maps, samples, well logs, well production information, geological data, geophysical data, seismic data, information regarding operations, systems, services, know-how, computer and any other processed or collated data, trade secrets (including, without limitation, software), computer programs, pricing, marketing and advertising data.</w:t>
      </w:r>
    </w:p>
    <w:p>
      <w:pPr>
        <w:spacing w:after="0" w:line="161" w:lineRule="exact"/>
        <w:rPr>
          <w:rFonts w:ascii="Arial" w:cs="Arial" w:eastAsia="Arial" w:hAnsi="Arial"/>
          <w:sz w:val="19"/>
          <w:szCs w:val="19"/>
          <w:color w:val="010000"/>
        </w:rPr>
      </w:pPr>
    </w:p>
    <w:p>
      <w:pPr>
        <w:jc w:val="both"/>
        <w:ind w:firstLine="1304"/>
        <w:spacing w:after="0" w:line="244" w:lineRule="auto"/>
        <w:tabs>
          <w:tab w:leader="none" w:pos="1791" w:val="left"/>
        </w:tabs>
        <w:numPr>
          <w:ilvl w:val="0"/>
          <w:numId w:val="70"/>
        </w:numPr>
        <w:rPr>
          <w:rFonts w:ascii="Arial" w:cs="Arial" w:eastAsia="Arial" w:hAnsi="Arial"/>
          <w:sz w:val="19"/>
          <w:szCs w:val="19"/>
          <w:color w:val="010000"/>
        </w:rPr>
      </w:pPr>
      <w:r>
        <w:rPr>
          <w:rFonts w:ascii="Arial" w:cs="Arial" w:eastAsia="Arial" w:hAnsi="Arial"/>
          <w:sz w:val="19"/>
          <w:szCs w:val="19"/>
          <w:u w:val="single" w:color="auto"/>
          <w:color w:val="auto"/>
        </w:rPr>
        <w:t>Proprietary Information and Disclosure</w:t>
      </w:r>
      <w:r>
        <w:rPr>
          <w:rFonts w:ascii="Arial" w:cs="Arial" w:eastAsia="Arial" w:hAnsi="Arial"/>
          <w:sz w:val="19"/>
          <w:szCs w:val="19"/>
          <w:color w:val="auto"/>
        </w:rPr>
        <w:t>. Each Participant agrees that they will at all times promptly disclose to the Company, in such form and manner as the Company or an Employer may require, any inventions, improvements or procedural or methodological innovations, program methods, forms, systems, services, designs, marketing ideas, products or processes (whether or not capable of being trademarked, copyrighted or patented) conceived or developed or created by the Participant during or in connection with employment with any Diamondback Party and which relate to the business of any Diamondback Party (“</w:t>
      </w:r>
      <w:r>
        <w:rPr>
          <w:rFonts w:ascii="Arial" w:cs="Arial" w:eastAsia="Arial" w:hAnsi="Arial"/>
          <w:sz w:val="19"/>
          <w:szCs w:val="19"/>
          <w:b w:val="1"/>
          <w:bCs w:val="1"/>
          <w:color w:val="auto"/>
        </w:rPr>
        <w:t>Intellectual Property</w:t>
      </w:r>
      <w:r>
        <w:rPr>
          <w:rFonts w:ascii="Arial" w:cs="Arial" w:eastAsia="Arial" w:hAnsi="Arial"/>
          <w:sz w:val="19"/>
          <w:szCs w:val="19"/>
          <w:color w:val="auto"/>
        </w:rPr>
        <w:t>”). Each Participant agrees that all such Intellectual Property constitutes a work-for-hire and will be the sole property of the applicable Diamondback Party. Each Participant further agrees that he or she will execute such instruments and perform such acts as may be requested by the Company or an Employer to transfer to and perfect in the entity designated by the Company all legally protectable rights in such Intellectual Property.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4</w:t>
      </w:r>
    </w:p>
    <w:p>
      <w:pPr>
        <w:jc w:val="center"/>
        <w:spacing w:after="0"/>
        <w:rPr>
          <w:sz w:val="20"/>
          <w:szCs w:val="20"/>
          <w:color w:val="auto"/>
        </w:rPr>
      </w:pPr>
      <w:r>
        <w:rPr>
          <w:rFonts w:ascii="Arial" w:cs="Arial" w:eastAsia="Arial" w:hAnsi="Arial"/>
          <w:sz w:val="22"/>
          <w:szCs w:val="22"/>
          <w:b w:val="1"/>
          <w:bCs w:val="1"/>
          <w:color w:val="auto"/>
        </w:rPr>
        <w:t>CLAIMS AND APPEAL PROCEDURES</w:t>
      </w:r>
    </w:p>
    <w:p>
      <w:pPr>
        <w:spacing w:after="0" w:line="15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010000"/>
        </w:rPr>
        <w:t xml:space="preserve">Section 4.1 </w:t>
      </w:r>
      <w:r>
        <w:rPr>
          <w:rFonts w:ascii="Arial" w:cs="Arial" w:eastAsia="Arial" w:hAnsi="Arial"/>
          <w:sz w:val="22"/>
          <w:szCs w:val="22"/>
          <w:b w:val="1"/>
          <w:bCs w:val="1"/>
          <w:color w:val="000000"/>
        </w:rPr>
        <w:t>Filing Claim for Benefits</w:t>
      </w:r>
      <w:r>
        <w:rPr>
          <w:rFonts w:ascii="Arial" w:cs="Arial" w:eastAsia="Arial" w:hAnsi="Arial"/>
          <w:sz w:val="22"/>
          <w:szCs w:val="22"/>
          <w:color w:val="000000"/>
        </w:rPr>
        <w:t>. If a Participant or Beneficiary (“</w:t>
      </w:r>
      <w:r>
        <w:rPr>
          <w:rFonts w:ascii="Arial" w:cs="Arial" w:eastAsia="Arial" w:hAnsi="Arial"/>
          <w:sz w:val="22"/>
          <w:szCs w:val="22"/>
          <w:b w:val="1"/>
          <w:bCs w:val="1"/>
          <w:color w:val="000000"/>
        </w:rPr>
        <w:t>Claimant</w:t>
      </w:r>
      <w:r>
        <w:rPr>
          <w:rFonts w:ascii="Arial" w:cs="Arial" w:eastAsia="Arial" w:hAnsi="Arial"/>
          <w:sz w:val="22"/>
          <w:szCs w:val="22"/>
          <w:color w:val="000000"/>
        </w:rPr>
        <w:t>”) believes he or she has not received</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benefits Claimant is entitled to receive under the terms of the Plan, Claimant may file a claim for benefits with the Administrator. All claims must be made in writing and must be signed by Claimant or an authorized representative. If Claimant does not furnish sufficient information to determine the validity of the claim, the Administrator will indicate to Claimant any additional information which is required.</w:t>
      </w:r>
    </w:p>
    <w:p>
      <w:pPr>
        <w:spacing w:after="0" w:line="1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010000"/>
        </w:rPr>
        <w:t xml:space="preserve">Section 4.2 </w:t>
      </w:r>
      <w:r>
        <w:rPr>
          <w:rFonts w:ascii="Arial" w:cs="Arial" w:eastAsia="Arial" w:hAnsi="Arial"/>
          <w:sz w:val="22"/>
          <w:szCs w:val="22"/>
          <w:b w:val="1"/>
          <w:bCs w:val="1"/>
          <w:color w:val="000000"/>
        </w:rPr>
        <w:t>Notification by the Administrator</w:t>
      </w:r>
      <w:r>
        <w:rPr>
          <w:rFonts w:ascii="Arial" w:cs="Arial" w:eastAsia="Arial" w:hAnsi="Arial"/>
          <w:sz w:val="22"/>
          <w:szCs w:val="22"/>
          <w:color w:val="000000"/>
        </w:rPr>
        <w:t>. Each claim will be approved or disapproved by the Administrator</w:t>
      </w:r>
      <w:r>
        <w:rPr>
          <w:rFonts w:ascii="Arial" w:cs="Arial" w:eastAsia="Arial" w:hAnsi="Arial"/>
          <w:sz w:val="22"/>
          <w:szCs w:val="22"/>
          <w:b w:val="1"/>
          <w:bCs w:val="1"/>
          <w:color w:val="010000"/>
        </w:rPr>
        <w:t xml:space="preserve"> </w:t>
      </w:r>
      <w:r>
        <w:rPr>
          <w:rFonts w:ascii="Arial" w:cs="Arial" w:eastAsia="Arial" w:hAnsi="Arial"/>
          <w:sz w:val="22"/>
          <w:szCs w:val="22"/>
          <w:color w:val="000000"/>
        </w:rPr>
        <w:t>within 90 days following the receipt of the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158" w:right="339" w:bottom="1440" w:gutter="0" w:footer="0" w:header="0"/>
        </w:sectPr>
      </w:pPr>
    </w:p>
    <w:bookmarkStart w:id="158" w:name="page159"/>
    <w:bookmarkEnd w:id="158"/>
    <w:p>
      <w:pPr>
        <w:jc w:val="both"/>
        <w:spacing w:after="0" w:line="241" w:lineRule="auto"/>
        <w:rPr>
          <w:sz w:val="20"/>
          <w:szCs w:val="20"/>
          <w:color w:val="auto"/>
        </w:rPr>
      </w:pPr>
      <w:r>
        <w:rPr>
          <w:rFonts w:ascii="Arial" w:cs="Arial" w:eastAsia="Arial" w:hAnsi="Arial"/>
          <w:sz w:val="19"/>
          <w:szCs w:val="19"/>
          <w:color w:val="auto"/>
        </w:rPr>
        <w:t>necessary to process the claim (45 days if the claim relates to a Plan determination of disability (a “</w:t>
      </w:r>
      <w:r>
        <w:rPr>
          <w:rFonts w:ascii="Arial" w:cs="Arial" w:eastAsia="Arial" w:hAnsi="Arial"/>
          <w:sz w:val="19"/>
          <w:szCs w:val="19"/>
          <w:b w:val="1"/>
          <w:bCs w:val="1"/>
          <w:color w:val="auto"/>
        </w:rPr>
        <w:t>Disability Claim</w:t>
      </w:r>
      <w:r>
        <w:rPr>
          <w:rFonts w:ascii="Arial" w:cs="Arial" w:eastAsia="Arial" w:hAnsi="Arial"/>
          <w:sz w:val="19"/>
          <w:szCs w:val="19"/>
          <w:color w:val="auto"/>
        </w:rPr>
        <w:t>”)). In the event the Administrator denies a claim for benefits in whole or in part, the Administrator will notify Claimant in writing or by electronic notification of the denial of the claim. Such notice by the Administrator will also set forth, in a manner calculated to be understood by Claimant, the specific reason for such denial, the specific Plan provisions on which the denial is based, a description of any additional material or information necessary to perfect the claim with an explanation of why such material or information is necessary, and an explanation of the Plan’s claim review procedure as set forth in Section 4.3 and the time limits applicable to such procedures, including a statement of Claimant’s right to bring a civil action under Section 502 of ERISA following a claim denial after review. These periods may be extended by the Administrator for up to 90 days (30 days in the case of a Disability Claim), if the Administrator determines that such an extension is necessary due to matters beyond the control of the Plan and notifies Claimant, prior to expiration of the initial notification period, of the circumstances requiring an extension of time and the date by which the Administrator expects to render a decision. In the case of a Disability Claim, the Administrator may further extend the period for making a determination by up to an additional 30 days if, prior to the end of the first 30 day extension period, the Administrator determines that such an additional extension is necessary due to matters beyond the control of the Plan and notifies Claimant of the circumstances requiring an extension of time and the date by which the Administrator expects to render a decision. If no action is taken by the Administrator on a claim within 90 days (45 days for a Disability Claim), the claim will be deemed to be denied for purposes of the review procedure, unless the failure was a de minimis violation that does not cause and is not likely to cause prejudice or harm to Claimant and the Administrator demonstrates that the failure was for good cause or due to matters beyond the control of the Administrator and that the failure occurred in the context of an ongoing good faith exchange of information between the Plan and Claimant.</w:t>
      </w:r>
    </w:p>
    <w:p>
      <w:pPr>
        <w:spacing w:after="0" w:line="15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010000"/>
        </w:rPr>
        <w:t xml:space="preserve">Section 4.3 </w:t>
      </w:r>
      <w:r>
        <w:rPr>
          <w:rFonts w:ascii="Arial" w:cs="Arial" w:eastAsia="Arial" w:hAnsi="Arial"/>
          <w:sz w:val="22"/>
          <w:szCs w:val="22"/>
          <w:b w:val="1"/>
          <w:bCs w:val="1"/>
          <w:color w:val="000000"/>
        </w:rPr>
        <w:t>Review Procedure</w:t>
      </w:r>
      <w:r>
        <w:rPr>
          <w:rFonts w:ascii="Arial" w:cs="Arial" w:eastAsia="Arial" w:hAnsi="Arial"/>
          <w:sz w:val="22"/>
          <w:szCs w:val="22"/>
          <w:color w:val="000000"/>
        </w:rPr>
        <w:t>. A Claimant may appeal a denial of his or her claim by requesting a review of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decision by the Administrator or a Person designated by the Administrator, which Person will be a Named Fiduciary under Section 402(a)(2) of ERISA for purposes of this Section 4.3. An appeal must be submitted in writing within 60 days (180 days in the case of a Disability Claim) after the denial and must:</w:t>
      </w:r>
    </w:p>
    <w:p>
      <w:pPr>
        <w:spacing w:after="0" w:line="158" w:lineRule="exact"/>
        <w:rPr>
          <w:sz w:val="20"/>
          <w:szCs w:val="20"/>
          <w:color w:val="auto"/>
        </w:rPr>
      </w:pPr>
    </w:p>
    <w:p>
      <w:pPr>
        <w:ind w:left="1760" w:hanging="456"/>
        <w:spacing w:after="0"/>
        <w:tabs>
          <w:tab w:leader="none" w:pos="1760" w:val="left"/>
        </w:tabs>
        <w:numPr>
          <w:ilvl w:val="0"/>
          <w:numId w:val="71"/>
        </w:numPr>
        <w:rPr>
          <w:rFonts w:ascii="Arial" w:cs="Arial" w:eastAsia="Arial" w:hAnsi="Arial"/>
          <w:sz w:val="22"/>
          <w:szCs w:val="22"/>
          <w:color w:val="010000"/>
        </w:rPr>
      </w:pPr>
      <w:r>
        <w:rPr>
          <w:rFonts w:ascii="Arial" w:cs="Arial" w:eastAsia="Arial" w:hAnsi="Arial"/>
          <w:sz w:val="22"/>
          <w:szCs w:val="22"/>
          <w:color w:val="auto"/>
        </w:rPr>
        <w:t>Request a review of the claim for benefits under the Plan;</w:t>
      </w:r>
    </w:p>
    <w:p>
      <w:pPr>
        <w:spacing w:after="0" w:line="179" w:lineRule="exact"/>
        <w:rPr>
          <w:rFonts w:ascii="Arial" w:cs="Arial" w:eastAsia="Arial" w:hAnsi="Arial"/>
          <w:sz w:val="22"/>
          <w:szCs w:val="22"/>
          <w:color w:val="010000"/>
        </w:rPr>
      </w:pPr>
    </w:p>
    <w:p>
      <w:pPr>
        <w:ind w:left="1860" w:hanging="556"/>
        <w:spacing w:after="0"/>
        <w:tabs>
          <w:tab w:leader="none" w:pos="1860" w:val="left"/>
        </w:tabs>
        <w:numPr>
          <w:ilvl w:val="0"/>
          <w:numId w:val="71"/>
        </w:numPr>
        <w:rPr>
          <w:rFonts w:ascii="Arial" w:cs="Arial" w:eastAsia="Arial" w:hAnsi="Arial"/>
          <w:sz w:val="19"/>
          <w:szCs w:val="19"/>
          <w:color w:val="010000"/>
        </w:rPr>
      </w:pPr>
      <w:r>
        <w:rPr>
          <w:rFonts w:ascii="Arial" w:cs="Arial" w:eastAsia="Arial" w:hAnsi="Arial"/>
          <w:sz w:val="19"/>
          <w:szCs w:val="19"/>
          <w:color w:val="auto"/>
        </w:rPr>
        <w:t>Set forth all of the grounds under which Claimant’s request for review is based and any facts in support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thereof; and</w:t>
      </w:r>
    </w:p>
    <w:p>
      <w:pPr>
        <w:spacing w:after="0" w:line="161" w:lineRule="exact"/>
        <w:rPr>
          <w:sz w:val="20"/>
          <w:szCs w:val="20"/>
          <w:color w:val="auto"/>
        </w:rPr>
      </w:pPr>
    </w:p>
    <w:p>
      <w:pPr>
        <w:ind w:left="1760" w:hanging="456"/>
        <w:spacing w:after="0"/>
        <w:tabs>
          <w:tab w:leader="none" w:pos="1760"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Set forth any issues or comments which Claimant deems pertinent to the appeal.</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In connection with an appeal, Claimant and his or her legal representative will be given the opportunity to:</w:t>
      </w:r>
    </w:p>
    <w:p>
      <w:pPr>
        <w:spacing w:after="0" w:line="191" w:lineRule="exact"/>
        <w:rPr>
          <w:sz w:val="20"/>
          <w:szCs w:val="20"/>
          <w:color w:val="auto"/>
        </w:rPr>
      </w:pPr>
    </w:p>
    <w:p>
      <w:pPr>
        <w:ind w:left="2380" w:hanging="428"/>
        <w:spacing w:after="0"/>
        <w:tabs>
          <w:tab w:leader="none" w:pos="2380" w:val="left"/>
        </w:tabs>
        <w:numPr>
          <w:ilvl w:val="0"/>
          <w:numId w:val="73"/>
        </w:numPr>
        <w:rPr>
          <w:rFonts w:ascii="Arial" w:cs="Arial" w:eastAsia="Arial" w:hAnsi="Arial"/>
          <w:sz w:val="19"/>
          <w:szCs w:val="19"/>
          <w:color w:val="010000"/>
        </w:rPr>
      </w:pPr>
      <w:r>
        <w:rPr>
          <w:rFonts w:ascii="Arial" w:cs="Arial" w:eastAsia="Arial" w:hAnsi="Arial"/>
          <w:sz w:val="19"/>
          <w:szCs w:val="19"/>
          <w:color w:val="auto"/>
        </w:rPr>
        <w:t>submit written comments, documents, records, and other information relating to the claim for benefits;</w:t>
      </w:r>
    </w:p>
    <w:p>
      <w:pPr>
        <w:spacing w:after="0" w:line="213" w:lineRule="exact"/>
        <w:rPr>
          <w:rFonts w:ascii="Arial" w:cs="Arial" w:eastAsia="Arial" w:hAnsi="Arial"/>
          <w:sz w:val="19"/>
          <w:szCs w:val="19"/>
          <w:color w:val="010000"/>
        </w:rPr>
      </w:pPr>
    </w:p>
    <w:p>
      <w:pPr>
        <w:jc w:val="both"/>
        <w:ind w:left="660" w:firstLine="1292"/>
        <w:spacing w:after="0" w:line="229" w:lineRule="auto"/>
        <w:tabs>
          <w:tab w:leader="none" w:pos="2490" w:val="left"/>
        </w:tabs>
        <w:numPr>
          <w:ilvl w:val="0"/>
          <w:numId w:val="73"/>
        </w:numPr>
        <w:rPr>
          <w:rFonts w:ascii="Arial" w:cs="Arial" w:eastAsia="Arial" w:hAnsi="Arial"/>
          <w:sz w:val="21"/>
          <w:szCs w:val="21"/>
          <w:color w:val="010000"/>
        </w:rPr>
      </w:pPr>
      <w:r>
        <w:rPr>
          <w:rFonts w:ascii="Arial" w:cs="Arial" w:eastAsia="Arial" w:hAnsi="Arial"/>
          <w:sz w:val="21"/>
          <w:szCs w:val="21"/>
          <w:color w:val="auto"/>
        </w:rPr>
        <w:t>obtain reasonable access, upon request and free of charge, to review and obtain copies of pertinent documents or materials upon submission of a written request to the Administrator or Named Fiduciary, provided the Administrator or Named Fiduciary finds the requested documents or materials are relevant to Claimant’s claim for benefits within the meaning of claims procedure regulation 29 C.F.R. § 2560.503-1(m)(8).</w:t>
      </w:r>
    </w:p>
    <w:p>
      <w:pPr>
        <w:spacing w:after="0" w:line="15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On the basis of its review, the Administrator or Named Fiduciary will make an independent determination of Claimant’s eligibility for benefits under the Plan. The review will take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152" w:right="339" w:bottom="1440" w:gutter="0" w:footer="0" w:header="0"/>
        </w:sectPr>
      </w:pPr>
    </w:p>
    <w:bookmarkStart w:id="159" w:name="page160"/>
    <w:bookmarkEnd w:id="159"/>
    <w:p>
      <w:pPr>
        <w:jc w:val="both"/>
        <w:spacing w:after="0" w:line="218" w:lineRule="auto"/>
        <w:rPr>
          <w:sz w:val="20"/>
          <w:szCs w:val="20"/>
          <w:color w:val="auto"/>
        </w:rPr>
      </w:pPr>
      <w:r>
        <w:rPr>
          <w:rFonts w:ascii="Arial" w:cs="Arial" w:eastAsia="Arial" w:hAnsi="Arial"/>
          <w:sz w:val="21"/>
          <w:szCs w:val="21"/>
          <w:color w:val="auto"/>
        </w:rPr>
        <w:t>account all comments, documents, records, and other information submitted by Claimant relating to the claim for benefits, without regard to whether such information was submitted or considered in the initial benefit claim determination. The Administrator or the Named Fiduciary designated by the Administrator will act upon each appeal within 60 days (45 days in the case of a Disability Claim appeal) after receipt thereof, unless special circumstances require an extension of the time for processing, in which case a decision will be rendered as soon as possible, but not later than 120 days (90 days in the case of a Disability Claim appeal) after the appeal is received. The decision of the Administrator or Named Fiduciary on any claim for benefits will be final and conclusive upon all parties thereto. In the event the Administrator or Named Fiduciary denies an appeal in whole or in part, it will give written or electronic notice of the decision to Claimant within five days of the date the determination is made, which notice will set forth in a manner calculated to be understood by Claimant the specific reasons for such denial and which will make specific reference to the pertinent Plan provisions on which the decision was based. The notice will also contain a statement that Claimant is entitled to receive upon request and free of charge, reasonable access to, and copies of, all documents, records, and other information relevant to claimant’s claim for benefits, within the meaning of claims procedure regulation 29 C.F.R. § 2560.503-1(m)(8) and a statement of Claimant’s right to bring a civil action under Section 502 of ERISA.</w:t>
      </w:r>
    </w:p>
    <w:p>
      <w:pPr>
        <w:spacing w:after="0" w:line="169" w:lineRule="exact"/>
        <w:rPr>
          <w:sz w:val="20"/>
          <w:szCs w:val="20"/>
          <w:color w:val="auto"/>
        </w:rPr>
      </w:pPr>
    </w:p>
    <w:p>
      <w:pPr>
        <w:ind w:left="1780" w:hanging="476"/>
        <w:spacing w:after="0"/>
        <w:tabs>
          <w:tab w:leader="none" w:pos="1780"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Effective for Disability Claims filed on or after the Effective Date, the following additional rules will apply:</w:t>
      </w:r>
    </w:p>
    <w:p>
      <w:pPr>
        <w:spacing w:after="0" w:line="213" w:lineRule="exact"/>
        <w:rPr>
          <w:rFonts w:ascii="Arial" w:cs="Arial" w:eastAsia="Arial" w:hAnsi="Arial"/>
          <w:sz w:val="19"/>
          <w:szCs w:val="19"/>
          <w:color w:val="010000"/>
        </w:rPr>
      </w:pPr>
    </w:p>
    <w:p>
      <w:pPr>
        <w:jc w:val="both"/>
        <w:ind w:left="660" w:firstLine="1292"/>
        <w:spacing w:after="0" w:line="216" w:lineRule="auto"/>
        <w:tabs>
          <w:tab w:leader="none" w:pos="2443" w:val="left"/>
        </w:tabs>
        <w:numPr>
          <w:ilvl w:val="1"/>
          <w:numId w:val="74"/>
        </w:numPr>
        <w:rPr>
          <w:rFonts w:ascii="Arial" w:cs="Arial" w:eastAsia="Arial" w:hAnsi="Arial"/>
          <w:sz w:val="22"/>
          <w:szCs w:val="22"/>
          <w:color w:val="010000"/>
        </w:rPr>
      </w:pPr>
      <w:r>
        <w:rPr>
          <w:rFonts w:ascii="Arial" w:cs="Arial" w:eastAsia="Arial" w:hAnsi="Arial"/>
          <w:sz w:val="22"/>
          <w:szCs w:val="22"/>
          <w:color w:val="auto"/>
        </w:rPr>
        <w:t>Notice to Claimant of any extension of the 45-day period for initial determination must include the circumstances requiring the extension and the date as of which a decision is expected, with a specific explanation of the standards on which entitlement to a disability benefit are based, the unresolved issues preventing a decision on the Disability Claim and the information needed to resolve those issues, and must give Claimant 45 days to provide any information requested.</w:t>
      </w:r>
    </w:p>
    <w:p>
      <w:pPr>
        <w:spacing w:after="0" w:line="157" w:lineRule="exact"/>
        <w:rPr>
          <w:rFonts w:ascii="Arial" w:cs="Arial" w:eastAsia="Arial" w:hAnsi="Arial"/>
          <w:sz w:val="22"/>
          <w:szCs w:val="22"/>
          <w:color w:val="010000"/>
        </w:rPr>
      </w:pPr>
    </w:p>
    <w:p>
      <w:pPr>
        <w:ind w:left="1300" w:firstLine="652"/>
        <w:spacing w:after="0" w:line="232" w:lineRule="auto"/>
        <w:tabs>
          <w:tab w:leader="none" w:pos="2495" w:val="left"/>
        </w:tabs>
        <w:numPr>
          <w:ilvl w:val="1"/>
          <w:numId w:val="74"/>
        </w:numPr>
        <w:rPr>
          <w:rFonts w:ascii="Arial" w:cs="Arial" w:eastAsia="Arial" w:hAnsi="Arial"/>
          <w:sz w:val="22"/>
          <w:szCs w:val="22"/>
          <w:color w:val="010000"/>
        </w:rPr>
      </w:pPr>
      <w:r>
        <w:rPr>
          <w:rFonts w:ascii="Arial" w:cs="Arial" w:eastAsia="Arial" w:hAnsi="Arial"/>
          <w:sz w:val="22"/>
          <w:szCs w:val="22"/>
          <w:color w:val="auto"/>
        </w:rPr>
        <w:t>In addition to the information provided with respect to other claims, the notification of denial of a Disability Claim must include the following:</w:t>
      </w:r>
    </w:p>
    <w:p>
      <w:pPr>
        <w:spacing w:after="0" w:line="158" w:lineRule="exact"/>
        <w:rPr>
          <w:rFonts w:ascii="Arial" w:cs="Arial" w:eastAsia="Arial" w:hAnsi="Arial"/>
          <w:sz w:val="22"/>
          <w:szCs w:val="22"/>
          <w:color w:val="010000"/>
        </w:rPr>
      </w:pPr>
    </w:p>
    <w:p>
      <w:pPr>
        <w:jc w:val="both"/>
        <w:ind w:left="1300" w:firstLine="1300"/>
        <w:spacing w:after="0" w:line="214" w:lineRule="auto"/>
        <w:tabs>
          <w:tab w:leader="none" w:pos="3112" w:val="left"/>
        </w:tabs>
        <w:numPr>
          <w:ilvl w:val="2"/>
          <w:numId w:val="74"/>
        </w:numPr>
        <w:rPr>
          <w:rFonts w:ascii="Arial" w:cs="Arial" w:eastAsia="Arial" w:hAnsi="Arial"/>
          <w:sz w:val="22"/>
          <w:szCs w:val="22"/>
          <w:color w:val="010000"/>
        </w:rPr>
      </w:pPr>
      <w:r>
        <w:rPr>
          <w:rFonts w:ascii="Arial" w:cs="Arial" w:eastAsia="Arial" w:hAnsi="Arial"/>
          <w:sz w:val="22"/>
          <w:szCs w:val="22"/>
          <w:color w:val="auto"/>
        </w:rPr>
        <w:t>A discussion of the decision, including an explanation of the basis for disagreeing with or not following the views presented by Claimant to the Plan of health care professionals who are treating the Participant and vocational professionals who have evaluated the Participant; medical or vocational experts whose advice was obtained on behalf of the Plan in connection with the Disability Claim, without regard to whether the advice was relied on in making the determination; and any disability determination made by the Social Security Administration presented to the Plan by Claimant.</w:t>
      </w:r>
    </w:p>
    <w:p>
      <w:pPr>
        <w:spacing w:after="0" w:line="158" w:lineRule="exact"/>
        <w:rPr>
          <w:rFonts w:ascii="Arial" w:cs="Arial" w:eastAsia="Arial" w:hAnsi="Arial"/>
          <w:sz w:val="22"/>
          <w:szCs w:val="22"/>
          <w:color w:val="010000"/>
        </w:rPr>
      </w:pPr>
    </w:p>
    <w:p>
      <w:pPr>
        <w:jc w:val="both"/>
        <w:ind w:left="1300" w:firstLine="1300"/>
        <w:spacing w:after="0" w:line="223" w:lineRule="auto"/>
        <w:tabs>
          <w:tab w:leader="none" w:pos="3154" w:val="left"/>
        </w:tabs>
        <w:numPr>
          <w:ilvl w:val="2"/>
          <w:numId w:val="74"/>
        </w:numPr>
        <w:rPr>
          <w:rFonts w:ascii="Arial" w:cs="Arial" w:eastAsia="Arial" w:hAnsi="Arial"/>
          <w:sz w:val="22"/>
          <w:szCs w:val="22"/>
          <w:color w:val="010000"/>
        </w:rPr>
      </w:pPr>
      <w:r>
        <w:rPr>
          <w:rFonts w:ascii="Arial" w:cs="Arial" w:eastAsia="Arial" w:hAnsi="Arial"/>
          <w:sz w:val="22"/>
          <w:szCs w:val="22"/>
          <w:color w:val="auto"/>
        </w:rPr>
        <w:t>Either the specific internal rules, guidelines, protocols, standards or other similar criteria of the Plan relied on in making the decision, or a statement that such rules, guidelines, protocols, standards or other similar criteria of the Plan do not exist.</w:t>
      </w:r>
    </w:p>
    <w:p>
      <w:pPr>
        <w:spacing w:after="0" w:line="158" w:lineRule="exact"/>
        <w:rPr>
          <w:rFonts w:ascii="Arial" w:cs="Arial" w:eastAsia="Arial" w:hAnsi="Arial"/>
          <w:sz w:val="22"/>
          <w:szCs w:val="22"/>
          <w:color w:val="010000"/>
        </w:rPr>
      </w:pPr>
    </w:p>
    <w:p>
      <w:pPr>
        <w:ind w:left="1300" w:right="20" w:firstLine="1300"/>
        <w:spacing w:after="0" w:line="232" w:lineRule="auto"/>
        <w:tabs>
          <w:tab w:leader="none" w:pos="3127" w:val="left"/>
        </w:tabs>
        <w:numPr>
          <w:ilvl w:val="2"/>
          <w:numId w:val="74"/>
        </w:numPr>
        <w:rPr>
          <w:rFonts w:ascii="Arial" w:cs="Arial" w:eastAsia="Arial" w:hAnsi="Arial"/>
          <w:sz w:val="22"/>
          <w:szCs w:val="22"/>
          <w:color w:val="010000"/>
        </w:rPr>
      </w:pPr>
      <w:r>
        <w:rPr>
          <w:rFonts w:ascii="Arial" w:cs="Arial" w:eastAsia="Arial" w:hAnsi="Arial"/>
          <w:sz w:val="22"/>
          <w:szCs w:val="22"/>
          <w:color w:val="auto"/>
        </w:rPr>
        <w:t>A statement that Claimant may request, free of charge, reasonable access to and copies of all documents, records and other information relevant to the Disability Claim.</w:t>
      </w:r>
    </w:p>
    <w:p>
      <w:pPr>
        <w:spacing w:after="0" w:line="158" w:lineRule="exact"/>
        <w:rPr>
          <w:rFonts w:ascii="Arial" w:cs="Arial" w:eastAsia="Arial" w:hAnsi="Arial"/>
          <w:sz w:val="22"/>
          <w:szCs w:val="22"/>
          <w:color w:val="010000"/>
        </w:rPr>
      </w:pPr>
    </w:p>
    <w:p>
      <w:pPr>
        <w:jc w:val="both"/>
        <w:ind w:left="1300" w:firstLine="652"/>
        <w:spacing w:after="0" w:line="216" w:lineRule="auto"/>
        <w:tabs>
          <w:tab w:leader="none" w:pos="2488" w:val="left"/>
        </w:tabs>
        <w:numPr>
          <w:ilvl w:val="1"/>
          <w:numId w:val="74"/>
        </w:numPr>
        <w:rPr>
          <w:rFonts w:ascii="Arial" w:cs="Arial" w:eastAsia="Arial" w:hAnsi="Arial"/>
          <w:sz w:val="22"/>
          <w:szCs w:val="22"/>
          <w:color w:val="010000"/>
        </w:rPr>
      </w:pPr>
      <w:r>
        <w:rPr>
          <w:rFonts w:ascii="Arial" w:cs="Arial" w:eastAsia="Arial" w:hAnsi="Arial"/>
          <w:sz w:val="22"/>
          <w:szCs w:val="22"/>
          <w:color w:val="auto"/>
        </w:rPr>
        <w:t>Subsequent review of any decision denying a Disability Claim must be conducted by an independent and impartial fiduciary not involved in the initial determination. Claimant shall be notified in writing not later than 45 days after receipt of a request for a review. This 45-day period may be extended for an additional 45 days if special circumstances require the extension. Before the Plan can issue an adverse determination on appeal, Claimant shall be provided, free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158" w:right="339" w:bottom="1440" w:gutter="0" w:footer="0" w:header="0"/>
        </w:sectPr>
      </w:pPr>
    </w:p>
    <w:bookmarkStart w:id="160" w:name="page161"/>
    <w:bookmarkEnd w:id="160"/>
    <w:p>
      <w:pPr>
        <w:jc w:val="both"/>
        <w:ind w:left="1300"/>
        <w:spacing w:after="0" w:line="221" w:lineRule="auto"/>
        <w:rPr>
          <w:sz w:val="20"/>
          <w:szCs w:val="20"/>
          <w:color w:val="auto"/>
        </w:rPr>
      </w:pPr>
      <w:r>
        <w:rPr>
          <w:rFonts w:ascii="Arial" w:cs="Arial" w:eastAsia="Arial" w:hAnsi="Arial"/>
          <w:sz w:val="21"/>
          <w:szCs w:val="21"/>
          <w:color w:val="auto"/>
        </w:rPr>
        <w:t>charge, with any new or additional evidence considered, relied on or generated by the Plan administrator or other Person making the benefit determination (or at the direction of the Plan administrator or such other Person) in connection with the Disability Claim. Such evidence shall be provided to Claimant as soon as possible and sufficiently before the deadline for the notice of adverse determination, to give Claimant a reasonable opportunity to respond. Before the Plan can issue an adverse determination on appeal based on new or additional rationale, Claimant shall be provided, free of charge, with such rationale. The rationale will be provided as soon as possible and sufficiently before the deadline for the notice of adverse determination to give Claimant a reasonable opportunity to respond.</w:t>
      </w:r>
    </w:p>
    <w:p>
      <w:pPr>
        <w:spacing w:after="0" w:line="165" w:lineRule="exact"/>
        <w:rPr>
          <w:sz w:val="20"/>
          <w:szCs w:val="20"/>
          <w:color w:val="auto"/>
        </w:rPr>
      </w:pPr>
    </w:p>
    <w:p>
      <w:pPr>
        <w:jc w:val="both"/>
        <w:ind w:left="1300" w:firstLine="652"/>
        <w:spacing w:after="0" w:line="244" w:lineRule="auto"/>
        <w:tabs>
          <w:tab w:leader="none" w:pos="2489" w:val="left"/>
        </w:tabs>
        <w:numPr>
          <w:ilvl w:val="0"/>
          <w:numId w:val="75"/>
        </w:numPr>
        <w:rPr>
          <w:rFonts w:ascii="Arial" w:cs="Arial" w:eastAsia="Arial" w:hAnsi="Arial"/>
          <w:sz w:val="19"/>
          <w:szCs w:val="19"/>
          <w:color w:val="010000"/>
        </w:rPr>
      </w:pPr>
      <w:r>
        <w:rPr>
          <w:rFonts w:ascii="Arial" w:cs="Arial" w:eastAsia="Arial" w:hAnsi="Arial"/>
          <w:sz w:val="19"/>
          <w:szCs w:val="19"/>
          <w:color w:val="auto"/>
        </w:rPr>
        <w:t>In addition to the information provided for all other claims on appeal, the notice of determination of a Disability Claim appeal must include an explanation of the basis for disagreeing with or not following the views presented by Claimant of health care professionals treating the Participant and vocational professionals who evaluated the Participant, the views of medical or vocational experts whose advice was obtained on behalf of the Plan administrator (regardless of whether the advice was relied upon), and any disability determination of the Social Security Administration presented by Claimant to the Plan administrator. The notice also shall include either the specific internal rules, guidelines, protocols, standards or other similar criteria relied on in making the decision or a statement that no such rules, guidelines, protocols, standards or other similar criteria exist, and a statement informing Claimant of his or her right to bring a civil suit under federal law (and a description of the Plan’s limitation period for doing so, if any).</w:t>
      </w:r>
    </w:p>
    <w:p>
      <w:pPr>
        <w:spacing w:after="0" w:line="14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010000"/>
        </w:rPr>
        <w:t xml:space="preserve">Section 4.4 </w:t>
      </w:r>
      <w:r>
        <w:rPr>
          <w:rFonts w:ascii="Arial" w:cs="Arial" w:eastAsia="Arial" w:hAnsi="Arial"/>
          <w:sz w:val="22"/>
          <w:szCs w:val="22"/>
          <w:b w:val="1"/>
          <w:bCs w:val="1"/>
          <w:color w:val="000000"/>
        </w:rPr>
        <w:t>Administrator’s Authority</w:t>
      </w:r>
      <w:r>
        <w:rPr>
          <w:rFonts w:ascii="Arial" w:cs="Arial" w:eastAsia="Arial" w:hAnsi="Arial"/>
          <w:sz w:val="22"/>
          <w:szCs w:val="22"/>
          <w:color w:val="000000"/>
        </w:rPr>
        <w:t>. As provided in Section 5.1, the Plan Administrator has the discretionary</w:t>
      </w:r>
      <w:r>
        <w:rPr>
          <w:rFonts w:ascii="Arial" w:cs="Arial" w:eastAsia="Arial" w:hAnsi="Arial"/>
          <w:sz w:val="22"/>
          <w:szCs w:val="22"/>
          <w:b w:val="1"/>
          <w:bCs w:val="1"/>
          <w:color w:val="010000"/>
        </w:rPr>
        <w:t xml:space="preserve"> </w:t>
      </w:r>
      <w:r>
        <w:rPr>
          <w:rFonts w:ascii="Arial" w:cs="Arial" w:eastAsia="Arial" w:hAnsi="Arial"/>
          <w:sz w:val="22"/>
          <w:szCs w:val="22"/>
          <w:color w:val="000000"/>
        </w:rPr>
        <w:t>authority to interpret the Plan, make factual findings and determinations and make final decisions with respect to paying claims under the Plan. All determinations of the Plan administrator shall be final, conclusive and binding on all interested parties, unless the actions of the Plan Administrator are arbitrary and capricious.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5</w:t>
      </w:r>
    </w:p>
    <w:p>
      <w:pPr>
        <w:jc w:val="center"/>
        <w:spacing w:after="0"/>
        <w:rPr>
          <w:sz w:val="20"/>
          <w:szCs w:val="20"/>
          <w:color w:val="auto"/>
        </w:rPr>
      </w:pPr>
      <w:r>
        <w:rPr>
          <w:rFonts w:ascii="Arial" w:cs="Arial" w:eastAsia="Arial" w:hAnsi="Arial"/>
          <w:sz w:val="22"/>
          <w:szCs w:val="22"/>
          <w:b w:val="1"/>
          <w:bCs w:val="1"/>
          <w:color w:val="auto"/>
        </w:rPr>
        <w:t>PLAN ADMINISTRATION</w:t>
      </w:r>
    </w:p>
    <w:p>
      <w:pPr>
        <w:spacing w:after="0" w:line="15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010000"/>
        </w:rPr>
        <w:t xml:space="preserve">Section 5.1 </w:t>
      </w:r>
      <w:r>
        <w:rPr>
          <w:rFonts w:ascii="Arial" w:cs="Arial" w:eastAsia="Arial" w:hAnsi="Arial"/>
          <w:sz w:val="19"/>
          <w:szCs w:val="19"/>
          <w:b w:val="1"/>
          <w:bCs w:val="1"/>
          <w:color w:val="000000"/>
        </w:rPr>
        <w:t>In General</w:t>
      </w:r>
      <w:r>
        <w:rPr>
          <w:rFonts w:ascii="Arial" w:cs="Arial" w:eastAsia="Arial" w:hAnsi="Arial"/>
          <w:sz w:val="19"/>
          <w:szCs w:val="19"/>
          <w:color w:val="000000"/>
        </w:rPr>
        <w:t>. The general administration of the Plan and the duty to carry out its provisions shall be vested in</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Administrator, which shall be the “plan administrator” as that term is defined in Section 3(16)(A) of ERISA. The Plan and the severance benefits payable under the Plan shall be administered by the Administrator, which will be the Compensation Committee of the Board or its delegate, unless otherwise appointed from time to time by the Board. The Administrator may, in its discretion, secure the services of other parties, including agents and/or employees to carry out the day-to-day functions necessary to an efficient operation of the Plan. The Administrator’s interpretations, decisions, requests and exercises of power and responsibilities shall not be subject to review by anyone and shall be final, binding, and conclusive upon all Persons. The Administrator shall, in its sole and absolute discretion, have the exclusive right to interpret all of the terms of the Plan, to determine eligibility for coverage and benefits, to make reasonable and uniform rules and regulations required in the administration of the Plan, to resolve disputes as to eligibility, type, or amount of benefits, to correct any errors or omissions in the form or operation of the Plan, to make such other determinations with respect to the Plan, and to exercise such other powers and responsibilities as shall be provided for in the Plan or as shall be necessary or helpful with respect thereto. The Administrator under and pursuant to this Plan shall be the named fiduciary for purposes of Section 402(a) of ERISA with respect to all powers and duties expressly or implicitly assigned to 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158" w:right="339" w:bottom="1440" w:gutter="0" w:footer="0" w:header="0"/>
        </w:sectPr>
      </w:pPr>
    </w:p>
    <w:bookmarkStart w:id="161" w:name="page162"/>
    <w:bookmarkEnd w:id="161"/>
    <w:p>
      <w:pPr>
        <w:jc w:val="both"/>
        <w:ind w:right="20" w:firstLine="648"/>
        <w:spacing w:after="0" w:line="225" w:lineRule="auto"/>
        <w:rPr>
          <w:sz w:val="20"/>
          <w:szCs w:val="20"/>
          <w:color w:val="auto"/>
        </w:rPr>
      </w:pPr>
      <w:r>
        <w:rPr>
          <w:rFonts w:ascii="Arial" w:cs="Arial" w:eastAsia="Arial" w:hAnsi="Arial"/>
          <w:sz w:val="22"/>
          <w:szCs w:val="22"/>
          <w:b w:val="1"/>
          <w:bCs w:val="1"/>
          <w:color w:val="010000"/>
        </w:rPr>
        <w:t xml:space="preserve">Section 5.2 </w:t>
      </w:r>
      <w:r>
        <w:rPr>
          <w:rFonts w:ascii="Arial" w:cs="Arial" w:eastAsia="Arial" w:hAnsi="Arial"/>
          <w:sz w:val="22"/>
          <w:szCs w:val="22"/>
          <w:b w:val="1"/>
          <w:bCs w:val="1"/>
          <w:color w:val="000000"/>
        </w:rPr>
        <w:t>Reimbursement and Compensation</w:t>
      </w:r>
      <w:r>
        <w:rPr>
          <w:rFonts w:ascii="Arial" w:cs="Arial" w:eastAsia="Arial" w:hAnsi="Arial"/>
          <w:sz w:val="22"/>
          <w:szCs w:val="22"/>
          <w:color w:val="000000"/>
        </w:rPr>
        <w:t>. The Administrator shall receive no compensation for its services as</w:t>
      </w:r>
      <w:r>
        <w:rPr>
          <w:rFonts w:ascii="Arial" w:cs="Arial" w:eastAsia="Arial" w:hAnsi="Arial"/>
          <w:sz w:val="22"/>
          <w:szCs w:val="22"/>
          <w:b w:val="1"/>
          <w:bCs w:val="1"/>
          <w:color w:val="010000"/>
        </w:rPr>
        <w:t xml:space="preserve"> </w:t>
      </w:r>
      <w:r>
        <w:rPr>
          <w:rFonts w:ascii="Arial" w:cs="Arial" w:eastAsia="Arial" w:hAnsi="Arial"/>
          <w:sz w:val="22"/>
          <w:szCs w:val="22"/>
          <w:color w:val="000000"/>
        </w:rPr>
        <w:t>Administrator, but it shall be entitled to reimbursement for all sums reasonably and necessarily expended by it in the performance of such duties.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6</w:t>
      </w:r>
    </w:p>
    <w:p>
      <w:pPr>
        <w:jc w:val="center"/>
        <w:spacing w:after="0"/>
        <w:rPr>
          <w:sz w:val="20"/>
          <w:szCs w:val="20"/>
          <w:color w:val="auto"/>
        </w:rPr>
      </w:pPr>
      <w:r>
        <w:rPr>
          <w:rFonts w:ascii="Arial" w:cs="Arial" w:eastAsia="Arial" w:hAnsi="Arial"/>
          <w:sz w:val="22"/>
          <w:szCs w:val="22"/>
          <w:b w:val="1"/>
          <w:bCs w:val="1"/>
          <w:color w:val="auto"/>
        </w:rPr>
        <w:t>AMENDMENT AND TERMINATION</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The Company, by action of the Compensation Committee of its Board, reserves the right to amend or terminate the Plan, without the consent of any Person or entity. However, no such amendment may eliminate the right to receive severance benefits which an Eligible Senior Executive has accrued or become entitled to under Article 2 of the Plan prior to the effective date of such amendments or termination. Such amendment or termination shall be effective when adopted in an instrument in writing, duly executed on behalf of Company. This Plan may not be amended on or following a Change in Control to adversely affect the benefits or rights to benefits (contingent or otherwise) of any Participant under this Plan or terminated on or following a Change in Control until there are no longer any benefits potentially payable under this Plan. Further, a participating Employer may not terminate its participation in this Plan on or following a Change in Control unless and until it no longer employs any Participants and has otherwise satisfied its obligations to pay benefits under this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7</w:t>
      </w:r>
    </w:p>
    <w:p>
      <w:pPr>
        <w:jc w:val="center"/>
        <w:spacing w:after="0"/>
        <w:rPr>
          <w:sz w:val="20"/>
          <w:szCs w:val="20"/>
          <w:color w:val="auto"/>
        </w:rPr>
      </w:pPr>
      <w:r>
        <w:rPr>
          <w:rFonts w:ascii="Arial" w:cs="Arial" w:eastAsia="Arial" w:hAnsi="Arial"/>
          <w:sz w:val="22"/>
          <w:szCs w:val="22"/>
          <w:b w:val="1"/>
          <w:bCs w:val="1"/>
          <w:color w:val="auto"/>
        </w:rPr>
        <w:t>CODE SECTION 409A</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010000"/>
        </w:rPr>
        <w:t xml:space="preserve">Section 7.1 </w:t>
      </w:r>
      <w:r>
        <w:rPr>
          <w:rFonts w:ascii="Arial" w:cs="Arial" w:eastAsia="Arial" w:hAnsi="Arial"/>
          <w:sz w:val="22"/>
          <w:szCs w:val="22"/>
          <w:b w:val="1"/>
          <w:bCs w:val="1"/>
          <w:color w:val="000000"/>
        </w:rPr>
        <w:t>Deferred Compensation Exceptions</w:t>
      </w:r>
      <w:r>
        <w:rPr>
          <w:rFonts w:ascii="Arial" w:cs="Arial" w:eastAsia="Arial" w:hAnsi="Arial"/>
          <w:sz w:val="22"/>
          <w:szCs w:val="22"/>
          <w:color w:val="000000"/>
        </w:rPr>
        <w:t>. Payments under this Plan will be administered and interpreted to</w:t>
      </w:r>
      <w:r>
        <w:rPr>
          <w:rFonts w:ascii="Arial" w:cs="Arial" w:eastAsia="Arial" w:hAnsi="Arial"/>
          <w:sz w:val="22"/>
          <w:szCs w:val="22"/>
          <w:b w:val="1"/>
          <w:bCs w:val="1"/>
          <w:color w:val="010000"/>
        </w:rPr>
        <w:t xml:space="preserve"> </w:t>
      </w:r>
      <w:r>
        <w:rPr>
          <w:rFonts w:ascii="Arial" w:cs="Arial" w:eastAsia="Arial" w:hAnsi="Arial"/>
          <w:sz w:val="22"/>
          <w:szCs w:val="22"/>
          <w:color w:val="000000"/>
        </w:rPr>
        <w:t>maximize the short-term deferral exception to and the involuntary separation pay exception under Section 409A of the Code and the regulations thereunder (collectively “</w:t>
      </w:r>
      <w:r>
        <w:rPr>
          <w:rFonts w:ascii="Arial" w:cs="Arial" w:eastAsia="Arial" w:hAnsi="Arial"/>
          <w:sz w:val="22"/>
          <w:szCs w:val="22"/>
          <w:b w:val="1"/>
          <w:bCs w:val="1"/>
          <w:i w:val="1"/>
          <w:iCs w:val="1"/>
          <w:color w:val="000000"/>
        </w:rPr>
        <w:t>Section 409A</w:t>
      </w:r>
      <w:r>
        <w:rPr>
          <w:rFonts w:ascii="Arial" w:cs="Arial" w:eastAsia="Arial" w:hAnsi="Arial"/>
          <w:sz w:val="22"/>
          <w:szCs w:val="22"/>
          <w:color w:val="000000"/>
        </w:rPr>
        <w:t>”). The portion of any payment under this Plan that is paid within the short-term deferral period (within the meaning of Code Section 409A and Treas. Regs. §1.409A-1(b)(4)) or that is paid within the involuntary separation pay safe harbor (as described in Code Section 409A and Treas. Regs. §1.409A-1(b)(9)(iii)) will not be treated as nonqualified deferred compensation and will not be aggregated with other nonqualified deferred compensation plans or payments.</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010000"/>
        </w:rPr>
        <w:t xml:space="preserve">Section 7.2 </w:t>
      </w:r>
      <w:r>
        <w:rPr>
          <w:rFonts w:ascii="Arial" w:cs="Arial" w:eastAsia="Arial" w:hAnsi="Arial"/>
          <w:sz w:val="19"/>
          <w:szCs w:val="19"/>
          <w:b w:val="1"/>
          <w:bCs w:val="1"/>
          <w:color w:val="000000"/>
        </w:rPr>
        <w:t>Separate Payments and Payment Timing</w:t>
      </w:r>
      <w:r>
        <w:rPr>
          <w:rFonts w:ascii="Arial" w:cs="Arial" w:eastAsia="Arial" w:hAnsi="Arial"/>
          <w:sz w:val="19"/>
          <w:szCs w:val="19"/>
          <w:color w:val="000000"/>
        </w:rPr>
        <w:t>. Any payment or installment made under this Plan, any amount</w:t>
      </w:r>
      <w:r>
        <w:rPr>
          <w:rFonts w:ascii="Arial" w:cs="Arial" w:eastAsia="Arial" w:hAnsi="Arial"/>
          <w:sz w:val="19"/>
          <w:szCs w:val="19"/>
          <w:b w:val="1"/>
          <w:bCs w:val="1"/>
          <w:color w:val="010000"/>
        </w:rPr>
        <w:t xml:space="preserve"> </w:t>
      </w:r>
      <w:r>
        <w:rPr>
          <w:rFonts w:ascii="Arial" w:cs="Arial" w:eastAsia="Arial" w:hAnsi="Arial"/>
          <w:sz w:val="19"/>
          <w:szCs w:val="19"/>
          <w:color w:val="000000"/>
        </w:rPr>
        <w:t>that is paid as a short-term deferral, within the meaning of Treas. Regs. §1.409A-1(b)(4), and any payment within the involuntary separation pay safe harbor exception in Treas. Regs. §1.409A-1(b)(9)(iii) will be treated as separate payments. Executive will not, directly or indirectly, designate the taxable year of a payment made under this Plan, and if the release period discussed in Section 2.4 above spans two (2) calendar years, payment of any amounts that are subject to Section 409A shall be paid in the later calendar year. Payment dates provided for in this Plan will be deemed to incorporate grace periods that are treated as made upon a designated payment date within the meaning of Code Section 409A and Treas. Regs. §1.409A-3(d). The Company does not guaranty or warrant the tax consequences of this Plan and, except as specifically provided to the contrary in this Plan, each Eligible Senior Executive, in all cases, will be liable for any taxes due as a result of this Plan. Neither the Company nor any of its Affiliates shall have any obligation to indemnify or otherwise hold any Eligible Senior Executive harmless from any or all such taxes, interest or penalties, or liability for any damages related thereto.</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010000"/>
        </w:rPr>
        <w:t xml:space="preserve">Section 7.3 </w:t>
      </w:r>
      <w:r>
        <w:rPr>
          <w:rFonts w:ascii="Arial" w:cs="Arial" w:eastAsia="Arial" w:hAnsi="Arial"/>
          <w:sz w:val="19"/>
          <w:szCs w:val="19"/>
          <w:b w:val="1"/>
          <w:bCs w:val="1"/>
          <w:color w:val="000000"/>
        </w:rPr>
        <w:t>General Section 409A Provisions</w:t>
      </w:r>
      <w:r>
        <w:rPr>
          <w:rFonts w:ascii="Arial" w:cs="Arial" w:eastAsia="Arial" w:hAnsi="Arial"/>
          <w:sz w:val="19"/>
          <w:szCs w:val="19"/>
          <w:color w:val="000000"/>
        </w:rPr>
        <w:t>. If for any reason, the short-term deferral or involuntary separation pay</w:t>
      </w:r>
      <w:r>
        <w:rPr>
          <w:rFonts w:ascii="Arial" w:cs="Arial" w:eastAsia="Arial" w:hAnsi="Arial"/>
          <w:sz w:val="19"/>
          <w:szCs w:val="19"/>
          <w:b w:val="1"/>
          <w:bCs w:val="1"/>
          <w:color w:val="010000"/>
        </w:rPr>
        <w:t xml:space="preserve"> </w:t>
      </w:r>
      <w:r>
        <w:rPr>
          <w:rFonts w:ascii="Arial" w:cs="Arial" w:eastAsia="Arial" w:hAnsi="Arial"/>
          <w:sz w:val="19"/>
          <w:szCs w:val="19"/>
          <w:color w:val="000000"/>
        </w:rPr>
        <w:t>plan exception is inapplicable, payments and benefits payable to any Participant under this Plan are intended to comply with the requirements of Section 409A. To the extent the payments and benefits under this Plan are subject to Section 409A, this Plan will be interpreted, construed and administered in a manner that satisfies the requirements of Sections 409A(a)(2), (3) and (4) of the Code and the Treasury Regulations thereunder (and any applicable transition relief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152" w:right="339" w:bottom="1440" w:gutter="0" w:footer="0" w:header="0"/>
        </w:sectPr>
      </w:pPr>
    </w:p>
    <w:bookmarkStart w:id="162" w:name="page163"/>
    <w:bookmarkEnd w:id="162"/>
    <w:p>
      <w:pPr>
        <w:jc w:val="both"/>
        <w:ind w:firstLine="1304"/>
        <w:spacing w:after="0" w:line="222" w:lineRule="auto"/>
        <w:tabs>
          <w:tab w:leader="none" w:pos="1806" w:val="left"/>
        </w:tabs>
        <w:numPr>
          <w:ilvl w:val="0"/>
          <w:numId w:val="76"/>
        </w:numPr>
        <w:rPr>
          <w:rFonts w:ascii="Arial" w:cs="Arial" w:eastAsia="Arial" w:hAnsi="Arial"/>
          <w:sz w:val="21"/>
          <w:szCs w:val="21"/>
          <w:color w:val="010000"/>
        </w:rPr>
      </w:pPr>
      <w:r>
        <w:rPr>
          <w:rFonts w:ascii="Arial" w:cs="Arial" w:eastAsia="Arial" w:hAnsi="Arial"/>
          <w:sz w:val="21"/>
          <w:szCs w:val="21"/>
          <w:color w:val="auto"/>
        </w:rPr>
        <w:t>If the Company determines that any payments or benefits payable under this Plan intended to comply with Sections 409A(a)(2), (3) and (4) of the Code do not comply with Section 409A of the Code, the Company may amend this Plan, or take such other actions as the Company deems reasonably necessary or appropriate, to comply with the requirements of Section 409A of the Code, the Treasury Regulations thereunder (and any applicable relief provisions) while preserving the economic agreement of the parties. If any provision of the Plan would cause such payments or benefits to fail to so comply, such provision will not be effective and will be null and void with respect to such payments or benefits, and such provision will otherwise remain in full force and effect.</w:t>
      </w:r>
    </w:p>
    <w:p>
      <w:pPr>
        <w:spacing w:after="0" w:line="164" w:lineRule="exact"/>
        <w:rPr>
          <w:rFonts w:ascii="Arial" w:cs="Arial" w:eastAsia="Arial" w:hAnsi="Arial"/>
          <w:sz w:val="21"/>
          <w:szCs w:val="21"/>
          <w:color w:val="010000"/>
        </w:rPr>
      </w:pPr>
    </w:p>
    <w:p>
      <w:pPr>
        <w:jc w:val="both"/>
        <w:ind w:firstLine="1304"/>
        <w:spacing w:after="0" w:line="252" w:lineRule="auto"/>
        <w:tabs>
          <w:tab w:leader="none" w:pos="1939"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All payments considered nonqualified deferred compensation under Section 409A and the regulations thereunder will be made on the date(s) provided herein and no request to accelerate or defer any payment under this Section will be considered or approved for any reason whatsoever, except as permitted under Section 409A. Notwithstanding the foregoing, amounts payable hereunder which are not nonqualified deferred compensation, or which may be accelerated pursuant to Section 409A, such as distributions for applicable tax payments, may be accelerated, but not deferred, at the sole discretion of Company.</w:t>
      </w:r>
    </w:p>
    <w:p>
      <w:pPr>
        <w:spacing w:after="0" w:line="148" w:lineRule="exact"/>
        <w:rPr>
          <w:rFonts w:ascii="Arial" w:cs="Arial" w:eastAsia="Arial" w:hAnsi="Arial"/>
          <w:sz w:val="19"/>
          <w:szCs w:val="19"/>
          <w:color w:val="010000"/>
        </w:rPr>
      </w:pPr>
    </w:p>
    <w:p>
      <w:pPr>
        <w:jc w:val="both"/>
        <w:ind w:right="20" w:firstLine="1304"/>
        <w:spacing w:after="0" w:line="223" w:lineRule="auto"/>
        <w:tabs>
          <w:tab w:leader="none" w:pos="1752" w:val="left"/>
        </w:tabs>
        <w:numPr>
          <w:ilvl w:val="0"/>
          <w:numId w:val="76"/>
        </w:numPr>
        <w:rPr>
          <w:rFonts w:ascii="Arial" w:cs="Arial" w:eastAsia="Arial" w:hAnsi="Arial"/>
          <w:sz w:val="22"/>
          <w:szCs w:val="22"/>
          <w:color w:val="010000"/>
        </w:rPr>
      </w:pPr>
      <w:r>
        <w:rPr>
          <w:rFonts w:ascii="Arial" w:cs="Arial" w:eastAsia="Arial" w:hAnsi="Arial"/>
          <w:sz w:val="22"/>
          <w:szCs w:val="22"/>
          <w:color w:val="auto"/>
        </w:rPr>
        <w:t>To the extent required to comply with Section 409A, all references in this Plan to termination of employment or termination mean an Employee’s “separation from service” as that term is defined in Section 1.409A-1(h) of the Treasury Regulations.</w:t>
      </w:r>
    </w:p>
    <w:p>
      <w:pPr>
        <w:spacing w:after="0" w:line="15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7.4</w:t>
      </w:r>
      <w:r>
        <w:rPr>
          <w:sz w:val="20"/>
          <w:szCs w:val="20"/>
          <w:color w:val="auto"/>
        </w:rPr>
        <w:tab/>
      </w:r>
      <w:r>
        <w:rPr>
          <w:rFonts w:ascii="Arial" w:cs="Arial" w:eastAsia="Arial" w:hAnsi="Arial"/>
          <w:sz w:val="19"/>
          <w:szCs w:val="19"/>
          <w:b w:val="1"/>
          <w:bCs w:val="1"/>
          <w:color w:val="auto"/>
        </w:rPr>
        <w:t>Specified Employee Status</w:t>
      </w:r>
      <w:r>
        <w:rPr>
          <w:rFonts w:ascii="Arial" w:cs="Arial" w:eastAsia="Arial" w:hAnsi="Arial"/>
          <w:sz w:val="19"/>
          <w:szCs w:val="19"/>
          <w:color w:val="auto"/>
        </w:rPr>
        <w:t>.</w:t>
      </w:r>
    </w:p>
    <w:p>
      <w:pPr>
        <w:spacing w:after="0" w:line="185" w:lineRule="exact"/>
        <w:rPr>
          <w:sz w:val="20"/>
          <w:szCs w:val="20"/>
          <w:color w:val="auto"/>
        </w:rPr>
      </w:pPr>
    </w:p>
    <w:p>
      <w:pPr>
        <w:jc w:val="both"/>
        <w:ind w:firstLine="1304"/>
        <w:spacing w:after="0" w:line="221" w:lineRule="auto"/>
        <w:tabs>
          <w:tab w:leader="none" w:pos="1779"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If a Participant is a specified employee (within the meaning of Code Section 409A) on the date of his or her separation from service, any payments made with respect to such separation from service under this Plan, and other payments or benefits under this Plan that are subject to Section 409A of the Code, will be delayed in order to comply with Section 409A(a)(2) (B)(i) of the Code, and such payments or benefits will be paid or distributed to you during the five-day period commencing on the earlier of: (i) the expiration of the six-month period measured from the date of Participant’s separation from service, or (ii) the date of Participant’s death. Upon the expiration of the applicable six-month period under Section 409A(a)(2)(B)(i) of the Code, all payments deferred pursuant to this Section 7.4 will be paid to Executive (or Executive’s estate, in the event of Executive’s death) in a lump sum payment. Any remaining payments and benefits due under the Plan will be paid as otherwise provided in the Plan.</w:t>
      </w:r>
    </w:p>
    <w:p>
      <w:pPr>
        <w:spacing w:after="0" w:line="158" w:lineRule="exact"/>
        <w:rPr>
          <w:rFonts w:ascii="Arial" w:cs="Arial" w:eastAsia="Arial" w:hAnsi="Arial"/>
          <w:sz w:val="21"/>
          <w:szCs w:val="21"/>
          <w:color w:val="010000"/>
        </w:rPr>
      </w:pPr>
    </w:p>
    <w:p>
      <w:pPr>
        <w:jc w:val="both"/>
        <w:ind w:firstLine="1304"/>
        <w:spacing w:after="0" w:line="222" w:lineRule="auto"/>
        <w:tabs>
          <w:tab w:leader="none" w:pos="1858" w:val="left"/>
        </w:tabs>
        <w:numPr>
          <w:ilvl w:val="0"/>
          <w:numId w:val="77"/>
        </w:numPr>
        <w:rPr>
          <w:rFonts w:ascii="Arial" w:cs="Arial" w:eastAsia="Arial" w:hAnsi="Arial"/>
          <w:sz w:val="21"/>
          <w:szCs w:val="21"/>
          <w:color w:val="010000"/>
        </w:rPr>
      </w:pPr>
      <w:r>
        <w:rPr>
          <w:rFonts w:ascii="Arial" w:cs="Arial" w:eastAsia="Arial" w:hAnsi="Arial"/>
          <w:sz w:val="21"/>
          <w:szCs w:val="21"/>
          <w:color w:val="auto"/>
        </w:rPr>
        <w:t>To minimize the risk that the six-month delay pursuant to the preceding paragraph will disrupt coverage under any employee benefit plan in which Executive is entitled to participate following the termination of employment, payments that are not considered deferred compensation because they are paid as a short-term deferral or are within the involuntary separation pay safe harbor exception that are made during the six months following the termination of your employment shall first be applied to cover any costs relating to such continued employee benefits plan coverage, but only to the extent that such coverage would constitute deferred compensation for purposes of Section 409A, and thereafter shall be made in respect of other amounts or benefits owed to you.</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8</w:t>
      </w:r>
    </w:p>
    <w:p>
      <w:pPr>
        <w:jc w:val="center"/>
        <w:spacing w:after="0"/>
        <w:rPr>
          <w:sz w:val="20"/>
          <w:szCs w:val="20"/>
          <w:color w:val="auto"/>
        </w:rPr>
      </w:pPr>
      <w:r>
        <w:rPr>
          <w:rFonts w:ascii="Arial" w:cs="Arial" w:eastAsia="Arial" w:hAnsi="Arial"/>
          <w:sz w:val="22"/>
          <w:szCs w:val="22"/>
          <w:b w:val="1"/>
          <w:bCs w:val="1"/>
          <w:color w:val="auto"/>
        </w:rPr>
        <w:t>MISCELLANEOUS INFORMATION</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b w:val="1"/>
          <w:bCs w:val="1"/>
          <w:color w:val="010000"/>
        </w:rPr>
        <w:t xml:space="preserve">Section 8.1 </w:t>
      </w:r>
      <w:r>
        <w:rPr>
          <w:rFonts w:ascii="Arial" w:cs="Arial" w:eastAsia="Arial" w:hAnsi="Arial"/>
          <w:sz w:val="21"/>
          <w:szCs w:val="21"/>
          <w:b w:val="1"/>
          <w:bCs w:val="1"/>
          <w:color w:val="000000"/>
        </w:rPr>
        <w:t>Other Participating Employers</w:t>
      </w:r>
      <w:r>
        <w:rPr>
          <w:rFonts w:ascii="Arial" w:cs="Arial" w:eastAsia="Arial" w:hAnsi="Arial"/>
          <w:sz w:val="21"/>
          <w:szCs w:val="21"/>
          <w:color w:val="000000"/>
        </w:rPr>
        <w:t>. The Company is the Plan sponsor and Diamondback E&amp;P LLC is an</w:t>
      </w:r>
      <w:r>
        <w:rPr>
          <w:rFonts w:ascii="Arial" w:cs="Arial" w:eastAsia="Arial" w:hAnsi="Arial"/>
          <w:sz w:val="21"/>
          <w:szCs w:val="21"/>
          <w:b w:val="1"/>
          <w:bCs w:val="1"/>
          <w:color w:val="010000"/>
        </w:rPr>
        <w:t xml:space="preserve"> </w:t>
      </w:r>
      <w:r>
        <w:rPr>
          <w:rFonts w:ascii="Arial" w:cs="Arial" w:eastAsia="Arial" w:hAnsi="Arial"/>
          <w:sz w:val="21"/>
          <w:szCs w:val="21"/>
          <w:color w:val="000000"/>
        </w:rPr>
        <w:t>adopting Employer under this Plan. It is contemplated that other subsidiaries and Affiliates of the Company may adopt this Plan, with the approval of the Compensation Committee of the Board, and thereby become an Employer hereunder. Any such entity, whether or not presently existing, may become an Employer by appropriate action of its board of directors or non-corporate counterpart. The provisions of this Plan will apply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158" w:right="339" w:bottom="1440" w:gutter="0" w:footer="0" w:header="0"/>
        </w:sectPr>
      </w:pPr>
    </w:p>
    <w:bookmarkStart w:id="163" w:name="page164"/>
    <w:bookmarkEnd w:id="163"/>
    <w:p>
      <w:pPr>
        <w:jc w:val="both"/>
        <w:spacing w:after="0" w:line="246" w:lineRule="auto"/>
        <w:rPr>
          <w:sz w:val="20"/>
          <w:szCs w:val="20"/>
          <w:color w:val="auto"/>
        </w:rPr>
      </w:pPr>
      <w:r>
        <w:rPr>
          <w:rFonts w:ascii="Arial" w:cs="Arial" w:eastAsia="Arial" w:hAnsi="Arial"/>
          <w:sz w:val="19"/>
          <w:szCs w:val="19"/>
          <w:color w:val="auto"/>
        </w:rPr>
        <w:t>and equally to each Employer and its employees in the same manner as is expressly provided for the Company and its employees, except that the determination of whether a Change in Control has occurred will be made based solely on the Company. Transfer of employment among the Company and other participating Employers will not be considered an Eligible Termination hereunder unless such transfer otherwise constitutes a Good Reason event. A sale of assets or other transaction where a Participant’s employment is transferred to a successor or acquiring entity and there is no loss of employment will not be considered an Eligible Termination hereunder unless such transfer otherwise constitutes a Good Reason event. Subject to the provisions of Article 6, any participating Employer may, by appropriate action of its board of directors or non-corporate counterpart, terminate its participation in this Plan. Amounts payable hereunder will be paid by the Employer that employs the particular Participant.</w:t>
      </w:r>
    </w:p>
    <w:p>
      <w:pPr>
        <w:spacing w:after="0" w:line="14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b w:val="1"/>
          <w:bCs w:val="1"/>
          <w:color w:val="010000"/>
        </w:rPr>
        <w:t xml:space="preserve">Section 8.2 </w:t>
      </w:r>
      <w:r>
        <w:rPr>
          <w:rFonts w:ascii="Arial" w:cs="Arial" w:eastAsia="Arial" w:hAnsi="Arial"/>
          <w:sz w:val="19"/>
          <w:szCs w:val="19"/>
          <w:b w:val="1"/>
          <w:bCs w:val="1"/>
          <w:color w:val="000000"/>
        </w:rPr>
        <w:t>Limitation of Rights</w:t>
      </w:r>
      <w:r>
        <w:rPr>
          <w:rFonts w:ascii="Arial" w:cs="Arial" w:eastAsia="Arial" w:hAnsi="Arial"/>
          <w:sz w:val="19"/>
          <w:szCs w:val="19"/>
          <w:color w:val="000000"/>
        </w:rPr>
        <w:t>. Neither the establishment of the Plan nor any amendment thereof, nor the payment of</w:t>
      </w:r>
      <w:r>
        <w:rPr>
          <w:rFonts w:ascii="Arial" w:cs="Arial" w:eastAsia="Arial" w:hAnsi="Arial"/>
          <w:sz w:val="19"/>
          <w:szCs w:val="19"/>
          <w:b w:val="1"/>
          <w:bCs w:val="1"/>
          <w:color w:val="010000"/>
        </w:rPr>
        <w:t xml:space="preserve"> </w:t>
      </w:r>
      <w:r>
        <w:rPr>
          <w:rFonts w:ascii="Arial" w:cs="Arial" w:eastAsia="Arial" w:hAnsi="Arial"/>
          <w:sz w:val="19"/>
          <w:szCs w:val="19"/>
          <w:color w:val="000000"/>
        </w:rPr>
        <w:t>any benefits, will be construed as giving to any Participant, or other Person any legal or equitable right against Company, any of its Affiliates, or any Person acting on behalf of Company or any of its Affiliates, except as expressly provided herein. Likewise, nothing appearing in or done pursuant to the Plan will be held or construed to create a contract of employment with any Participant or to be consideration for the employment of any Participant. Nothing contained herein will be deemed to (a) give any person the right to be retained in the employ of the Employer, (b) restrict the right of the Employer to discharge any Participant at any time, (c) restrict any Participant’s right to terminate employment at any time, or (d) change the “at will” nature of the employment relationship between the Participant and the Employer.</w:t>
      </w:r>
    </w:p>
    <w:p>
      <w:pPr>
        <w:spacing w:after="0" w:line="15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1"/>
          <w:szCs w:val="21"/>
          <w:b w:val="1"/>
          <w:bCs w:val="1"/>
          <w:color w:val="010000"/>
        </w:rPr>
        <w:t xml:space="preserve">Section 8.3 </w:t>
      </w:r>
      <w:r>
        <w:rPr>
          <w:rFonts w:ascii="Arial" w:cs="Arial" w:eastAsia="Arial" w:hAnsi="Arial"/>
          <w:sz w:val="21"/>
          <w:szCs w:val="21"/>
          <w:b w:val="1"/>
          <w:bCs w:val="1"/>
          <w:color w:val="000000"/>
        </w:rPr>
        <w:t>Governing Law</w:t>
      </w:r>
      <w:r>
        <w:rPr>
          <w:rFonts w:ascii="Arial" w:cs="Arial" w:eastAsia="Arial" w:hAnsi="Arial"/>
          <w:sz w:val="21"/>
          <w:szCs w:val="21"/>
          <w:color w:val="000000"/>
        </w:rPr>
        <w:t>. The provisions of the Plan shall be construed, enforced and administered according to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laws of the State of Delaware, to the extent not preempted by ERISA and any otherwise applicable federal law.</w:t>
      </w:r>
    </w:p>
    <w:p>
      <w:pPr>
        <w:spacing w:after="0" w:line="1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b w:val="1"/>
          <w:bCs w:val="1"/>
          <w:color w:val="010000"/>
        </w:rPr>
        <w:t xml:space="preserve">Section 8.4 </w:t>
      </w:r>
      <w:r>
        <w:rPr>
          <w:rFonts w:ascii="Arial" w:cs="Arial" w:eastAsia="Arial" w:hAnsi="Arial"/>
          <w:sz w:val="19"/>
          <w:szCs w:val="19"/>
          <w:b w:val="1"/>
          <w:bCs w:val="1"/>
          <w:color w:val="000000"/>
        </w:rPr>
        <w:t>Jurisdiction and Venue</w:t>
      </w:r>
      <w:r>
        <w:rPr>
          <w:rFonts w:ascii="Arial" w:cs="Arial" w:eastAsia="Arial" w:hAnsi="Arial"/>
          <w:sz w:val="19"/>
          <w:szCs w:val="19"/>
          <w:color w:val="000000"/>
        </w:rPr>
        <w:t>. Exclusive jurisdiction and venue of all disputes arising out of or relating to this</w:t>
      </w:r>
      <w:r>
        <w:rPr>
          <w:rFonts w:ascii="Arial" w:cs="Arial" w:eastAsia="Arial" w:hAnsi="Arial"/>
          <w:sz w:val="19"/>
          <w:szCs w:val="19"/>
          <w:b w:val="1"/>
          <w:bCs w:val="1"/>
          <w:color w:val="010000"/>
        </w:rPr>
        <w:t xml:space="preserve"> </w:t>
      </w:r>
      <w:r>
        <w:rPr>
          <w:rFonts w:ascii="Arial" w:cs="Arial" w:eastAsia="Arial" w:hAnsi="Arial"/>
          <w:sz w:val="19"/>
          <w:szCs w:val="19"/>
          <w:color w:val="000000"/>
        </w:rPr>
        <w:t>plan shall be in any court of appropriate jurisdiction in Midland, Texas, or if such courts do not have jurisdiction or will not accept jurisdiction, in any court of general jurisdiction in the State of Texas. All parties hereby irrevocably consent to the exclusive jurisdiction by any such court with respect to any such proceeding and hereby irrevocably waive, and agree not to assert, by way of motion, as a defense, counterclaim or otherwise (a) any claim that he, she or it is not personally subject to the jurisdiction of the above-named courts for any reason other than by failure to lawfully serve process, (b) that he, she or it or their property is exempt or immune from the jurisdiction of any such court or from any legal process commenced in such courts, and</w:t>
      </w:r>
    </w:p>
    <w:p>
      <w:pPr>
        <w:jc w:val="both"/>
        <w:ind w:firstLine="8"/>
        <w:spacing w:after="0" w:line="214" w:lineRule="auto"/>
        <w:tabs>
          <w:tab w:leader="none" w:pos="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the fullest extent permitted by applicable law, that (i) the action or proceeding is brought in an inconvenient forum, (ii) the venue of such action or proceeding is improper and (iii) this Plan or the subject matter thereof may not be enforced in or by such courts. The provisions of this Section 8.4 shall survive and remain in effect until all obligations are satisfied, notwithstanding any termination of the Plan.</w:t>
      </w:r>
    </w:p>
    <w:p>
      <w:pPr>
        <w:spacing w:after="0" w:line="15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b w:val="1"/>
          <w:bCs w:val="1"/>
          <w:color w:val="010000"/>
        </w:rPr>
        <w:t xml:space="preserve">Section 8.5 </w:t>
      </w:r>
      <w:r>
        <w:rPr>
          <w:rFonts w:ascii="Arial" w:cs="Arial" w:eastAsia="Arial" w:hAnsi="Arial"/>
          <w:sz w:val="19"/>
          <w:szCs w:val="19"/>
          <w:b w:val="1"/>
          <w:bCs w:val="1"/>
          <w:color w:val="000000"/>
        </w:rPr>
        <w:t>Waiver of Trial by Jury</w:t>
      </w:r>
      <w:r>
        <w:rPr>
          <w:rFonts w:ascii="Arial" w:cs="Arial" w:eastAsia="Arial" w:hAnsi="Arial"/>
          <w:sz w:val="19"/>
          <w:szCs w:val="19"/>
          <w:color w:val="000000"/>
        </w:rPr>
        <w:t>. To the extent not prohibited by applicable law, each Participant under this Plan</w:t>
      </w:r>
      <w:r>
        <w:rPr>
          <w:rFonts w:ascii="Arial" w:cs="Arial" w:eastAsia="Arial" w:hAnsi="Arial"/>
          <w:sz w:val="19"/>
          <w:szCs w:val="19"/>
          <w:b w:val="1"/>
          <w:bCs w:val="1"/>
          <w:color w:val="010000"/>
        </w:rPr>
        <w:t xml:space="preserve"> </w:t>
      </w:r>
      <w:r>
        <w:rPr>
          <w:rFonts w:ascii="Arial" w:cs="Arial" w:eastAsia="Arial" w:hAnsi="Arial"/>
          <w:sz w:val="19"/>
          <w:szCs w:val="19"/>
          <w:color w:val="000000"/>
        </w:rPr>
        <w:t>hereby waives, and covenants that he or she shall not assert (whether as plaintiff, defendant or otherwise), their respective right to a jury trial of any permitted claim or cause of action arising out of this Plan, any of the transactions contemplated hereby, or any dealings between any of the parties hereto relating to the subject matter of this Plan or any of the agreements or transactions contemplated hereby. The scope of this waiver and covenant is intended to be all encompassing of any and all disputes that may be filed in any court and that relate to the subject matter of this Plan or any of the transactions contemplated hereby, including, ERISA claims, contract claims, tort claims and all other common law and statutory claims. This waiver and covenant is irrevocable and shall apply to any subsequent amendments, supplements or other modifications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158" w:right="339" w:bottom="1440" w:gutter="0" w:footer="0" w:header="0"/>
        </w:sectPr>
      </w:pPr>
    </w:p>
    <w:bookmarkStart w:id="164" w:name="page165"/>
    <w:bookmarkEnd w:id="164"/>
    <w:p>
      <w:pPr>
        <w:jc w:val="both"/>
        <w:ind w:firstLine="648"/>
        <w:spacing w:after="0" w:line="246" w:lineRule="auto"/>
        <w:rPr>
          <w:sz w:val="20"/>
          <w:szCs w:val="20"/>
          <w:color w:val="auto"/>
        </w:rPr>
      </w:pPr>
      <w:r>
        <w:rPr>
          <w:rFonts w:ascii="Arial" w:cs="Arial" w:eastAsia="Arial" w:hAnsi="Arial"/>
          <w:sz w:val="19"/>
          <w:szCs w:val="19"/>
          <w:b w:val="1"/>
          <w:bCs w:val="1"/>
          <w:color w:val="010000"/>
        </w:rPr>
        <w:t xml:space="preserve">Section 8.6 </w:t>
      </w:r>
      <w:r>
        <w:rPr>
          <w:rFonts w:ascii="Arial" w:cs="Arial" w:eastAsia="Arial" w:hAnsi="Arial"/>
          <w:sz w:val="19"/>
          <w:szCs w:val="19"/>
          <w:b w:val="1"/>
          <w:bCs w:val="1"/>
          <w:color w:val="000000"/>
        </w:rPr>
        <w:t>No Assignment</w:t>
      </w:r>
      <w:r>
        <w:rPr>
          <w:rFonts w:ascii="Arial" w:cs="Arial" w:eastAsia="Arial" w:hAnsi="Arial"/>
          <w:sz w:val="19"/>
          <w:szCs w:val="19"/>
          <w:color w:val="000000"/>
        </w:rPr>
        <w:t>. Executives will not have any right to pledge, hypothecate, anticipate or assign benefits or</w:t>
      </w:r>
      <w:r>
        <w:rPr>
          <w:rFonts w:ascii="Arial" w:cs="Arial" w:eastAsia="Arial" w:hAnsi="Arial"/>
          <w:sz w:val="19"/>
          <w:szCs w:val="19"/>
          <w:b w:val="1"/>
          <w:bCs w:val="1"/>
          <w:color w:val="010000"/>
        </w:rPr>
        <w:t xml:space="preserve"> </w:t>
      </w:r>
      <w:r>
        <w:rPr>
          <w:rFonts w:ascii="Arial" w:cs="Arial" w:eastAsia="Arial" w:hAnsi="Arial"/>
          <w:sz w:val="19"/>
          <w:szCs w:val="19"/>
          <w:color w:val="000000"/>
        </w:rPr>
        <w:t>rights under this Plan, except by will or the laws of descent and distribution. The provisions of this Plan shall inure to the benefit of and be enforceable by a Participant, his or her Personal or legal representatives, executors, administrators, successors, heirs, distributees, devisees and legatees. If a Participant should die before severance benefit payments hereunder have been paid in full, the remaining severance pay benefit payments shall be paid in accordance with the terms of this Plan to his or her surviving spouse, or if there is no surviving spouse to the Participant’s surviving children or, if there are no surviving children, to the Participant’s estate. The provisions of this Plan, including the Participant covenants herein, shall inure to the benefit of and be enforceable by the Company and its Affiliates, successors and assigns.</w:t>
      </w:r>
    </w:p>
    <w:p>
      <w:pPr>
        <w:spacing w:after="0" w:line="15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010000"/>
        </w:rPr>
        <w:t xml:space="preserve">Section 8.7 </w:t>
      </w:r>
      <w:r>
        <w:rPr>
          <w:rFonts w:ascii="Arial" w:cs="Arial" w:eastAsia="Arial" w:hAnsi="Arial"/>
          <w:sz w:val="22"/>
          <w:szCs w:val="22"/>
          <w:b w:val="1"/>
          <w:bCs w:val="1"/>
          <w:color w:val="000000"/>
        </w:rPr>
        <w:t>Severability</w:t>
      </w:r>
      <w:r>
        <w:rPr>
          <w:rFonts w:ascii="Arial" w:cs="Arial" w:eastAsia="Arial" w:hAnsi="Arial"/>
          <w:sz w:val="22"/>
          <w:szCs w:val="22"/>
          <w:color w:val="000000"/>
        </w:rPr>
        <w:t>. If any provision of the Plan is held invalid or unenforceable, its validity or unenforceability</w:t>
      </w:r>
      <w:r>
        <w:rPr>
          <w:rFonts w:ascii="Arial" w:cs="Arial" w:eastAsia="Arial" w:hAnsi="Arial"/>
          <w:sz w:val="22"/>
          <w:szCs w:val="22"/>
          <w:b w:val="1"/>
          <w:bCs w:val="1"/>
          <w:color w:val="010000"/>
        </w:rPr>
        <w:t xml:space="preserve"> </w:t>
      </w:r>
      <w:r>
        <w:rPr>
          <w:rFonts w:ascii="Arial" w:cs="Arial" w:eastAsia="Arial" w:hAnsi="Arial"/>
          <w:sz w:val="22"/>
          <w:szCs w:val="22"/>
          <w:color w:val="000000"/>
        </w:rPr>
        <w:t>shall not affect any other provisions of the Plan, and the Plan shall be construed and enforced as if such provision had not been included herein.</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010000"/>
        </w:rPr>
        <w:t xml:space="preserve">Section 8.8 </w:t>
      </w:r>
      <w:r>
        <w:rPr>
          <w:rFonts w:ascii="Arial" w:cs="Arial" w:eastAsia="Arial" w:hAnsi="Arial"/>
          <w:sz w:val="19"/>
          <w:szCs w:val="19"/>
          <w:b w:val="1"/>
          <w:bCs w:val="1"/>
          <w:color w:val="000000"/>
        </w:rPr>
        <w:t>Information Requested</w:t>
      </w:r>
      <w:r>
        <w:rPr>
          <w:rFonts w:ascii="Arial" w:cs="Arial" w:eastAsia="Arial" w:hAnsi="Arial"/>
          <w:sz w:val="19"/>
          <w:szCs w:val="19"/>
          <w:color w:val="000000"/>
        </w:rPr>
        <w:t>. Participants or other Persons entitled to benefits hereunder shall provide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Company, the Employer, the Administrator, and their authorized representatives with such information and evidence, and shall sign such documents, as may reasonably be requested from time to time for the purpose of administration of the Plan.</w:t>
      </w:r>
    </w:p>
    <w:p>
      <w:pPr>
        <w:spacing w:after="0" w:line="12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010000"/>
        </w:rPr>
        <w:t xml:space="preserve">Section 8.9 </w:t>
      </w:r>
      <w:r>
        <w:rPr>
          <w:rFonts w:ascii="Arial" w:cs="Arial" w:eastAsia="Arial" w:hAnsi="Arial"/>
          <w:sz w:val="22"/>
          <w:szCs w:val="22"/>
          <w:b w:val="1"/>
          <w:bCs w:val="1"/>
          <w:color w:val="000000"/>
        </w:rPr>
        <w:t>Basis of Payments to and From Plan</w:t>
      </w:r>
      <w:r>
        <w:rPr>
          <w:rFonts w:ascii="Arial" w:cs="Arial" w:eastAsia="Arial" w:hAnsi="Arial"/>
          <w:sz w:val="22"/>
          <w:szCs w:val="22"/>
          <w:color w:val="000000"/>
        </w:rPr>
        <w:t>. The benefits provided herein will be unfunded and will be provided</w:t>
      </w:r>
      <w:r>
        <w:rPr>
          <w:rFonts w:ascii="Arial" w:cs="Arial" w:eastAsia="Arial" w:hAnsi="Arial"/>
          <w:sz w:val="22"/>
          <w:szCs w:val="22"/>
          <w:b w:val="1"/>
          <w:bCs w:val="1"/>
          <w:color w:val="010000"/>
        </w:rPr>
        <w:t xml:space="preserve"> </w:t>
      </w:r>
      <w:r>
        <w:rPr>
          <w:rFonts w:ascii="Arial" w:cs="Arial" w:eastAsia="Arial" w:hAnsi="Arial"/>
          <w:sz w:val="22"/>
          <w:szCs w:val="22"/>
          <w:color w:val="000000"/>
        </w:rPr>
        <w:t>from the Employers’ general assets. No Participant will have any right to, or interest in, any assets of any Employer that may be applied by the Employer to the payment of amounts due hereunder.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9</w:t>
      </w:r>
    </w:p>
    <w:p>
      <w:pPr>
        <w:jc w:val="center"/>
        <w:spacing w:after="0"/>
        <w:rPr>
          <w:sz w:val="20"/>
          <w:szCs w:val="20"/>
          <w:color w:val="auto"/>
        </w:rPr>
      </w:pPr>
      <w:r>
        <w:rPr>
          <w:rFonts w:ascii="Arial" w:cs="Arial" w:eastAsia="Arial" w:hAnsi="Arial"/>
          <w:sz w:val="22"/>
          <w:szCs w:val="22"/>
          <w:b w:val="1"/>
          <w:bCs w:val="1"/>
          <w:color w:val="auto"/>
        </w:rPr>
        <w:t>DEFINITIONS AND CONSTRUCTION</w:t>
      </w:r>
    </w:p>
    <w:p>
      <w:pPr>
        <w:spacing w:after="0" w:line="155"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010000"/>
        </w:rPr>
        <w:t xml:space="preserve">Section 9.1 </w:t>
      </w:r>
      <w:r>
        <w:rPr>
          <w:rFonts w:ascii="Arial" w:cs="Arial" w:eastAsia="Arial" w:hAnsi="Arial"/>
          <w:sz w:val="22"/>
          <w:szCs w:val="22"/>
          <w:b w:val="1"/>
          <w:bCs w:val="1"/>
          <w:color w:val="000000"/>
        </w:rPr>
        <w:t>Definitions</w:t>
      </w:r>
      <w:r>
        <w:rPr>
          <w:rFonts w:ascii="Arial" w:cs="Arial" w:eastAsia="Arial" w:hAnsi="Arial"/>
          <w:sz w:val="22"/>
          <w:szCs w:val="22"/>
          <w:color w:val="000000"/>
        </w:rPr>
        <w:t>. Wherever used herein, the following terms shall have the following meanings, unless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context clearly requires a different meaning:</w:t>
      </w:r>
    </w:p>
    <w:p>
      <w:pPr>
        <w:spacing w:after="0" w:line="153" w:lineRule="exact"/>
        <w:rPr>
          <w:sz w:val="20"/>
          <w:szCs w:val="20"/>
          <w:color w:val="auto"/>
        </w:rPr>
      </w:pPr>
    </w:p>
    <w:p>
      <w:pPr>
        <w:jc w:val="both"/>
        <w:ind w:firstLine="1304"/>
        <w:spacing w:after="0" w:line="230" w:lineRule="auto"/>
        <w:tabs>
          <w:tab w:leader="none" w:pos="1900" w:val="left"/>
        </w:tabs>
        <w:numPr>
          <w:ilvl w:val="0"/>
          <w:numId w:val="79"/>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Accrued Obligations</w:t>
      </w:r>
      <w:r>
        <w:rPr>
          <w:rFonts w:ascii="Arial" w:cs="Arial" w:eastAsia="Arial" w:hAnsi="Arial"/>
          <w:sz w:val="21"/>
          <w:szCs w:val="21"/>
          <w:color w:val="auto"/>
        </w:rPr>
        <w:t>” means the Participant’s unpaid base salary through the Termination Date, any unreimbursed business expenses, and any amount arising from the Participant’s participation in, or benefits under, any employee benefit plans, programs or arrangements, which amounts will be payable in accordance with the requirements of applicable law and the terms and conditions of such employee benefit plans, programs or arrangements.</w:t>
      </w:r>
    </w:p>
    <w:p>
      <w:pPr>
        <w:spacing w:after="0" w:line="154" w:lineRule="exact"/>
        <w:rPr>
          <w:rFonts w:ascii="Arial" w:cs="Arial" w:eastAsia="Arial" w:hAnsi="Arial"/>
          <w:sz w:val="21"/>
          <w:szCs w:val="21"/>
          <w:color w:val="010000"/>
        </w:rPr>
      </w:pPr>
    </w:p>
    <w:p>
      <w:pPr>
        <w:ind w:firstLine="1304"/>
        <w:spacing w:after="0" w:line="235" w:lineRule="auto"/>
        <w:tabs>
          <w:tab w:leader="none" w:pos="1764" w:val="left"/>
        </w:tabs>
        <w:numPr>
          <w:ilvl w:val="0"/>
          <w:numId w:val="7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Administrator</w:t>
      </w:r>
      <w:r>
        <w:rPr>
          <w:rFonts w:ascii="Arial" w:cs="Arial" w:eastAsia="Arial" w:hAnsi="Arial"/>
          <w:sz w:val="22"/>
          <w:szCs w:val="22"/>
          <w:color w:val="auto"/>
        </w:rPr>
        <w:t>” means the Compensation Committee of the Board, or its delegate, or such other committee or Person appointed by the Board in accordance with Section 5.1.</w:t>
      </w:r>
    </w:p>
    <w:p>
      <w:pPr>
        <w:spacing w:after="0" w:line="152" w:lineRule="exact"/>
        <w:rPr>
          <w:rFonts w:ascii="Arial" w:cs="Arial" w:eastAsia="Arial" w:hAnsi="Arial"/>
          <w:sz w:val="22"/>
          <w:szCs w:val="22"/>
          <w:color w:val="010000"/>
        </w:rPr>
      </w:pPr>
    </w:p>
    <w:p>
      <w:pPr>
        <w:jc w:val="both"/>
        <w:ind w:firstLine="1304"/>
        <w:spacing w:after="0" w:line="250" w:lineRule="auto"/>
        <w:tabs>
          <w:tab w:leader="none" w:pos="1927" w:val="left"/>
        </w:tabs>
        <w:numPr>
          <w:ilvl w:val="0"/>
          <w:numId w:val="7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any parent corporation or subsidiary corporation of the Company, whether now or hereafter existing, as those terms are defined in Sections 424(e) and (f), respectively, of the Code and any individual, partnership, corporation, limited liability company, association, joint stock company, trust, joint venture or unincorporated organization that directly, or indirectly through one or more intermediaries, controls, is controlled by, or is under common control with the Company. For this purpose “control” means the possession, directly or indirectly, of the power to direct or cause the direction of the management and policies of another, whether through ownership of voting securities, by contract or otherwise.</w:t>
      </w:r>
    </w:p>
    <w:p>
      <w:pPr>
        <w:spacing w:after="0" w:line="146" w:lineRule="exact"/>
        <w:rPr>
          <w:rFonts w:ascii="Arial" w:cs="Arial" w:eastAsia="Arial" w:hAnsi="Arial"/>
          <w:sz w:val="19"/>
          <w:szCs w:val="19"/>
          <w:color w:val="010000"/>
        </w:rPr>
      </w:pPr>
    </w:p>
    <w:p>
      <w:pPr>
        <w:ind w:firstLine="1304"/>
        <w:spacing w:after="0" w:line="235" w:lineRule="auto"/>
        <w:tabs>
          <w:tab w:leader="none" w:pos="1818" w:val="left"/>
        </w:tabs>
        <w:numPr>
          <w:ilvl w:val="0"/>
          <w:numId w:val="79"/>
        </w:numPr>
        <w:rPr>
          <w:rFonts w:ascii="Arial" w:cs="Arial" w:eastAsia="Arial" w:hAnsi="Arial"/>
          <w:sz w:val="22"/>
          <w:szCs w:val="22"/>
          <w:color w:val="010000"/>
        </w:rPr>
      </w:pPr>
      <w:r>
        <w:rPr>
          <w:rFonts w:ascii="Arial" w:cs="Arial" w:eastAsia="Arial" w:hAnsi="Arial"/>
          <w:sz w:val="22"/>
          <w:szCs w:val="22"/>
          <w:b w:val="1"/>
          <w:bCs w:val="1"/>
          <w:color w:val="auto"/>
        </w:rPr>
        <w:t xml:space="preserve">“Applicable Factor” </w:t>
      </w:r>
      <w:r>
        <w:rPr>
          <w:rFonts w:ascii="Arial" w:cs="Arial" w:eastAsia="Arial" w:hAnsi="Arial"/>
          <w:sz w:val="22"/>
          <w:szCs w:val="22"/>
          <w:color w:val="auto"/>
        </w:rPr>
        <w:t>means the relevant factor specified as applicable to the Eligible Senior Executive, as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on the attached Schedule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152" w:right="339" w:bottom="1440" w:gutter="0" w:footer="0" w:header="0"/>
        </w:sectPr>
      </w:pPr>
    </w:p>
    <w:bookmarkStart w:id="165" w:name="page166"/>
    <w:bookmarkEnd w:id="165"/>
    <w:p>
      <w:pPr>
        <w:jc w:val="both"/>
        <w:ind w:firstLine="1304"/>
        <w:spacing w:after="0" w:line="225" w:lineRule="auto"/>
        <w:tabs>
          <w:tab w:leader="none" w:pos="1752" w:val="left"/>
        </w:tabs>
        <w:numPr>
          <w:ilvl w:val="0"/>
          <w:numId w:val="80"/>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Average Annual Bonus</w:t>
      </w:r>
      <w:r>
        <w:rPr>
          <w:rFonts w:ascii="Arial" w:cs="Arial" w:eastAsia="Arial" w:hAnsi="Arial"/>
          <w:sz w:val="21"/>
          <w:szCs w:val="21"/>
          <w:color w:val="auto"/>
        </w:rPr>
        <w:t>” means the average of the annual bonuses, if any, paid or payable to the Participant for the three-year period (or for any shorter period of the Participant’s employment, if such Participant has not been employed for three years) immediately preceding the Termination Date. For purposes of clarity, any accelerated payment at target of an annual incentive award upon the occurrence of a change in control under Section 6(h) of the Diamondback Energy, Inc. Executive Annual Incentive Compensation Plan (or any successor annual cash incentive compensation plan or program) will be excluded from the calculation of Average Annual Bonus.</w:t>
      </w:r>
    </w:p>
    <w:p>
      <w:pPr>
        <w:spacing w:after="0" w:line="153" w:lineRule="exact"/>
        <w:rPr>
          <w:rFonts w:ascii="Arial" w:cs="Arial" w:eastAsia="Arial" w:hAnsi="Arial"/>
          <w:sz w:val="21"/>
          <w:szCs w:val="21"/>
          <w:color w:val="010000"/>
        </w:rPr>
      </w:pPr>
    </w:p>
    <w:p>
      <w:pPr>
        <w:jc w:val="both"/>
        <w:ind w:firstLine="1304"/>
        <w:spacing w:after="0" w:line="215" w:lineRule="auto"/>
        <w:tabs>
          <w:tab w:leader="none" w:pos="1890"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has the meaning assigned to such term in Rule 13d-3 and Rule 13d-5 under the Securities Exchange Act of 1934, as amended, except that in calculating the beneficial ownership of any particular Person, such Person will be deemed to have beneficial ownership of all securities that such Person has the right to acquire by conversion or exercise of other securities, whether such right is currently exercisable or is exercisable only after the passage of time, the satisfaction of performance goals, or both. The terms “</w:t>
      </w:r>
      <w:r>
        <w:rPr>
          <w:rFonts w:ascii="Arial" w:cs="Arial" w:eastAsia="Arial" w:hAnsi="Arial"/>
          <w:sz w:val="22"/>
          <w:szCs w:val="22"/>
          <w:b w:val="1"/>
          <w:bCs w:val="1"/>
          <w:color w:val="auto"/>
        </w:rPr>
        <w:t>Beneficially Owns</w:t>
      </w:r>
      <w:r>
        <w:rPr>
          <w:rFonts w:ascii="Arial" w:cs="Arial" w:eastAsia="Arial" w:hAnsi="Arial"/>
          <w:sz w:val="22"/>
          <w:szCs w:val="22"/>
          <w:color w:val="auto"/>
        </w:rPr>
        <w:t>”, “</w:t>
      </w:r>
      <w:r>
        <w:rPr>
          <w:rFonts w:ascii="Arial" w:cs="Arial" w:eastAsia="Arial" w:hAnsi="Arial"/>
          <w:sz w:val="22"/>
          <w:szCs w:val="22"/>
          <w:b w:val="1"/>
          <w:bCs w:val="1"/>
          <w:color w:val="auto"/>
        </w:rPr>
        <w:t>Beneficial Ownership</w:t>
      </w:r>
      <w:r>
        <w:rPr>
          <w:rFonts w:ascii="Arial" w:cs="Arial" w:eastAsia="Arial" w:hAnsi="Arial"/>
          <w:sz w:val="22"/>
          <w:szCs w:val="22"/>
          <w:color w:val="auto"/>
        </w:rPr>
        <w:t>” and “</w:t>
      </w:r>
      <w:r>
        <w:rPr>
          <w:rFonts w:ascii="Arial" w:cs="Arial" w:eastAsia="Arial" w:hAnsi="Arial"/>
          <w:sz w:val="22"/>
          <w:szCs w:val="22"/>
          <w:b w:val="1"/>
          <w:bCs w:val="1"/>
          <w:color w:val="auto"/>
        </w:rPr>
        <w:t>Beneficially Owned</w:t>
      </w:r>
      <w:r>
        <w:rPr>
          <w:rFonts w:ascii="Arial" w:cs="Arial" w:eastAsia="Arial" w:hAnsi="Arial"/>
          <w:sz w:val="22"/>
          <w:szCs w:val="22"/>
          <w:color w:val="auto"/>
        </w:rPr>
        <w:t>” have a corresponding meaning.</w:t>
      </w:r>
    </w:p>
    <w:p>
      <w:pPr>
        <w:spacing w:after="0" w:line="152" w:lineRule="exact"/>
        <w:rPr>
          <w:rFonts w:ascii="Arial" w:cs="Arial" w:eastAsia="Arial" w:hAnsi="Arial"/>
          <w:sz w:val="22"/>
          <w:szCs w:val="22"/>
          <w:color w:val="010000"/>
        </w:rPr>
      </w:pPr>
    </w:p>
    <w:p>
      <w:pPr>
        <w:ind w:right="20" w:firstLine="1304"/>
        <w:spacing w:after="0" w:line="253" w:lineRule="auto"/>
        <w:tabs>
          <w:tab w:leader="none" w:pos="1818" w:val="left"/>
        </w:tabs>
        <w:numPr>
          <w:ilvl w:val="0"/>
          <w:numId w:val="80"/>
        </w:numPr>
        <w:rPr>
          <w:rFonts w:ascii="Arial" w:cs="Arial" w:eastAsia="Arial" w:hAnsi="Arial"/>
          <w:sz w:val="21"/>
          <w:szCs w:val="21"/>
          <w:color w:val="010000"/>
        </w:rPr>
      </w:pPr>
      <w:r>
        <w:rPr>
          <w:rFonts w:ascii="Arial" w:cs="Arial" w:eastAsia="Arial" w:hAnsi="Arial"/>
          <w:sz w:val="21"/>
          <w:szCs w:val="21"/>
          <w:b w:val="1"/>
          <w:bCs w:val="1"/>
          <w:color w:val="auto"/>
        </w:rPr>
        <w:t xml:space="preserve">“Board” </w:t>
      </w:r>
      <w:r>
        <w:rPr>
          <w:rFonts w:ascii="Arial" w:cs="Arial" w:eastAsia="Arial" w:hAnsi="Arial"/>
          <w:sz w:val="21"/>
          <w:szCs w:val="21"/>
          <w:color w:val="auto"/>
        </w:rPr>
        <w:t>means the Board of Directors of the Company and includes the Compensation Committee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with respect to matters where the Compensation Committee has authority to act on behalf of the Board.</w:t>
      </w:r>
    </w:p>
    <w:p>
      <w:pPr>
        <w:spacing w:after="0" w:line="138" w:lineRule="exact"/>
        <w:rPr>
          <w:rFonts w:ascii="Arial" w:cs="Arial" w:eastAsia="Arial" w:hAnsi="Arial"/>
          <w:sz w:val="21"/>
          <w:szCs w:val="21"/>
          <w:color w:val="010000"/>
        </w:rPr>
      </w:pPr>
    </w:p>
    <w:p>
      <w:pPr>
        <w:jc w:val="both"/>
        <w:ind w:firstLine="1304"/>
        <w:spacing w:after="0" w:line="223" w:lineRule="auto"/>
        <w:tabs>
          <w:tab w:leader="none" w:pos="1791" w:val="left"/>
        </w:tabs>
        <w:numPr>
          <w:ilvl w:val="0"/>
          <w:numId w:val="80"/>
        </w:numPr>
        <w:rPr>
          <w:rFonts w:ascii="Arial" w:cs="Arial" w:eastAsia="Arial" w:hAnsi="Arial"/>
          <w:sz w:val="21"/>
          <w:szCs w:val="21"/>
          <w:color w:val="010000"/>
        </w:rPr>
      </w:pPr>
      <w:r>
        <w:rPr>
          <w:rFonts w:ascii="Arial" w:cs="Arial" w:eastAsia="Arial" w:hAnsi="Arial"/>
          <w:sz w:val="21"/>
          <w:szCs w:val="21"/>
          <w:b w:val="1"/>
          <w:bCs w:val="1"/>
          <w:color w:val="auto"/>
        </w:rPr>
        <w:t xml:space="preserve">“Cause” </w:t>
      </w:r>
      <w:r>
        <w:rPr>
          <w:rFonts w:ascii="Arial" w:cs="Arial" w:eastAsia="Arial" w:hAnsi="Arial"/>
          <w:sz w:val="21"/>
          <w:szCs w:val="21"/>
          <w:color w:val="auto"/>
        </w:rPr>
        <w:t>means a Participant’s (i) willful or knowing refusal or failure (other than during periods of illness,</w:t>
      </w:r>
      <w:r>
        <w:rPr>
          <w:rFonts w:ascii="Arial" w:cs="Arial" w:eastAsia="Arial" w:hAnsi="Arial"/>
          <w:sz w:val="21"/>
          <w:szCs w:val="21"/>
          <w:b w:val="1"/>
          <w:bCs w:val="1"/>
          <w:color w:val="auto"/>
        </w:rPr>
        <w:t xml:space="preserve"> </w:t>
      </w:r>
      <w:r>
        <w:rPr>
          <w:rFonts w:ascii="Arial" w:cs="Arial" w:eastAsia="Arial" w:hAnsi="Arial"/>
          <w:sz w:val="21"/>
          <w:szCs w:val="21"/>
          <w:color w:val="auto"/>
        </w:rPr>
        <w:t>physical or mental incapacity) to perform his or her duties in any material respect; (ii) willful misconduct or gross negligence in the performance of duties; (iii) material breach of this Plan, a Participation Agreement, any agreement entered into by Participant related to the Company or its Affiliates, or any Company or Affiliate policy (including any applicable code of conduct); (iv) breach of any of the Restrictive Covenants provisions in Article 3; (v) conviction of, entry of a guilty plea or a plea of nolo contendere to any criminal act that constitutes a felony or involves, fraud, dishonesty, or moral turpitude; or (vi) indictment for any felony involving embezzlement or theft or fraud.</w:t>
      </w:r>
    </w:p>
    <w:p>
      <w:pPr>
        <w:spacing w:after="0" w:line="157" w:lineRule="exact"/>
        <w:rPr>
          <w:rFonts w:ascii="Arial" w:cs="Arial" w:eastAsia="Arial" w:hAnsi="Arial"/>
          <w:sz w:val="21"/>
          <w:szCs w:val="21"/>
          <w:color w:val="010000"/>
        </w:rPr>
      </w:pPr>
    </w:p>
    <w:p>
      <w:pPr>
        <w:ind w:left="1720" w:hanging="416"/>
        <w:spacing w:after="0"/>
        <w:tabs>
          <w:tab w:leader="none" w:pos="1720"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w:t>
      </w:r>
    </w:p>
    <w:p>
      <w:pPr>
        <w:spacing w:after="0" w:line="185" w:lineRule="exact"/>
        <w:rPr>
          <w:rFonts w:ascii="Arial" w:cs="Arial" w:eastAsia="Arial" w:hAnsi="Arial"/>
          <w:sz w:val="22"/>
          <w:szCs w:val="22"/>
          <w:color w:val="010000"/>
        </w:rPr>
      </w:pPr>
    </w:p>
    <w:p>
      <w:pPr>
        <w:jc w:val="both"/>
        <w:ind w:left="660" w:firstLine="1292"/>
        <w:spacing w:after="0" w:line="216" w:lineRule="auto"/>
        <w:tabs>
          <w:tab w:leader="none" w:pos="2416"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occurring within a 12-month period, of all or substantially all of the assets of the Company to any Person, where “substantially all” means assets of the Company having a total gross fair market value equal to 40% or more of the total gross fair market value of all of the Company’s assets immediately before such transaction or series of transactions;</w:t>
      </w:r>
    </w:p>
    <w:p>
      <w:pPr>
        <w:spacing w:after="0" w:line="157" w:lineRule="exact"/>
        <w:rPr>
          <w:rFonts w:ascii="Arial" w:cs="Arial" w:eastAsia="Arial" w:hAnsi="Arial"/>
          <w:sz w:val="22"/>
          <w:szCs w:val="22"/>
          <w:color w:val="010000"/>
        </w:rPr>
      </w:pPr>
    </w:p>
    <w:p>
      <w:pPr>
        <w:ind w:left="2440" w:hanging="488"/>
        <w:spacing w:after="0"/>
        <w:tabs>
          <w:tab w:leader="none" w:pos="2440"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The Incumbent Directors cease for any reason to constitute a majority of the Board;</w:t>
      </w:r>
    </w:p>
    <w:p>
      <w:pPr>
        <w:spacing w:after="0" w:line="179" w:lineRule="exact"/>
        <w:rPr>
          <w:rFonts w:ascii="Arial" w:cs="Arial" w:eastAsia="Arial" w:hAnsi="Arial"/>
          <w:sz w:val="22"/>
          <w:szCs w:val="22"/>
          <w:color w:val="010000"/>
        </w:rPr>
      </w:pPr>
    </w:p>
    <w:p>
      <w:pPr>
        <w:ind w:left="2500" w:hanging="548"/>
        <w:spacing w:after="0"/>
        <w:tabs>
          <w:tab w:leader="none" w:pos="2500"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The adoption of a plan relating to the liquidation or dissolution of the Company;</w:t>
      </w:r>
    </w:p>
    <w:p>
      <w:pPr>
        <w:spacing w:after="0" w:line="179" w:lineRule="exact"/>
        <w:rPr>
          <w:rFonts w:ascii="Arial" w:cs="Arial" w:eastAsia="Arial" w:hAnsi="Arial"/>
          <w:sz w:val="22"/>
          <w:szCs w:val="22"/>
          <w:color w:val="010000"/>
        </w:rPr>
      </w:pPr>
    </w:p>
    <w:p>
      <w:pPr>
        <w:jc w:val="both"/>
        <w:ind w:left="660" w:firstLine="1292"/>
        <w:spacing w:after="0" w:line="223" w:lineRule="auto"/>
        <w:tabs>
          <w:tab w:leader="none" w:pos="2484"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Any Person acquires stock of the Company that results in such Person holding Beneficial Ownership of stock of the Company possessing more than 50% of the total fair market value or the total voting power of the Company; or</w:t>
      </w:r>
    </w:p>
    <w:p>
      <w:pPr>
        <w:spacing w:after="0" w:line="158" w:lineRule="exact"/>
        <w:rPr>
          <w:rFonts w:ascii="Arial" w:cs="Arial" w:eastAsia="Arial" w:hAnsi="Arial"/>
          <w:sz w:val="22"/>
          <w:szCs w:val="22"/>
          <w:color w:val="010000"/>
        </w:rPr>
      </w:pPr>
    </w:p>
    <w:p>
      <w:pPr>
        <w:ind w:left="660" w:firstLine="1292"/>
        <w:spacing w:after="0" w:line="232" w:lineRule="auto"/>
        <w:tabs>
          <w:tab w:leader="none" w:pos="2586" w:val="left"/>
        </w:tabs>
        <w:numPr>
          <w:ilvl w:val="1"/>
          <w:numId w:val="80"/>
        </w:numPr>
        <w:rPr>
          <w:rFonts w:ascii="Arial" w:cs="Arial" w:eastAsia="Arial" w:hAnsi="Arial"/>
          <w:sz w:val="22"/>
          <w:szCs w:val="22"/>
          <w:color w:val="010000"/>
        </w:rPr>
      </w:pPr>
      <w:r>
        <w:rPr>
          <w:rFonts w:ascii="Arial" w:cs="Arial" w:eastAsia="Arial" w:hAnsi="Arial"/>
          <w:sz w:val="22"/>
          <w:szCs w:val="22"/>
          <w:color w:val="auto"/>
        </w:rPr>
        <w:t>Any Person acquires, over a 12-month period, Beneficial Ownership of stock of the Company possessing 30% or more of the total voting power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152" w:right="339" w:bottom="1440" w:gutter="0" w:footer="0" w:header="0"/>
        </w:sectPr>
      </w:pPr>
    </w:p>
    <w:bookmarkStart w:id="166" w:name="page167"/>
    <w:bookmarkEnd w:id="166"/>
    <w:p>
      <w:pPr>
        <w:jc w:val="both"/>
        <w:ind w:left="660" w:firstLine="1292"/>
        <w:spacing w:after="0" w:line="243" w:lineRule="auto"/>
        <w:tabs>
          <w:tab w:leader="none" w:pos="2538" w:val="left"/>
        </w:tabs>
        <w:numPr>
          <w:ilvl w:val="1"/>
          <w:numId w:val="81"/>
        </w:numPr>
        <w:rPr>
          <w:rFonts w:ascii="Arial" w:cs="Arial" w:eastAsia="Arial" w:hAnsi="Arial"/>
          <w:sz w:val="19"/>
          <w:szCs w:val="19"/>
          <w:color w:val="010000"/>
        </w:rPr>
      </w:pPr>
      <w:r>
        <w:rPr>
          <w:rFonts w:ascii="Arial" w:cs="Arial" w:eastAsia="Arial" w:hAnsi="Arial"/>
          <w:sz w:val="19"/>
          <w:szCs w:val="19"/>
          <w:color w:val="auto"/>
        </w:rPr>
        <w:t>The foregoing notwithstanding, a transaction will not constitute a Change in Control if (A) its sole purpose is to change the state of the Company’s incorporation or to create a holding company that will be owned in substantially the same proportions by the Persons who held the Company’s securities immediately before such transaction; (B) it constitutes an initial public offering or a secondary public offering that results in any security of the Company being listed (or approved for listing) on any securities exchange or designated (or approved for designation) as a security on an interdealer quotation system; (C) it constitutes a change in Beneficial Ownership that results from a change in ownership of an existing stockholder; or (D) solely because 30% or more of the total voting power of the Company’s then outstanding securities is acquired by (1) a trustee or other fiduciary holding securities under one or more employee benefit Plans of the Company or any Affiliate, or (2) any company that, immediately before such acquisition, is owned directly or indirectly by the stockholders of the Company in substantially the same proportion as their ownership of stock in the Company immediately before such acquisition.</w:t>
      </w:r>
    </w:p>
    <w:p>
      <w:pPr>
        <w:spacing w:after="0" w:line="152" w:lineRule="exact"/>
        <w:rPr>
          <w:rFonts w:ascii="Arial" w:cs="Arial" w:eastAsia="Arial" w:hAnsi="Arial"/>
          <w:sz w:val="19"/>
          <w:szCs w:val="19"/>
          <w:color w:val="010000"/>
        </w:rPr>
      </w:pPr>
    </w:p>
    <w:p>
      <w:pPr>
        <w:ind w:firstLine="1304"/>
        <w:spacing w:after="0" w:line="235" w:lineRule="auto"/>
        <w:tabs>
          <w:tab w:leader="none" w:pos="1851"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COBRA</w:t>
      </w:r>
      <w:r>
        <w:rPr>
          <w:rFonts w:ascii="Arial" w:cs="Arial" w:eastAsia="Arial" w:hAnsi="Arial"/>
          <w:sz w:val="22"/>
          <w:szCs w:val="22"/>
          <w:color w:val="auto"/>
        </w:rPr>
        <w:t>” means the group health plan continuation coverage provisions of the Consolidated Omnibus Budget Reconciliation Act of 1985, as amended</w:t>
      </w:r>
    </w:p>
    <w:p>
      <w:pPr>
        <w:spacing w:after="0" w:line="152" w:lineRule="exact"/>
        <w:rPr>
          <w:rFonts w:ascii="Arial" w:cs="Arial" w:eastAsia="Arial" w:hAnsi="Arial"/>
          <w:sz w:val="22"/>
          <w:szCs w:val="22"/>
          <w:color w:val="010000"/>
        </w:rPr>
      </w:pPr>
    </w:p>
    <w:p>
      <w:pPr>
        <w:ind w:left="1780" w:hanging="476"/>
        <w:spacing w:after="0"/>
        <w:tabs>
          <w:tab w:leader="none" w:pos="1780"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179" w:lineRule="exact"/>
        <w:rPr>
          <w:rFonts w:ascii="Arial" w:cs="Arial" w:eastAsia="Arial" w:hAnsi="Arial"/>
          <w:sz w:val="22"/>
          <w:szCs w:val="22"/>
          <w:color w:val="010000"/>
        </w:rPr>
      </w:pPr>
    </w:p>
    <w:p>
      <w:pPr>
        <w:ind w:left="1780" w:hanging="476"/>
        <w:spacing w:after="0"/>
        <w:tabs>
          <w:tab w:leader="none" w:pos="1780" w:val="left"/>
        </w:tabs>
        <w:numPr>
          <w:ilvl w:val="0"/>
          <w:numId w:val="8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means Diamondback Energy, Inc., a Delaware corporation, and will include its successors and</w:t>
      </w:r>
    </w:p>
    <w:p>
      <w:pPr>
        <w:spacing w:after="0" w:line="2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assigns.</w:t>
      </w:r>
    </w:p>
    <w:p>
      <w:pPr>
        <w:spacing w:after="0" w:line="155" w:lineRule="exact"/>
        <w:rPr>
          <w:rFonts w:ascii="Arial" w:cs="Arial" w:eastAsia="Arial" w:hAnsi="Arial"/>
          <w:sz w:val="19"/>
          <w:szCs w:val="19"/>
          <w:color w:val="010000"/>
        </w:rPr>
      </w:pPr>
    </w:p>
    <w:p>
      <w:pPr>
        <w:jc w:val="both"/>
        <w:ind w:firstLine="1304"/>
        <w:spacing w:after="0" w:line="217" w:lineRule="auto"/>
        <w:tabs>
          <w:tab w:leader="none" w:pos="1905"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Continuation Period</w:t>
      </w:r>
      <w:r>
        <w:rPr>
          <w:rFonts w:ascii="Arial" w:cs="Arial" w:eastAsia="Arial" w:hAnsi="Arial"/>
          <w:sz w:val="22"/>
          <w:szCs w:val="22"/>
          <w:color w:val="auto"/>
        </w:rPr>
        <w:t>” means the period that group health plan continuation coverage under COBRA is available to a Participant whose employment termination results in a loss of group health plan coverage. The Continuation Period commences on the date following the Termination Date when group health plan coverage ends and ends on the earlier of (i) the 18 month anniversary of the loss of coverage date or (ii) the date on which the Participant becomes eligible to receive group health benefits from another employer.</w:t>
      </w:r>
    </w:p>
    <w:p>
      <w:pPr>
        <w:spacing w:after="0" w:line="152" w:lineRule="exact"/>
        <w:rPr>
          <w:rFonts w:ascii="Arial" w:cs="Arial" w:eastAsia="Arial" w:hAnsi="Arial"/>
          <w:sz w:val="22"/>
          <w:szCs w:val="22"/>
          <w:color w:val="010000"/>
        </w:rPr>
      </w:pPr>
    </w:p>
    <w:p>
      <w:pPr>
        <w:ind w:firstLine="1304"/>
        <w:spacing w:after="0" w:line="235" w:lineRule="auto"/>
        <w:tabs>
          <w:tab w:leader="none" w:pos="1777"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Diamondback Parties</w:t>
      </w:r>
      <w:r>
        <w:rPr>
          <w:rFonts w:ascii="Arial" w:cs="Arial" w:eastAsia="Arial" w:hAnsi="Arial"/>
          <w:sz w:val="22"/>
          <w:szCs w:val="22"/>
          <w:color w:val="auto"/>
        </w:rPr>
        <w:t>” means the Company, its direct and indirect subsidiaries and Affiliates (and each of them, individually, a “</w:t>
      </w:r>
      <w:r>
        <w:rPr>
          <w:rFonts w:ascii="Arial" w:cs="Arial" w:eastAsia="Arial" w:hAnsi="Arial"/>
          <w:sz w:val="22"/>
          <w:szCs w:val="22"/>
          <w:b w:val="1"/>
          <w:bCs w:val="1"/>
          <w:color w:val="auto"/>
        </w:rPr>
        <w:t>Diamondback Party</w:t>
      </w:r>
      <w:r>
        <w:rPr>
          <w:rFonts w:ascii="Arial" w:cs="Arial" w:eastAsia="Arial" w:hAnsi="Arial"/>
          <w:sz w:val="22"/>
          <w:szCs w:val="22"/>
          <w:color w:val="auto"/>
        </w:rPr>
        <w:t>”)</w:t>
      </w:r>
    </w:p>
    <w:p>
      <w:pPr>
        <w:spacing w:after="0" w:line="152" w:lineRule="exact"/>
        <w:rPr>
          <w:rFonts w:ascii="Arial" w:cs="Arial" w:eastAsia="Arial" w:hAnsi="Arial"/>
          <w:sz w:val="22"/>
          <w:szCs w:val="22"/>
          <w:color w:val="010000"/>
        </w:rPr>
      </w:pPr>
    </w:p>
    <w:p>
      <w:pPr>
        <w:jc w:val="both"/>
        <w:ind w:firstLine="1304"/>
        <w:spacing w:after="0" w:line="222" w:lineRule="auto"/>
        <w:tabs>
          <w:tab w:leader="none" w:pos="1777" w:val="left"/>
        </w:tabs>
        <w:numPr>
          <w:ilvl w:val="0"/>
          <w:numId w:val="82"/>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Disability</w:t>
      </w:r>
      <w:r>
        <w:rPr>
          <w:rFonts w:ascii="Arial" w:cs="Arial" w:eastAsia="Arial" w:hAnsi="Arial"/>
          <w:sz w:val="21"/>
          <w:szCs w:val="21"/>
          <w:color w:val="auto"/>
        </w:rPr>
        <w:t>” means a Participant’s inability to substantially perform his or her duties to the Company or any Affiliate by reason of a medically determinable physical or mental impairment for a period of ninety (90) days (whether or not continuous) during any period of three hundred sixty-five (365) consecutive days by reason of physical or mental disability and the Participant has not returned to full-time performance of the Participant’s duties within 30 days after written notice of termination is given to the Participant by the Employer. The Administrator will determine whether an individual has a Disability under procedures established by the Administrator. The Administrator may rely on any determination that a Participant is disabled for purposes of benefits under any long-term disability plan maintained by the Company or any Affiliate in which a Participant participates.</w:t>
      </w:r>
    </w:p>
    <w:p>
      <w:pPr>
        <w:spacing w:after="0" w:line="157" w:lineRule="exact"/>
        <w:rPr>
          <w:rFonts w:ascii="Arial" w:cs="Arial" w:eastAsia="Arial" w:hAnsi="Arial"/>
          <w:sz w:val="21"/>
          <w:szCs w:val="21"/>
          <w:color w:val="010000"/>
        </w:rPr>
      </w:pPr>
    </w:p>
    <w:p>
      <w:pPr>
        <w:ind w:right="20" w:firstLine="1304"/>
        <w:spacing w:after="0" w:line="235" w:lineRule="auto"/>
        <w:tabs>
          <w:tab w:leader="none" w:pos="1980"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February 21, 2022, the date this Plan was approved by the Compensation Committee of the Board.</w:t>
      </w:r>
    </w:p>
    <w:p>
      <w:pPr>
        <w:spacing w:after="0" w:line="152" w:lineRule="exact"/>
        <w:rPr>
          <w:rFonts w:ascii="Arial" w:cs="Arial" w:eastAsia="Arial" w:hAnsi="Arial"/>
          <w:sz w:val="22"/>
          <w:szCs w:val="22"/>
          <w:color w:val="010000"/>
        </w:rPr>
      </w:pPr>
    </w:p>
    <w:p>
      <w:pPr>
        <w:jc w:val="both"/>
        <w:ind w:firstLine="1304"/>
        <w:spacing w:after="0" w:line="225" w:lineRule="auto"/>
        <w:tabs>
          <w:tab w:leader="none" w:pos="1804"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Eligible Senior Executive</w:t>
      </w:r>
      <w:r>
        <w:rPr>
          <w:rFonts w:ascii="Arial" w:cs="Arial" w:eastAsia="Arial" w:hAnsi="Arial"/>
          <w:sz w:val="22"/>
          <w:szCs w:val="22"/>
          <w:color w:val="auto"/>
        </w:rPr>
        <w:t>” means an individual who has been designated as an Eligible Senior Executive by the Administrator, selected by the Administrator to participate in the Plan and who has entered into a Participation Agreement with the Company in substantially the form set forth on the attached Schedule C.</w:t>
      </w:r>
    </w:p>
    <w:p>
      <w:pPr>
        <w:spacing w:after="0" w:line="152" w:lineRule="exact"/>
        <w:rPr>
          <w:rFonts w:ascii="Arial" w:cs="Arial" w:eastAsia="Arial" w:hAnsi="Arial"/>
          <w:sz w:val="22"/>
          <w:szCs w:val="22"/>
          <w:color w:val="010000"/>
        </w:rPr>
      </w:pPr>
    </w:p>
    <w:p>
      <w:pPr>
        <w:ind w:firstLine="1304"/>
        <w:spacing w:after="0" w:line="305" w:lineRule="auto"/>
        <w:tabs>
          <w:tab w:leader="none" w:pos="1768" w:val="left"/>
        </w:tabs>
        <w:numPr>
          <w:ilvl w:val="0"/>
          <w:numId w:val="8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Eligible Termination</w:t>
      </w:r>
      <w:r>
        <w:rPr>
          <w:rFonts w:ascii="Arial" w:cs="Arial" w:eastAsia="Arial" w:hAnsi="Arial"/>
          <w:sz w:val="19"/>
          <w:szCs w:val="19"/>
          <w:color w:val="auto"/>
        </w:rPr>
        <w:t>” means (i) a termination of the Participant’s employment with the Employer (A) by the Employer without Cause, or (B) by reason of death or Disability, or (ii) a resignation by the Participant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158" w:right="339" w:bottom="1440" w:gutter="0" w:footer="0" w:header="0"/>
        </w:sectPr>
      </w:pPr>
    </w:p>
    <w:bookmarkStart w:id="167" w:name="page168"/>
    <w:bookmarkEnd w:id="167"/>
    <w:p>
      <w:pPr>
        <w:jc w:val="both"/>
        <w:ind w:firstLine="1304"/>
        <w:spacing w:after="0" w:line="236" w:lineRule="auto"/>
        <w:tabs>
          <w:tab w:leader="none" w:pos="1740" w:val="left"/>
        </w:tabs>
        <w:numPr>
          <w:ilvl w:val="0"/>
          <w:numId w:val="83"/>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Employer</w:t>
      </w:r>
      <w:r>
        <w:rPr>
          <w:rFonts w:ascii="Arial" w:cs="Arial" w:eastAsia="Arial" w:hAnsi="Arial"/>
          <w:sz w:val="21"/>
          <w:szCs w:val="21"/>
          <w:color w:val="auto"/>
        </w:rPr>
        <w:t>” means the Company and each of its subsidiaries and Affiliates that adopts the Plan and is treated as an Employer in accordance with the provisions of Section 8.1. Diamondback E&amp;P LLC, a Delaware limited liability company, will be an Employer on the Effective Date, without need for separate action to adopt the Plan.</w:t>
      </w:r>
    </w:p>
    <w:p>
      <w:pPr>
        <w:spacing w:after="0" w:line="151" w:lineRule="exact"/>
        <w:rPr>
          <w:rFonts w:ascii="Arial" w:cs="Arial" w:eastAsia="Arial" w:hAnsi="Arial"/>
          <w:sz w:val="21"/>
          <w:szCs w:val="21"/>
          <w:color w:val="010000"/>
        </w:rPr>
      </w:pPr>
    </w:p>
    <w:p>
      <w:pPr>
        <w:ind w:left="1720" w:hanging="416"/>
        <w:spacing w:after="0"/>
        <w:tabs>
          <w:tab w:leader="none" w:pos="1720"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ERISA</w:t>
      </w:r>
      <w:r>
        <w:rPr>
          <w:rFonts w:ascii="Arial" w:cs="Arial" w:eastAsia="Arial" w:hAnsi="Arial"/>
          <w:sz w:val="19"/>
          <w:szCs w:val="19"/>
          <w:color w:val="auto"/>
        </w:rPr>
        <w:t>” means the Employee Retirement Income Security Act of 1974, as amended from time to time.</w:t>
      </w:r>
    </w:p>
    <w:p>
      <w:pPr>
        <w:spacing w:after="0" w:line="213" w:lineRule="exact"/>
        <w:rPr>
          <w:rFonts w:ascii="Arial" w:cs="Arial" w:eastAsia="Arial" w:hAnsi="Arial"/>
          <w:sz w:val="19"/>
          <w:szCs w:val="19"/>
          <w:color w:val="010000"/>
        </w:rPr>
      </w:pPr>
    </w:p>
    <w:p>
      <w:pPr>
        <w:jc w:val="both"/>
        <w:ind w:firstLine="1304"/>
        <w:spacing w:after="0" w:line="245" w:lineRule="auto"/>
        <w:tabs>
          <w:tab w:leader="none" w:pos="1791" w:val="left"/>
        </w:tabs>
        <w:numPr>
          <w:ilvl w:val="0"/>
          <w:numId w:val="83"/>
        </w:numPr>
        <w:rPr>
          <w:rFonts w:ascii="Arial" w:cs="Arial" w:eastAsia="Arial" w:hAnsi="Arial"/>
          <w:sz w:val="19"/>
          <w:szCs w:val="19"/>
          <w:color w:val="010000"/>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means, a Participant’s resignation in the event of any (i) material reduction in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base salary, bonus opportunity or severance benefits; (ii) relocation of Participant’s principal office more than 25 miles from the current location, or (iii) material diminution in the Participant’s position, duties, reporting relationship or authority, which in any case is not cured within thirty (30) business days after written notice thereof by Participant to the Compensation Committee of the Board (which notice must be provided by Participant to the Company within 90 days following the initial occurrence of such event) and an opportunity to cure within the notice period (the “</w:t>
      </w:r>
      <w:r>
        <w:rPr>
          <w:rFonts w:ascii="Arial" w:cs="Arial" w:eastAsia="Arial" w:hAnsi="Arial"/>
          <w:sz w:val="19"/>
          <w:szCs w:val="19"/>
          <w:b w:val="1"/>
          <w:bCs w:val="1"/>
          <w:color w:val="auto"/>
        </w:rPr>
        <w:t>Cure Period</w:t>
      </w:r>
      <w:r>
        <w:rPr>
          <w:rFonts w:ascii="Arial" w:cs="Arial" w:eastAsia="Arial" w:hAnsi="Arial"/>
          <w:sz w:val="19"/>
          <w:szCs w:val="19"/>
          <w:color w:val="auto"/>
        </w:rPr>
        <w:t>”). Resignation by the Participant following the Employer’s cure or before the expiration of the Cure Period will constitute a voluntary resignation and not a termination or resignation for Good Reason and will not entitle the Participant to any benefits under this Plan. Any termination on account of a Good Reason Resignation must occur within 120 days following the initial occurrence of such event.</w:t>
      </w:r>
    </w:p>
    <w:p>
      <w:pPr>
        <w:spacing w:after="0" w:line="152" w:lineRule="exact"/>
        <w:rPr>
          <w:rFonts w:ascii="Arial" w:cs="Arial" w:eastAsia="Arial" w:hAnsi="Arial"/>
          <w:sz w:val="19"/>
          <w:szCs w:val="19"/>
          <w:color w:val="010000"/>
        </w:rPr>
      </w:pPr>
    </w:p>
    <w:p>
      <w:pPr>
        <w:jc w:val="both"/>
        <w:ind w:firstLine="1304"/>
        <w:spacing w:after="0" w:line="248" w:lineRule="auto"/>
        <w:tabs>
          <w:tab w:leader="none" w:pos="1818"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Incumbent Directors</w:t>
      </w:r>
      <w:r>
        <w:rPr>
          <w:rFonts w:ascii="Arial" w:cs="Arial" w:eastAsia="Arial" w:hAnsi="Arial"/>
          <w:sz w:val="19"/>
          <w:szCs w:val="19"/>
          <w:color w:val="auto"/>
        </w:rPr>
        <w:t>” means individuals who, on the Effective Date, constitute the Board, provided that any individual becoming a member of the Board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election to the Board without objection to such nomination) will be an Incumbent Director. No individual initially elected or nominated as a member of the Board as a result of an actual or threatened election contest with respect to the Board or as a result of any other actual or threatened solicitation of proxies by or on behalf of any Person other than the Board will be an Incumbent Director.</w:t>
      </w:r>
    </w:p>
    <w:p>
      <w:pPr>
        <w:spacing w:after="0" w:line="147" w:lineRule="exact"/>
        <w:rPr>
          <w:rFonts w:ascii="Arial" w:cs="Arial" w:eastAsia="Arial" w:hAnsi="Arial"/>
          <w:sz w:val="19"/>
          <w:szCs w:val="19"/>
          <w:color w:val="010000"/>
        </w:rPr>
      </w:pPr>
    </w:p>
    <w:p>
      <w:pPr>
        <w:ind w:firstLine="1304"/>
        <w:spacing w:after="0" w:line="235" w:lineRule="auto"/>
        <w:tabs>
          <w:tab w:leader="none" w:pos="2001"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means a Person who has been designated by the Administrator as an Eligible Senior Executive who may be eligible for benefits under the Plan upon an Eligible Termination.</w:t>
      </w:r>
    </w:p>
    <w:p>
      <w:pPr>
        <w:spacing w:after="0" w:line="152" w:lineRule="exact"/>
        <w:rPr>
          <w:rFonts w:ascii="Arial" w:cs="Arial" w:eastAsia="Arial" w:hAnsi="Arial"/>
          <w:sz w:val="22"/>
          <w:szCs w:val="22"/>
          <w:color w:val="010000"/>
        </w:rPr>
      </w:pPr>
    </w:p>
    <w:p>
      <w:pPr>
        <w:jc w:val="both"/>
        <w:ind w:firstLine="1304"/>
        <w:spacing w:after="0" w:line="244" w:lineRule="auto"/>
        <w:tabs>
          <w:tab w:leader="none" w:pos="1831"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Participation Agreement</w:t>
      </w:r>
      <w:r>
        <w:rPr>
          <w:rFonts w:ascii="Arial" w:cs="Arial" w:eastAsia="Arial" w:hAnsi="Arial"/>
          <w:sz w:val="19"/>
          <w:szCs w:val="19"/>
          <w:color w:val="auto"/>
        </w:rPr>
        <w:t>” means an agreement between a Participant and the Company, in substantially the forms set forth on the attached Schedule C, specifying the Participant’s acknowledgement and agreement to the terms of the Plan, including the provisions terminating and superseding the terms any employment agreement or offer letter, the Restrictive Covenant provisions, the forfeiture and clawback provisions and any other terms and conditions that are in addition to or different from those specified in the Plan document. Any Participation Agreement under this Plan is intended to constitute a Service Agreement as defined in and for purposes of the terms of any Award Agreements issued pursuant to the terms of the Diamondback Energy, Inc. 2021 Amended and Restated Equity Incentive Plan (as amended from time to time and any successor equity incentive compensation plan), the Rattler Midstream LP Long-Term Incentive Plan (as amended from time to time and any successor equity incentive compensation plan of Rattler Midstream LP), the Viper Energy Partners LP 2014 Equity Incentive Plan (as amended from time to time and any successor equity incentive compensation plan of Viper Energy Partners LP) or such other equity incentive plan adopted or maintained by any Affiliate.</w:t>
      </w:r>
    </w:p>
    <w:p>
      <w:pPr>
        <w:spacing w:after="0" w:line="148" w:lineRule="exact"/>
        <w:rPr>
          <w:rFonts w:ascii="Arial" w:cs="Arial" w:eastAsia="Arial" w:hAnsi="Arial"/>
          <w:sz w:val="19"/>
          <w:szCs w:val="19"/>
          <w:color w:val="010000"/>
        </w:rPr>
      </w:pPr>
    </w:p>
    <w:p>
      <w:pPr>
        <w:ind w:left="1780" w:hanging="476"/>
        <w:spacing w:after="0"/>
        <w:tabs>
          <w:tab w:leader="none" w:pos="1780" w:val="left"/>
        </w:tabs>
        <w:numPr>
          <w:ilvl w:val="0"/>
          <w:numId w:val="83"/>
        </w:numPr>
        <w:rPr>
          <w:rFonts w:ascii="Arial" w:cs="Arial" w:eastAsia="Arial" w:hAnsi="Arial"/>
          <w:sz w:val="19"/>
          <w:szCs w:val="19"/>
          <w:color w:val="010000"/>
        </w:rPr>
      </w:pPr>
      <w:r>
        <w:rPr>
          <w:rFonts w:ascii="Arial" w:cs="Arial" w:eastAsia="Arial" w:hAnsi="Arial"/>
          <w:sz w:val="19"/>
          <w:szCs w:val="19"/>
          <w:b w:val="1"/>
          <w:bCs w:val="1"/>
          <w:color w:val="auto"/>
        </w:rPr>
        <w:t xml:space="preserve">“Payment Date” </w:t>
      </w:r>
      <w:r>
        <w:rPr>
          <w:rFonts w:ascii="Arial" w:cs="Arial" w:eastAsia="Arial" w:hAnsi="Arial"/>
          <w:sz w:val="19"/>
          <w:szCs w:val="19"/>
          <w:color w:val="auto"/>
        </w:rPr>
        <w:t>means the first regularly scheduled payroll date that is at least sixty (60) days following the</w:t>
      </w:r>
    </w:p>
    <w:p>
      <w:pPr>
        <w:spacing w:after="0" w:line="2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152" w:right="339" w:bottom="1440" w:gutter="0" w:footer="0" w:header="0"/>
        </w:sectPr>
      </w:pPr>
    </w:p>
    <w:bookmarkStart w:id="168" w:name="page169"/>
    <w:bookmarkEnd w:id="168"/>
    <w:p>
      <w:pPr>
        <w:jc w:val="both"/>
        <w:ind w:firstLine="1304"/>
        <w:spacing w:after="0" w:line="220" w:lineRule="auto"/>
        <w:tabs>
          <w:tab w:leader="none" w:pos="1765"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or “</w:t>
      </w:r>
      <w:r>
        <w:rPr>
          <w:rFonts w:ascii="Arial" w:cs="Arial" w:eastAsia="Arial" w:hAnsi="Arial"/>
          <w:sz w:val="22"/>
          <w:szCs w:val="22"/>
          <w:b w:val="1"/>
          <w:bCs w:val="1"/>
          <w:color w:val="auto"/>
        </w:rPr>
        <w:t>Persons</w:t>
      </w:r>
      <w:r>
        <w:rPr>
          <w:rFonts w:ascii="Arial" w:cs="Arial" w:eastAsia="Arial" w:hAnsi="Arial"/>
          <w:sz w:val="22"/>
          <w:szCs w:val="22"/>
          <w:color w:val="auto"/>
        </w:rPr>
        <w:t>” means an individual, partnership, limited liability company, corporation, association, joint stock company, trust, joint venture, labor organization, unincorporated organization, governmental entity or political subdivision thereof, or any other entity, and includes a syndicate or group as such terms are used in Section 13(d)(3) or 14(d)(2) of the Securities Exchange Act of 1934, as amended.</w:t>
      </w:r>
    </w:p>
    <w:p>
      <w:pPr>
        <w:spacing w:after="0" w:line="152" w:lineRule="exact"/>
        <w:rPr>
          <w:sz w:val="20"/>
          <w:szCs w:val="20"/>
          <w:color w:val="auto"/>
        </w:rPr>
      </w:pPr>
    </w:p>
    <w:p>
      <w:pPr>
        <w:ind w:firstLine="1304"/>
        <w:spacing w:after="0" w:line="305" w:lineRule="auto"/>
        <w:tabs>
          <w:tab w:leader="none" w:pos="1888"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the Diamondback Energy, Inc. Amended and Restated Senior Management Severance Plan, as set forth herein, together with any amendments and supplements hereto as shall be adopted from time to time.</w:t>
      </w:r>
    </w:p>
    <w:p>
      <w:pPr>
        <w:spacing w:after="0" w:line="92" w:lineRule="exact"/>
        <w:rPr>
          <w:rFonts w:ascii="Arial" w:cs="Arial" w:eastAsia="Arial" w:hAnsi="Arial"/>
          <w:sz w:val="19"/>
          <w:szCs w:val="19"/>
          <w:color w:val="010000"/>
        </w:rPr>
      </w:pPr>
    </w:p>
    <w:p>
      <w:pPr>
        <w:ind w:right="20" w:firstLine="1304"/>
        <w:spacing w:after="0" w:line="235" w:lineRule="auto"/>
        <w:tabs>
          <w:tab w:leader="none" w:pos="1980" w:val="left"/>
        </w:tabs>
        <w:numPr>
          <w:ilvl w:val="0"/>
          <w:numId w:val="85"/>
        </w:numPr>
        <w:rPr>
          <w:rFonts w:ascii="Arial" w:cs="Arial" w:eastAsia="Arial" w:hAnsi="Arial"/>
          <w:sz w:val="22"/>
          <w:szCs w:val="22"/>
          <w:color w:val="010000"/>
        </w:rPr>
      </w:pPr>
      <w:r>
        <w:rPr>
          <w:rFonts w:ascii="Arial" w:cs="Arial" w:eastAsia="Arial" w:hAnsi="Arial"/>
          <w:sz w:val="22"/>
          <w:szCs w:val="22"/>
          <w:b w:val="1"/>
          <w:bCs w:val="1"/>
          <w:color w:val="auto"/>
        </w:rPr>
        <w:t xml:space="preserve">“Protection Period” </w:t>
      </w:r>
      <w:r>
        <w:rPr>
          <w:rFonts w:ascii="Arial" w:cs="Arial" w:eastAsia="Arial" w:hAnsi="Arial"/>
          <w:sz w:val="22"/>
          <w:szCs w:val="22"/>
          <w:color w:val="auto"/>
        </w:rPr>
        <w:t>means the period commencing on the consummation of a Change in Control and</w:t>
      </w:r>
      <w:r>
        <w:rPr>
          <w:rFonts w:ascii="Arial" w:cs="Arial" w:eastAsia="Arial" w:hAnsi="Arial"/>
          <w:sz w:val="22"/>
          <w:szCs w:val="22"/>
          <w:b w:val="1"/>
          <w:bCs w:val="1"/>
          <w:color w:val="auto"/>
        </w:rPr>
        <w:t xml:space="preserve"> </w:t>
      </w:r>
      <w:r>
        <w:rPr>
          <w:rFonts w:ascii="Arial" w:cs="Arial" w:eastAsia="Arial" w:hAnsi="Arial"/>
          <w:sz w:val="22"/>
          <w:szCs w:val="22"/>
          <w:color w:val="auto"/>
        </w:rPr>
        <w:t>ending on the second anniversary of such Change in Control.</w:t>
      </w:r>
    </w:p>
    <w:p>
      <w:pPr>
        <w:spacing w:after="0" w:line="152" w:lineRule="exact"/>
        <w:rPr>
          <w:rFonts w:ascii="Arial" w:cs="Arial" w:eastAsia="Arial" w:hAnsi="Arial"/>
          <w:sz w:val="22"/>
          <w:szCs w:val="22"/>
          <w:color w:val="010000"/>
        </w:rPr>
      </w:pPr>
    </w:p>
    <w:p>
      <w:pPr>
        <w:jc w:val="both"/>
        <w:ind w:firstLine="1304"/>
        <w:spacing w:after="0" w:line="215" w:lineRule="auto"/>
        <w:tabs>
          <w:tab w:leader="none" w:pos="1848" w:val="left"/>
        </w:tabs>
        <w:numPr>
          <w:ilvl w:val="0"/>
          <w:numId w:val="8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Restricted Business</w:t>
      </w:r>
      <w:r>
        <w:rPr>
          <w:rFonts w:ascii="Arial" w:cs="Arial" w:eastAsia="Arial" w:hAnsi="Arial"/>
          <w:sz w:val="22"/>
          <w:szCs w:val="22"/>
          <w:color w:val="auto"/>
        </w:rPr>
        <w:t>” means any of (i) the oil, gas and gas liquids exploration and production business, (ii) the ownership, operation, development or acquisition of midstream infrastructure assets, including oil, gas and gas liquids gathering and transportation services and water-related gathering, transportation, distribution and disposal services, or (iii) the ownership, acquisition or exploitation of oil and gas properties, in each case, in Texas, Oklahoma and New Mexico and each other area, location or field in which the Diamondback Parties conduct or are preparing to conduct business during the Participant’s employment with an Employer or any Affiliate.</w:t>
      </w:r>
    </w:p>
    <w:p>
      <w:pPr>
        <w:spacing w:after="0" w:line="152" w:lineRule="exact"/>
        <w:rPr>
          <w:rFonts w:ascii="Arial" w:cs="Arial" w:eastAsia="Arial" w:hAnsi="Arial"/>
          <w:sz w:val="22"/>
          <w:szCs w:val="22"/>
          <w:color w:val="010000"/>
        </w:rPr>
      </w:pPr>
    </w:p>
    <w:p>
      <w:pPr>
        <w:jc w:val="both"/>
        <w:ind w:firstLine="1304"/>
        <w:spacing w:after="0" w:line="254" w:lineRule="auto"/>
        <w:tabs>
          <w:tab w:leader="none" w:pos="1885" w:val="left"/>
        </w:tabs>
        <w:numPr>
          <w:ilvl w:val="0"/>
          <w:numId w:val="85"/>
        </w:numPr>
        <w:rPr>
          <w:rFonts w:ascii="Arial" w:cs="Arial" w:eastAsia="Arial" w:hAnsi="Arial"/>
          <w:sz w:val="19"/>
          <w:szCs w:val="19"/>
          <w:color w:val="010000"/>
        </w:rPr>
      </w:pPr>
      <w:r>
        <w:rPr>
          <w:rFonts w:ascii="Arial" w:cs="Arial" w:eastAsia="Arial" w:hAnsi="Arial"/>
          <w:sz w:val="19"/>
          <w:szCs w:val="19"/>
          <w:b w:val="1"/>
          <w:bCs w:val="1"/>
          <w:color w:val="auto"/>
        </w:rPr>
        <w:t xml:space="preserve">“Restricted Period” </w:t>
      </w:r>
      <w:r>
        <w:rPr>
          <w:rFonts w:ascii="Arial" w:cs="Arial" w:eastAsia="Arial" w:hAnsi="Arial"/>
          <w:sz w:val="19"/>
          <w:szCs w:val="19"/>
          <w:color w:val="auto"/>
        </w:rPr>
        <w:t>means, the period of the Participant’s employment with the Employer and a period of</w:t>
      </w:r>
      <w:r>
        <w:rPr>
          <w:rFonts w:ascii="Arial" w:cs="Arial" w:eastAsia="Arial" w:hAnsi="Arial"/>
          <w:sz w:val="19"/>
          <w:szCs w:val="19"/>
          <w:b w:val="1"/>
          <w:bCs w:val="1"/>
          <w:color w:val="auto"/>
        </w:rPr>
        <w:t xml:space="preserve"> </w:t>
      </w:r>
      <w:r>
        <w:rPr>
          <w:rFonts w:ascii="Arial" w:cs="Arial" w:eastAsia="Arial" w:hAnsi="Arial"/>
          <w:sz w:val="19"/>
          <w:szCs w:val="19"/>
          <w:color w:val="auto"/>
        </w:rPr>
        <w:t>one year following the termination of the Participant’s employment with the Employer for any reason or such applicable shorter period as may be specified pursuant to Section 3.2; provided, however, that in the event of an Eligible Termination that occurs during the Protection Period or a termination of employment due to the Participant’s death or Disability, the Restricted Period for purposes of Sections 3.1(a) and 3.1(c) shall end upon the date of the Participant’s termination of employment.</w:t>
      </w:r>
    </w:p>
    <w:p>
      <w:pPr>
        <w:spacing w:after="0" w:line="139" w:lineRule="exact"/>
        <w:rPr>
          <w:rFonts w:ascii="Arial" w:cs="Arial" w:eastAsia="Arial" w:hAnsi="Arial"/>
          <w:sz w:val="19"/>
          <w:szCs w:val="19"/>
          <w:color w:val="010000"/>
        </w:rPr>
      </w:pPr>
    </w:p>
    <w:p>
      <w:pPr>
        <w:ind w:left="1940" w:hanging="636"/>
        <w:spacing w:after="0"/>
        <w:tabs>
          <w:tab w:leader="none" w:pos="1940" w:val="left"/>
        </w:tabs>
        <w:numPr>
          <w:ilvl w:val="0"/>
          <w:numId w:val="85"/>
        </w:numPr>
        <w:rPr>
          <w:rFonts w:ascii="Arial" w:cs="Arial" w:eastAsia="Arial" w:hAnsi="Arial"/>
          <w:sz w:val="19"/>
          <w:szCs w:val="19"/>
          <w:color w:val="010000"/>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means Section 409A of the Code and the Department of Treasury rules and regulations</w:t>
      </w:r>
    </w:p>
    <w:p>
      <w:pPr>
        <w:spacing w:after="0" w:line="2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issued thereunder.</w:t>
      </w:r>
    </w:p>
    <w:p>
      <w:pPr>
        <w:spacing w:after="0" w:line="155" w:lineRule="exact"/>
        <w:rPr>
          <w:rFonts w:ascii="Arial" w:cs="Arial" w:eastAsia="Arial" w:hAnsi="Arial"/>
          <w:sz w:val="19"/>
          <w:szCs w:val="19"/>
          <w:color w:val="010000"/>
        </w:rPr>
      </w:pPr>
    </w:p>
    <w:p>
      <w:pPr>
        <w:ind w:left="1800" w:hanging="496"/>
        <w:spacing w:after="0"/>
        <w:tabs>
          <w:tab w:leader="none" w:pos="1800" w:val="left"/>
        </w:tabs>
        <w:numPr>
          <w:ilvl w:val="0"/>
          <w:numId w:val="8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Service Agreement</w:t>
      </w:r>
      <w:r>
        <w:rPr>
          <w:rFonts w:ascii="Arial" w:cs="Arial" w:eastAsia="Arial" w:hAnsi="Arial"/>
          <w:sz w:val="22"/>
          <w:szCs w:val="22"/>
          <w:color w:val="auto"/>
        </w:rPr>
        <w:t>” has the meaning set forth in the definition of “Participation Agreement”.</w:t>
      </w:r>
    </w:p>
    <w:p>
      <w:pPr>
        <w:spacing w:after="0" w:line="179" w:lineRule="exact"/>
        <w:rPr>
          <w:rFonts w:ascii="Arial" w:cs="Arial" w:eastAsia="Arial" w:hAnsi="Arial"/>
          <w:sz w:val="22"/>
          <w:szCs w:val="22"/>
          <w:color w:val="010000"/>
        </w:rPr>
      </w:pPr>
    </w:p>
    <w:p>
      <w:pPr>
        <w:jc w:val="both"/>
        <w:ind w:firstLine="1304"/>
        <w:spacing w:after="0" w:line="225" w:lineRule="auto"/>
        <w:tabs>
          <w:tab w:leader="none" w:pos="1885" w:val="left"/>
        </w:tabs>
        <w:numPr>
          <w:ilvl w:val="0"/>
          <w:numId w:val="85"/>
        </w:numPr>
        <w:rPr>
          <w:rFonts w:ascii="Arial" w:cs="Arial" w:eastAsia="Arial" w:hAnsi="Arial"/>
          <w:sz w:val="22"/>
          <w:szCs w:val="22"/>
          <w:color w:val="010000"/>
        </w:rPr>
      </w:pPr>
      <w:r>
        <w:rPr>
          <w:rFonts w:ascii="Arial" w:cs="Arial" w:eastAsia="Arial" w:hAnsi="Arial"/>
          <w:sz w:val="22"/>
          <w:szCs w:val="22"/>
          <w:b w:val="1"/>
          <w:bCs w:val="1"/>
          <w:color w:val="auto"/>
        </w:rPr>
        <w:t xml:space="preserve">“Specified Employee” </w:t>
      </w:r>
      <w:r>
        <w:rPr>
          <w:rFonts w:ascii="Arial" w:cs="Arial" w:eastAsia="Arial" w:hAnsi="Arial"/>
          <w:sz w:val="22"/>
          <w:szCs w:val="22"/>
          <w:color w:val="auto"/>
        </w:rPr>
        <w:t>means a Person who is, as of the date of the Person’s termination of employment, a</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employee” within the meaning of Section 409A, taking into account the elections made and procedures established by the Company.</w:t>
      </w:r>
    </w:p>
    <w:p>
      <w:pPr>
        <w:spacing w:after="0" w:line="152" w:lineRule="exact"/>
        <w:rPr>
          <w:rFonts w:ascii="Arial" w:cs="Arial" w:eastAsia="Arial" w:hAnsi="Arial"/>
          <w:sz w:val="22"/>
          <w:szCs w:val="22"/>
          <w:color w:val="010000"/>
        </w:rPr>
      </w:pPr>
    </w:p>
    <w:p>
      <w:pPr>
        <w:ind w:firstLine="1304"/>
        <w:spacing w:after="0" w:line="253" w:lineRule="auto"/>
        <w:tabs>
          <w:tab w:leader="none" w:pos="1939" w:val="left"/>
        </w:tabs>
        <w:numPr>
          <w:ilvl w:val="0"/>
          <w:numId w:val="85"/>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Termination Date</w:t>
      </w:r>
      <w:r>
        <w:rPr>
          <w:rFonts w:ascii="Arial" w:cs="Arial" w:eastAsia="Arial" w:hAnsi="Arial"/>
          <w:sz w:val="21"/>
          <w:szCs w:val="21"/>
          <w:color w:val="auto"/>
        </w:rPr>
        <w:t>” means the date that an Eligible Senior Executive’s employment with all Employers and Affiliates actually terminates pursuant to an Eligible Termination, as determined by the Administrator.</w:t>
      </w:r>
    </w:p>
    <w:p>
      <w:pPr>
        <w:spacing w:after="0" w:line="13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010000"/>
        </w:rPr>
        <w:t xml:space="preserve">Section 9.2 </w:t>
      </w:r>
      <w:r>
        <w:rPr>
          <w:rFonts w:ascii="Arial" w:cs="Arial" w:eastAsia="Arial" w:hAnsi="Arial"/>
          <w:sz w:val="22"/>
          <w:szCs w:val="22"/>
          <w:b w:val="1"/>
          <w:bCs w:val="1"/>
          <w:color w:val="000000"/>
        </w:rPr>
        <w:t>Number and Gender</w:t>
      </w:r>
      <w:r>
        <w:rPr>
          <w:rFonts w:ascii="Arial" w:cs="Arial" w:eastAsia="Arial" w:hAnsi="Arial"/>
          <w:sz w:val="22"/>
          <w:szCs w:val="22"/>
          <w:color w:val="000000"/>
        </w:rPr>
        <w:t>. Wherever appropriate herein, a word used in the singular will be considered to</w:t>
      </w:r>
      <w:r>
        <w:rPr>
          <w:rFonts w:ascii="Arial" w:cs="Arial" w:eastAsia="Arial" w:hAnsi="Arial"/>
          <w:sz w:val="22"/>
          <w:szCs w:val="22"/>
          <w:b w:val="1"/>
          <w:bCs w:val="1"/>
          <w:color w:val="010000"/>
        </w:rPr>
        <w:t xml:space="preserve"> </w:t>
      </w:r>
      <w:r>
        <w:rPr>
          <w:rFonts w:ascii="Arial" w:cs="Arial" w:eastAsia="Arial" w:hAnsi="Arial"/>
          <w:sz w:val="22"/>
          <w:szCs w:val="22"/>
          <w:color w:val="000000"/>
        </w:rPr>
        <w:t>include the plural and the plural to include the singular. The masculine gender, where appearing in this Plan, will be deemed to include the feminine gender.</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010000"/>
        </w:rPr>
        <w:t xml:space="preserve">Section 9.3 </w:t>
      </w:r>
      <w:r>
        <w:rPr>
          <w:rFonts w:ascii="Arial" w:cs="Arial" w:eastAsia="Arial" w:hAnsi="Arial"/>
          <w:sz w:val="22"/>
          <w:szCs w:val="22"/>
          <w:b w:val="1"/>
          <w:bCs w:val="1"/>
          <w:color w:val="000000"/>
        </w:rPr>
        <w:t>Headings</w:t>
      </w:r>
      <w:r>
        <w:rPr>
          <w:rFonts w:ascii="Arial" w:cs="Arial" w:eastAsia="Arial" w:hAnsi="Arial"/>
          <w:sz w:val="22"/>
          <w:szCs w:val="22"/>
          <w:color w:val="000000"/>
        </w:rPr>
        <w:t>. The headings of Articles and Sections herein are included solely for convenience and if there is</w:t>
      </w:r>
      <w:r>
        <w:rPr>
          <w:rFonts w:ascii="Arial" w:cs="Arial" w:eastAsia="Arial" w:hAnsi="Arial"/>
          <w:sz w:val="22"/>
          <w:szCs w:val="22"/>
          <w:b w:val="1"/>
          <w:bCs w:val="1"/>
          <w:color w:val="010000"/>
        </w:rPr>
        <w:t xml:space="preserve"> </w:t>
      </w:r>
      <w:r>
        <w:rPr>
          <w:rFonts w:ascii="Arial" w:cs="Arial" w:eastAsia="Arial" w:hAnsi="Arial"/>
          <w:sz w:val="22"/>
          <w:szCs w:val="22"/>
          <w:color w:val="000000"/>
        </w:rPr>
        <w:t>any conflict between such headings and the text of this Plan, the text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152" w:right="339" w:bottom="1440" w:gutter="0" w:footer="0" w:header="0"/>
        </w:sectPr>
      </w:pPr>
    </w:p>
    <w:bookmarkStart w:id="169" w:name="page170"/>
    <w:bookmarkEnd w:id="169"/>
    <w:p>
      <w:pPr>
        <w:ind w:right="20"/>
        <w:spacing w:after="0" w:line="232" w:lineRule="auto"/>
        <w:rPr>
          <w:sz w:val="20"/>
          <w:szCs w:val="20"/>
          <w:color w:val="auto"/>
        </w:rPr>
      </w:pPr>
      <w:r>
        <w:rPr>
          <w:rFonts w:ascii="Arial" w:cs="Arial" w:eastAsia="Arial" w:hAnsi="Arial"/>
          <w:sz w:val="22"/>
          <w:szCs w:val="22"/>
          <w:color w:val="auto"/>
        </w:rPr>
        <w:t>To record the adoption of the Plan as set forth herein, effective as of the Effective Date, the Company has caused its duly authorized officer to execute the same this 21st day of February, 2022.</w:t>
      </w:r>
    </w:p>
    <w:p>
      <w:pPr>
        <w:spacing w:after="0" w:line="200" w:lineRule="exact"/>
        <w:rPr>
          <w:sz w:val="20"/>
          <w:szCs w:val="20"/>
          <w:color w:val="auto"/>
        </w:rPr>
      </w:pPr>
    </w:p>
    <w:p>
      <w:pPr>
        <w:spacing w:after="0" w:line="25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Diamondback Energy, Inc.</w:t>
      </w:r>
    </w:p>
    <w:p>
      <w:pPr>
        <w:spacing w:after="0" w:line="200" w:lineRule="exact"/>
        <w:rPr>
          <w:sz w:val="20"/>
          <w:szCs w:val="20"/>
          <w:color w:val="auto"/>
        </w:rPr>
      </w:pPr>
    </w:p>
    <w:p>
      <w:pPr>
        <w:spacing w:after="0" w:line="336" w:lineRule="exact"/>
        <w:rPr>
          <w:sz w:val="20"/>
          <w:szCs w:val="20"/>
          <w:color w:val="auto"/>
        </w:rPr>
      </w:pPr>
    </w:p>
    <w:tbl>
      <w:tblPr>
        <w:tblLayout w:type="fixed"/>
        <w:tblInd w:w="5120" w:type="dxa"/>
        <w:tblCellMar>
          <w:top w:w="0" w:type="dxa"/>
          <w:left w:w="0" w:type="dxa"/>
          <w:bottom w:w="0" w:type="dxa"/>
          <w:right w:w="0" w:type="dxa"/>
        </w:tblCellMar>
      </w:tblPr>
      <w:tr>
        <w:trPr>
          <w:trHeight w:val="276"/>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556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Travis D. Stice</w:t>
            </w:r>
          </w:p>
        </w:tc>
      </w:tr>
      <w:tr>
        <w:trPr>
          <w:trHeight w:val="257"/>
        </w:trPr>
        <w:tc>
          <w:tcPr>
            <w:tcW w:w="56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Name:</w:t>
            </w:r>
          </w:p>
        </w:tc>
        <w:tc>
          <w:tcPr>
            <w:tcW w:w="4800" w:type="dxa"/>
            <w:vAlign w:val="bottom"/>
          </w:tcPr>
          <w:p>
            <w:pPr>
              <w:ind w:left="180"/>
              <w:spacing w:after="0"/>
              <w:rPr>
                <w:sz w:val="20"/>
                <w:szCs w:val="20"/>
                <w:color w:val="auto"/>
              </w:rPr>
            </w:pPr>
            <w:r>
              <w:rPr>
                <w:rFonts w:ascii="Arial" w:cs="Arial" w:eastAsia="Arial" w:hAnsi="Arial"/>
                <w:sz w:val="22"/>
                <w:szCs w:val="22"/>
                <w:color w:val="auto"/>
              </w:rPr>
              <w:t>Travis D. Stice</w:t>
            </w:r>
          </w:p>
        </w:tc>
      </w:tr>
      <w:tr>
        <w:trPr>
          <w:trHeight w:val="274"/>
        </w:trPr>
        <w:tc>
          <w:tcPr>
            <w:tcW w:w="56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4800" w:type="dxa"/>
            <w:vAlign w:val="bottom"/>
          </w:tcPr>
          <w:p>
            <w:pPr>
              <w:ind w:left="180"/>
              <w:spacing w:after="0"/>
              <w:rPr>
                <w:sz w:val="20"/>
                <w:szCs w:val="20"/>
                <w:color w:val="auto"/>
              </w:rPr>
            </w:pPr>
            <w:r>
              <w:rPr>
                <w:rFonts w:ascii="Arial" w:cs="Arial" w:eastAsia="Arial" w:hAnsi="Arial"/>
                <w:sz w:val="22"/>
                <w:szCs w:val="22"/>
                <w:color w:val="auto"/>
              </w:rPr>
              <w:t>Chief Executive Officer</w:t>
            </w:r>
          </w:p>
        </w:tc>
      </w:tr>
    </w:tbl>
    <w:p>
      <w:pPr>
        <w:sectPr>
          <w:pgSz w:w="11900" w:h="16838" w:orient="portrait"/>
          <w:cols w:equalWidth="0" w:num="1">
            <w:col w:w="11240"/>
          </w:cols>
          <w:pgMar w:left="320" w:top="1158" w:right="3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22"/>
          <w:szCs w:val="22"/>
          <w:b w:val="1"/>
          <w:bCs w:val="1"/>
          <w:color w:val="auto"/>
        </w:rPr>
        <w:t>Appendix 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Summary Plan Description Additional Information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1</w:t>
      </w:r>
    </w:p>
    <w:p>
      <w:pPr>
        <w:jc w:val="center"/>
        <w:ind w:right="-19"/>
        <w:spacing w:after="0"/>
        <w:rPr>
          <w:sz w:val="20"/>
          <w:szCs w:val="20"/>
          <w:color w:val="auto"/>
        </w:rPr>
      </w:pPr>
      <w:r>
        <w:rPr>
          <w:rFonts w:ascii="Arial" w:cs="Arial" w:eastAsia="Arial" w:hAnsi="Arial"/>
          <w:sz w:val="22"/>
          <w:szCs w:val="22"/>
          <w:b w:val="1"/>
          <w:bCs w:val="1"/>
          <w:color w:val="auto"/>
        </w:rPr>
        <w:t>OTHER PLAN INFORMATION</w:t>
      </w:r>
    </w:p>
    <w:p>
      <w:pPr>
        <w:spacing w:after="0" w:line="1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010000"/>
        </w:rPr>
        <w:t xml:space="preserve">Section 1.1 </w:t>
      </w:r>
      <w:r>
        <w:rPr>
          <w:rFonts w:ascii="Arial" w:cs="Arial" w:eastAsia="Arial" w:hAnsi="Arial"/>
          <w:sz w:val="19"/>
          <w:szCs w:val="19"/>
          <w:b w:val="1"/>
          <w:bCs w:val="1"/>
          <w:color w:val="000000"/>
        </w:rPr>
        <w:t>Employer and Plan Identification Numbers</w:t>
      </w:r>
      <w:r>
        <w:rPr>
          <w:rFonts w:ascii="Arial" w:cs="Arial" w:eastAsia="Arial" w:hAnsi="Arial"/>
          <w:sz w:val="19"/>
          <w:szCs w:val="19"/>
          <w:color w:val="000000"/>
        </w:rPr>
        <w:t>. The Employer Identification Number assigned to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Company (which is the “Plan Sponsor” as that term is used in ERISA) by the Internal Revenue Service is 45-4502447. The Plan Number assigned to the Plan by the Plan Sponsor pursuant to the instructions of the Internal Revenue Service is 503.</w:t>
      </w:r>
    </w:p>
    <w:p>
      <w:pPr>
        <w:spacing w:after="0" w:line="12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010000"/>
        </w:rPr>
        <w:t xml:space="preserve">Section 1.2 </w:t>
      </w:r>
      <w:r>
        <w:rPr>
          <w:rFonts w:ascii="Arial" w:cs="Arial" w:eastAsia="Arial" w:hAnsi="Arial"/>
          <w:sz w:val="22"/>
          <w:szCs w:val="22"/>
          <w:b w:val="1"/>
          <w:bCs w:val="1"/>
          <w:color w:val="000000"/>
        </w:rPr>
        <w:t>Ending Date for Plan’s Fiscal Year</w:t>
      </w:r>
      <w:r>
        <w:rPr>
          <w:rFonts w:ascii="Arial" w:cs="Arial" w:eastAsia="Arial" w:hAnsi="Arial"/>
          <w:sz w:val="22"/>
          <w:szCs w:val="22"/>
          <w:color w:val="000000"/>
        </w:rPr>
        <w:t>. The date of the end of the fiscal year for the purpose of maintaining</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Plan’s records is December 31.</w:t>
      </w:r>
    </w:p>
    <w:p>
      <w:pPr>
        <w:spacing w:after="0" w:line="14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010000"/>
        </w:rPr>
        <w:t>Section 1.3</w:t>
      </w:r>
      <w:r>
        <w:rPr>
          <w:sz w:val="20"/>
          <w:szCs w:val="20"/>
          <w:color w:val="auto"/>
        </w:rPr>
        <w:tab/>
      </w:r>
      <w:r>
        <w:rPr>
          <w:rFonts w:ascii="Arial" w:cs="Arial" w:eastAsia="Arial" w:hAnsi="Arial"/>
          <w:sz w:val="19"/>
          <w:szCs w:val="19"/>
          <w:b w:val="1"/>
          <w:bCs w:val="1"/>
          <w:color w:val="auto"/>
        </w:rPr>
        <w:t>Agent for the Service of Legal Process</w:t>
      </w:r>
      <w:r>
        <w:rPr>
          <w:rFonts w:ascii="Arial" w:cs="Arial" w:eastAsia="Arial" w:hAnsi="Arial"/>
          <w:sz w:val="19"/>
          <w:szCs w:val="19"/>
          <w:color w:val="auto"/>
        </w:rPr>
        <w:t>. The agent for the service of legal process with respect to the Plan</w:t>
      </w:r>
    </w:p>
    <w:p>
      <w:pPr>
        <w:spacing w:after="0"/>
        <w:rPr>
          <w:sz w:val="20"/>
          <w:szCs w:val="20"/>
          <w:color w:val="auto"/>
        </w:rPr>
      </w:pPr>
      <w:r>
        <w:rPr>
          <w:rFonts w:ascii="Arial" w:cs="Arial" w:eastAsia="Arial" w:hAnsi="Arial"/>
          <w:sz w:val="22"/>
          <w:szCs w:val="22"/>
          <w:color w:val="auto"/>
        </w:rPr>
        <w:t>is:</w:t>
      </w:r>
    </w:p>
    <w:p>
      <w:pPr>
        <w:spacing w:after="0" w:line="14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Diamondback Energy, Inc.</w:t>
      </w:r>
    </w:p>
    <w:p>
      <w:pPr>
        <w:ind w:left="2600"/>
        <w:spacing w:after="0" w:line="204" w:lineRule="auto"/>
        <w:rPr>
          <w:sz w:val="20"/>
          <w:szCs w:val="20"/>
          <w:color w:val="auto"/>
        </w:rPr>
      </w:pPr>
      <w:r>
        <w:rPr>
          <w:rFonts w:ascii="Arial" w:cs="Arial" w:eastAsia="Arial" w:hAnsi="Arial"/>
          <w:sz w:val="22"/>
          <w:szCs w:val="22"/>
          <w:color w:val="auto"/>
        </w:rPr>
        <w:t>500 West Texas</w:t>
      </w:r>
    </w:p>
    <w:p>
      <w:pPr>
        <w:ind w:left="2600"/>
        <w:spacing w:after="0" w:line="205" w:lineRule="auto"/>
        <w:rPr>
          <w:sz w:val="20"/>
          <w:szCs w:val="20"/>
          <w:color w:val="auto"/>
        </w:rPr>
      </w:pPr>
      <w:r>
        <w:rPr>
          <w:rFonts w:ascii="Arial" w:cs="Arial" w:eastAsia="Arial" w:hAnsi="Arial"/>
          <w:sz w:val="22"/>
          <w:szCs w:val="22"/>
          <w:color w:val="auto"/>
        </w:rPr>
        <w:t>Suite 1200</w:t>
      </w:r>
    </w:p>
    <w:p>
      <w:pPr>
        <w:ind w:left="2600"/>
        <w:spacing w:after="0" w:line="205" w:lineRule="auto"/>
        <w:rPr>
          <w:sz w:val="20"/>
          <w:szCs w:val="20"/>
          <w:color w:val="auto"/>
        </w:rPr>
      </w:pPr>
      <w:r>
        <w:rPr>
          <w:rFonts w:ascii="Arial" w:cs="Arial" w:eastAsia="Arial" w:hAnsi="Arial"/>
          <w:sz w:val="22"/>
          <w:szCs w:val="22"/>
          <w:color w:val="auto"/>
        </w:rPr>
        <w:t>Midland, TX 79701</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Matt Zmigrosky, General Counsel</w:t>
      </w:r>
    </w:p>
    <w:p>
      <w:pPr>
        <w:spacing w:after="0" w:line="15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b w:val="1"/>
          <w:bCs w:val="1"/>
          <w:color w:val="010000"/>
        </w:rPr>
        <w:t>Section 1.4</w:t>
      </w:r>
      <w:r>
        <w:rPr>
          <w:sz w:val="20"/>
          <w:szCs w:val="20"/>
          <w:color w:val="auto"/>
        </w:rPr>
        <w:tab/>
      </w:r>
      <w:r>
        <w:rPr>
          <w:rFonts w:ascii="Arial" w:cs="Arial" w:eastAsia="Arial" w:hAnsi="Arial"/>
          <w:sz w:val="19"/>
          <w:szCs w:val="19"/>
          <w:b w:val="1"/>
          <w:bCs w:val="1"/>
          <w:color w:val="auto"/>
        </w:rPr>
        <w:t>Plan Sponsor and Administrator</w:t>
      </w:r>
      <w:r>
        <w:rPr>
          <w:rFonts w:ascii="Arial" w:cs="Arial" w:eastAsia="Arial" w:hAnsi="Arial"/>
          <w:sz w:val="19"/>
          <w:szCs w:val="19"/>
          <w:color w:val="auto"/>
        </w:rPr>
        <w:t>. The “Plan Sponsor” of the Plan is:</w:t>
      </w:r>
    </w:p>
    <w:p>
      <w:pPr>
        <w:spacing w:after="0" w:line="16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Diamondback Energy, Inc.</w:t>
      </w:r>
    </w:p>
    <w:p>
      <w:pPr>
        <w:ind w:left="2600"/>
        <w:spacing w:after="0" w:line="204" w:lineRule="auto"/>
        <w:rPr>
          <w:sz w:val="20"/>
          <w:szCs w:val="20"/>
          <w:color w:val="auto"/>
        </w:rPr>
      </w:pPr>
      <w:r>
        <w:rPr>
          <w:rFonts w:ascii="Arial" w:cs="Arial" w:eastAsia="Arial" w:hAnsi="Arial"/>
          <w:sz w:val="22"/>
          <w:szCs w:val="22"/>
          <w:color w:val="auto"/>
        </w:rPr>
        <w:t>500 West Texas</w:t>
      </w:r>
    </w:p>
    <w:p>
      <w:pPr>
        <w:ind w:left="2600"/>
        <w:spacing w:after="0" w:line="205" w:lineRule="auto"/>
        <w:rPr>
          <w:sz w:val="20"/>
          <w:szCs w:val="20"/>
          <w:color w:val="auto"/>
        </w:rPr>
      </w:pPr>
      <w:r>
        <w:rPr>
          <w:rFonts w:ascii="Arial" w:cs="Arial" w:eastAsia="Arial" w:hAnsi="Arial"/>
          <w:sz w:val="22"/>
          <w:szCs w:val="22"/>
          <w:color w:val="auto"/>
        </w:rPr>
        <w:t>Suite 1200</w:t>
      </w:r>
    </w:p>
    <w:p>
      <w:pPr>
        <w:ind w:left="2600"/>
        <w:spacing w:after="0" w:line="205" w:lineRule="auto"/>
        <w:rPr>
          <w:sz w:val="20"/>
          <w:szCs w:val="20"/>
          <w:color w:val="auto"/>
        </w:rPr>
      </w:pPr>
      <w:r>
        <w:rPr>
          <w:rFonts w:ascii="Arial" w:cs="Arial" w:eastAsia="Arial" w:hAnsi="Arial"/>
          <w:sz w:val="22"/>
          <w:szCs w:val="22"/>
          <w:color w:val="auto"/>
        </w:rPr>
        <w:t>Midland, TX 79701</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Attention: Jennifer Soliman, Executive Vice President, and Chief Human Resources Officer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the “Plan Administrator” of the Plan is:</w:t>
      </w:r>
    </w:p>
    <w:p>
      <w:pPr>
        <w:spacing w:after="0" w:line="1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Diamondback Energy, Inc.</w:t>
      </w:r>
    </w:p>
    <w:p>
      <w:pPr>
        <w:ind w:left="2600"/>
        <w:spacing w:after="0" w:line="204" w:lineRule="auto"/>
        <w:rPr>
          <w:sz w:val="20"/>
          <w:szCs w:val="20"/>
          <w:color w:val="auto"/>
        </w:rPr>
      </w:pPr>
      <w:r>
        <w:rPr>
          <w:rFonts w:ascii="Arial" w:cs="Arial" w:eastAsia="Arial" w:hAnsi="Arial"/>
          <w:sz w:val="22"/>
          <w:szCs w:val="22"/>
          <w:color w:val="auto"/>
        </w:rPr>
        <w:t>500 West Texas</w:t>
      </w:r>
    </w:p>
    <w:p>
      <w:pPr>
        <w:ind w:left="2600"/>
        <w:spacing w:after="0" w:line="205" w:lineRule="auto"/>
        <w:rPr>
          <w:sz w:val="20"/>
          <w:szCs w:val="20"/>
          <w:color w:val="auto"/>
        </w:rPr>
      </w:pPr>
      <w:r>
        <w:rPr>
          <w:rFonts w:ascii="Arial" w:cs="Arial" w:eastAsia="Arial" w:hAnsi="Arial"/>
          <w:sz w:val="22"/>
          <w:szCs w:val="22"/>
          <w:color w:val="auto"/>
        </w:rPr>
        <w:t>Suite 1200</w:t>
      </w:r>
    </w:p>
    <w:p>
      <w:pPr>
        <w:ind w:left="2600"/>
        <w:spacing w:after="0" w:line="205" w:lineRule="auto"/>
        <w:rPr>
          <w:sz w:val="20"/>
          <w:szCs w:val="20"/>
          <w:color w:val="auto"/>
        </w:rPr>
      </w:pPr>
      <w:r>
        <w:rPr>
          <w:rFonts w:ascii="Arial" w:cs="Arial" w:eastAsia="Arial" w:hAnsi="Arial"/>
          <w:sz w:val="22"/>
          <w:szCs w:val="22"/>
          <w:color w:val="auto"/>
        </w:rPr>
        <w:t>Midland, TX 79701</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Attention: Jennifer Soliman, Executive Vice President, and Chief Human Resources Officer</w:t>
      </w:r>
    </w:p>
    <w:p>
      <w:pPr>
        <w:spacing w:after="0" w:line="17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Plan Sponsor’s and Plan Administrator’s telephone number is (432) 221-7400. The Plan Administrator is the named fiduciary charged with the responsibility for administering the Plan.</w:t>
      </w:r>
    </w:p>
    <w:p>
      <w:pPr>
        <w:sectPr>
          <w:pgSz w:w="11900" w:h="16838" w:orient="portrait"/>
          <w:cols w:equalWidth="0" w:num="1">
            <w:col w:w="11240"/>
          </w:cols>
          <w:pgMar w:left="320" w:top="1152"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22"/>
          <w:szCs w:val="22"/>
          <w:b w:val="1"/>
          <w:bCs w:val="1"/>
          <w:color w:val="010000"/>
        </w:rPr>
        <w:t>ARTICLE 2</w:t>
      </w:r>
    </w:p>
    <w:p>
      <w:pPr>
        <w:jc w:val="center"/>
        <w:spacing w:after="0"/>
        <w:rPr>
          <w:sz w:val="20"/>
          <w:szCs w:val="20"/>
          <w:color w:val="auto"/>
        </w:rPr>
      </w:pPr>
      <w:r>
        <w:rPr>
          <w:rFonts w:ascii="Arial" w:cs="Arial" w:eastAsia="Arial" w:hAnsi="Arial"/>
          <w:sz w:val="22"/>
          <w:szCs w:val="22"/>
          <w:b w:val="1"/>
          <w:bCs w:val="1"/>
          <w:color w:val="auto"/>
        </w:rPr>
        <w:t>STATEMENT OF ERISA RIGHTS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Participants in this Plan (which is both a welfare benefit plan and a pension benefit plan sponsored by Diamondback Energy, Inc.) are entitled to certain rights and protections under ERISA. If you are designated as an Eligible Senior Executive by the Administrator, selected by the Administrator to participate in the Plan and have entered into a Participation Agreement with the Company, you are considered a Participant in the Plan and, under ERISA, you are entitled to: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Receive Information about Your Plan and Benefits</w:t>
      </w:r>
    </w:p>
    <w:p>
      <w:pPr>
        <w:spacing w:after="0" w:line="185" w:lineRule="exact"/>
        <w:rPr>
          <w:sz w:val="20"/>
          <w:szCs w:val="20"/>
          <w:color w:val="auto"/>
        </w:rPr>
      </w:pPr>
    </w:p>
    <w:p>
      <w:pPr>
        <w:jc w:val="both"/>
        <w:ind w:left="980" w:hanging="324"/>
        <w:spacing w:after="0" w:line="218" w:lineRule="auto"/>
        <w:tabs>
          <w:tab w:leader="none" w:pos="1178" w:val="left"/>
        </w:tabs>
        <w:numPr>
          <w:ilvl w:val="0"/>
          <w:numId w:val="86"/>
        </w:numPr>
        <w:rPr>
          <w:rFonts w:ascii="Arial" w:cs="Arial" w:eastAsia="Arial" w:hAnsi="Arial"/>
          <w:sz w:val="22"/>
          <w:szCs w:val="22"/>
          <w:b w:val="1"/>
          <w:bCs w:val="1"/>
          <w:color w:val="auto"/>
        </w:rPr>
      </w:pPr>
      <w:r>
        <w:rPr>
          <w:rFonts w:ascii="Arial" w:cs="Arial" w:eastAsia="Arial" w:hAnsi="Arial"/>
          <w:sz w:val="22"/>
          <w:szCs w:val="22"/>
          <w:color w:val="auto"/>
        </w:rPr>
        <w:t>Examine, without charge, at the Plan Administrator’s office and at other specified locations, such as worksites, all documents governing the Plan and a copy of the latest annual report (Form 5500 Series) filed by the Plan with the U.S. Department of Labor and available at the Public Disclosure Room of the Employee Benefits Security Administration;</w:t>
      </w:r>
    </w:p>
    <w:p>
      <w:pPr>
        <w:spacing w:after="0" w:line="160" w:lineRule="exact"/>
        <w:rPr>
          <w:rFonts w:ascii="Arial" w:cs="Arial" w:eastAsia="Arial" w:hAnsi="Arial"/>
          <w:sz w:val="22"/>
          <w:szCs w:val="22"/>
          <w:b w:val="1"/>
          <w:bCs w:val="1"/>
          <w:color w:val="auto"/>
        </w:rPr>
      </w:pPr>
    </w:p>
    <w:p>
      <w:pPr>
        <w:jc w:val="both"/>
        <w:ind w:left="980" w:hanging="324"/>
        <w:spacing w:after="0" w:line="223" w:lineRule="auto"/>
        <w:tabs>
          <w:tab w:leader="none" w:pos="1136" w:val="left"/>
        </w:tabs>
        <w:numPr>
          <w:ilvl w:val="0"/>
          <w:numId w:val="86"/>
        </w:numPr>
        <w:rPr>
          <w:rFonts w:ascii="Arial" w:cs="Arial" w:eastAsia="Arial" w:hAnsi="Arial"/>
          <w:sz w:val="22"/>
          <w:szCs w:val="22"/>
          <w:b w:val="1"/>
          <w:bCs w:val="1"/>
          <w:color w:val="auto"/>
        </w:rPr>
      </w:pPr>
      <w:r>
        <w:rPr>
          <w:rFonts w:ascii="Arial" w:cs="Arial" w:eastAsia="Arial" w:hAnsi="Arial"/>
          <w:sz w:val="22"/>
          <w:szCs w:val="22"/>
          <w:color w:val="auto"/>
        </w:rPr>
        <w:t>Obtain, upon written request to the Plan Administrator, copies of documents governing the operation of the Plan and copies of the latest annual report (Form 5500 Series) and updated Summary Plan Description. The Administrator may make a reasonable charge for the copies; and</w:t>
      </w:r>
    </w:p>
    <w:p>
      <w:pPr>
        <w:spacing w:after="0" w:line="158" w:lineRule="exact"/>
        <w:rPr>
          <w:rFonts w:ascii="Arial" w:cs="Arial" w:eastAsia="Arial" w:hAnsi="Arial"/>
          <w:sz w:val="22"/>
          <w:szCs w:val="22"/>
          <w:b w:val="1"/>
          <w:bCs w:val="1"/>
          <w:color w:val="auto"/>
        </w:rPr>
      </w:pPr>
    </w:p>
    <w:p>
      <w:pPr>
        <w:ind w:left="980" w:hanging="324"/>
        <w:spacing w:after="0" w:line="232" w:lineRule="auto"/>
        <w:tabs>
          <w:tab w:leader="none" w:pos="1139" w:val="left"/>
        </w:tabs>
        <w:numPr>
          <w:ilvl w:val="0"/>
          <w:numId w:val="86"/>
        </w:numPr>
        <w:rPr>
          <w:rFonts w:ascii="Arial" w:cs="Arial" w:eastAsia="Arial" w:hAnsi="Arial"/>
          <w:sz w:val="22"/>
          <w:szCs w:val="22"/>
          <w:b w:val="1"/>
          <w:bCs w:val="1"/>
          <w:color w:val="auto"/>
        </w:rPr>
      </w:pPr>
      <w:r>
        <w:rPr>
          <w:rFonts w:ascii="Arial" w:cs="Arial" w:eastAsia="Arial" w:hAnsi="Arial"/>
          <w:sz w:val="22"/>
          <w:szCs w:val="22"/>
          <w:color w:val="auto"/>
        </w:rPr>
        <w:t>Receive a summary of the Plan’s annual financial report. The Plan Administrator is required by law to furnish each participant with a copy of this summary annual report.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Prudent Actions by Plan Fiduciaries</w:t>
      </w:r>
    </w:p>
    <w:p>
      <w:pPr>
        <w:spacing w:after="0" w:line="18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In addition to creating rights for Plan participants, ERISA imposes duties upon the people who are responsible for the operation of the employee benefit plan. The people who operate the Plan, called “fiduciaries” of the Plan, have a duty to do so prudently and in the interest of you and other Plan participants and beneficiaries. No one, including your employer, your union or any other Person, may fire you or otherwise discriminate against you in any way to prevent you from obtaining a Plan benefit or exercising your rights under ERISA.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Enforce Your Rights</w:t>
      </w:r>
    </w:p>
    <w:p>
      <w:pPr>
        <w:spacing w:after="0" w:line="18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If your claim for a Plan benefit is denied or ignored, in whole or in part, you have a right to know why this was done, to obtain copies of documents relating to the decision without charge, and to appeal any denial, all within certain time schedules.</w:t>
      </w:r>
    </w:p>
    <w:p>
      <w:pPr>
        <w:spacing w:after="0" w:line="1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Administrator.</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If you have a claim for benefits, which is denied or ignored, in whole or in part, you may file suit in a state or Federal court. In addition, if you disagree with the Plan’s decision or lack thereof concerning the qualified status of a domestic relations order or a medical child support order, you may file suit in Federal court.</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39" w:right="33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22"/>
          <w:szCs w:val="22"/>
          <w:b w:val="1"/>
          <w:bCs w:val="1"/>
          <w:color w:val="auto"/>
        </w:rPr>
        <w:t>Assistance with Your Questions</w:t>
      </w:r>
    </w:p>
    <w:p>
      <w:pPr>
        <w:spacing w:after="0" w:line="18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52" w:right="33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22"/>
          <w:szCs w:val="22"/>
          <w:b w:val="1"/>
          <w:bCs w:val="1"/>
          <w:color w:val="auto"/>
        </w:rPr>
        <w:t>SCHEDULE 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multiple of base salary and the number of months that the multiple of base salary will continue to be paid upon an</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Eligible Termination outside of the Protection Period is determined based on the position of the Executive as follows:</w:t>
      </w:r>
    </w:p>
    <w:p>
      <w:pPr>
        <w:spacing w:after="0" w:line="214" w:lineRule="exact"/>
        <w:rPr>
          <w:sz w:val="20"/>
          <w:szCs w:val="20"/>
          <w:color w:val="auto"/>
        </w:rPr>
      </w:pPr>
    </w:p>
    <w:tbl>
      <w:tblPr>
        <w:tblLayout w:type="fixed"/>
        <w:tblInd w:w="1570" w:type="dxa"/>
        <w:tblCellMar>
          <w:top w:w="0" w:type="dxa"/>
          <w:left w:w="0" w:type="dxa"/>
          <w:bottom w:w="0" w:type="dxa"/>
          <w:right w:w="0" w:type="dxa"/>
        </w:tblCellMar>
      </w:tblPr>
      <w:tr>
        <w:trPr>
          <w:trHeight w:val="294"/>
        </w:trPr>
        <w:tc>
          <w:tcPr>
            <w:tcW w:w="3380" w:type="dxa"/>
            <w:vAlign w:val="bottom"/>
            <w:tcBorders>
              <w:top w:val="single" w:sz="8" w:color="auto"/>
              <w:left w:val="single" w:sz="8" w:color="auto"/>
              <w:right w:val="single" w:sz="8" w:color="auto"/>
            </w:tcBorders>
            <w:vMerge w:val="restart"/>
            <w:shd w:val="clear" w:color="auto" w:fill="4F81BD"/>
          </w:tcPr>
          <w:p>
            <w:pPr>
              <w:ind w:left="1300"/>
              <w:spacing w:after="0"/>
              <w:rPr>
                <w:sz w:val="20"/>
                <w:szCs w:val="20"/>
                <w:color w:val="auto"/>
              </w:rPr>
            </w:pPr>
            <w:r>
              <w:rPr>
                <w:rFonts w:ascii="Arial" w:cs="Arial" w:eastAsia="Arial" w:hAnsi="Arial"/>
                <w:sz w:val="22"/>
                <w:szCs w:val="22"/>
                <w:b w:val="1"/>
                <w:bCs w:val="1"/>
                <w:color w:val="auto"/>
              </w:rPr>
              <w:t>Position</w:t>
            </w:r>
          </w:p>
        </w:tc>
        <w:tc>
          <w:tcPr>
            <w:tcW w:w="240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22"/>
                <w:szCs w:val="22"/>
                <w:b w:val="1"/>
                <w:bCs w:val="1"/>
                <w:color w:val="auto"/>
                <w:w w:val="89"/>
              </w:rPr>
              <w:t>Multiple of Base Salary</w:t>
            </w:r>
          </w:p>
        </w:tc>
        <w:tc>
          <w:tcPr>
            <w:tcW w:w="238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22"/>
                <w:szCs w:val="22"/>
                <w:b w:val="1"/>
                <w:bCs w:val="1"/>
                <w:color w:val="auto"/>
                <w:w w:val="90"/>
              </w:rPr>
              <w:t>Number of Months</w:t>
            </w:r>
          </w:p>
        </w:tc>
        <w:tc>
          <w:tcPr>
            <w:tcW w:w="0" w:type="dxa"/>
            <w:vAlign w:val="bottom"/>
          </w:tcPr>
          <w:p>
            <w:pPr>
              <w:spacing w:after="0"/>
              <w:rPr>
                <w:sz w:val="1"/>
                <w:szCs w:val="1"/>
                <w:color w:val="auto"/>
              </w:rPr>
            </w:pPr>
          </w:p>
        </w:tc>
      </w:tr>
      <w:tr>
        <w:trPr>
          <w:trHeight w:val="204"/>
        </w:trPr>
        <w:tc>
          <w:tcPr>
            <w:tcW w:w="3380" w:type="dxa"/>
            <w:vAlign w:val="bottom"/>
            <w:tcBorders>
              <w:left w:val="single" w:sz="8" w:color="auto"/>
              <w:bottom w:val="single" w:sz="8" w:color="auto"/>
              <w:right w:val="single" w:sz="8" w:color="auto"/>
            </w:tcBorders>
            <w:vMerge w:val="continue"/>
            <w:shd w:val="clear" w:color="auto" w:fill="4F81BD"/>
          </w:tcPr>
          <w:p>
            <w:pPr>
              <w:spacing w:after="0"/>
              <w:rPr>
                <w:sz w:val="17"/>
                <w:szCs w:val="17"/>
                <w:color w:val="auto"/>
              </w:rPr>
            </w:pPr>
          </w:p>
        </w:tc>
        <w:tc>
          <w:tcPr>
            <w:tcW w:w="2400" w:type="dxa"/>
            <w:vAlign w:val="bottom"/>
            <w:tcBorders>
              <w:bottom w:val="single" w:sz="8" w:color="auto"/>
              <w:right w:val="single" w:sz="8" w:color="auto"/>
            </w:tcBorders>
            <w:shd w:val="clear" w:color="auto" w:fill="4F81BD"/>
          </w:tcPr>
          <w:p>
            <w:pPr>
              <w:spacing w:after="0"/>
              <w:rPr>
                <w:sz w:val="17"/>
                <w:szCs w:val="17"/>
                <w:color w:val="auto"/>
              </w:rPr>
            </w:pPr>
          </w:p>
        </w:tc>
        <w:tc>
          <w:tcPr>
            <w:tcW w:w="2380" w:type="dxa"/>
            <w:vAlign w:val="bottom"/>
            <w:tcBorders>
              <w:bottom w:val="single" w:sz="8" w:color="auto"/>
              <w:right w:val="single" w:sz="8" w:color="auto"/>
            </w:tcBorders>
            <w:shd w:val="clear" w:color="auto" w:fill="4F81BD"/>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Chief Executive Officer</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2x</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24</w:t>
            </w:r>
          </w:p>
        </w:tc>
        <w:tc>
          <w:tcPr>
            <w:tcW w:w="0" w:type="dxa"/>
            <w:vAlign w:val="bottom"/>
          </w:tcPr>
          <w:p>
            <w:pPr>
              <w:spacing w:after="0"/>
              <w:rPr>
                <w:sz w:val="1"/>
                <w:szCs w:val="1"/>
                <w:color w:val="auto"/>
              </w:rPr>
            </w:pPr>
          </w:p>
        </w:tc>
      </w:tr>
      <w:tr>
        <w:trPr>
          <w:trHeight w:val="263"/>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President</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1x</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21</w:t>
            </w:r>
          </w:p>
        </w:tc>
        <w:tc>
          <w:tcPr>
            <w:tcW w:w="0" w:type="dxa"/>
            <w:vAlign w:val="bottom"/>
          </w:tcPr>
          <w:p>
            <w:pPr>
              <w:spacing w:after="0"/>
              <w:rPr>
                <w:sz w:val="1"/>
                <w:szCs w:val="1"/>
                <w:color w:val="auto"/>
              </w:rPr>
            </w:pPr>
          </w:p>
        </w:tc>
      </w:tr>
      <w:tr>
        <w:trPr>
          <w:trHeight w:val="263"/>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Executive Vice-Presidents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1x</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18</w:t>
            </w:r>
          </w:p>
        </w:tc>
        <w:tc>
          <w:tcPr>
            <w:tcW w:w="0" w:type="dxa"/>
            <w:vAlign w:val="bottom"/>
          </w:tcPr>
          <w:p>
            <w:pPr>
              <w:spacing w:after="0"/>
              <w:rPr>
                <w:sz w:val="1"/>
                <w:szCs w:val="1"/>
                <w:color w:val="auto"/>
              </w:rPr>
            </w:pPr>
          </w:p>
        </w:tc>
      </w:tr>
      <w:tr>
        <w:trPr>
          <w:trHeight w:val="263"/>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Senior Vice-Presidents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1x</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15</w:t>
            </w:r>
          </w:p>
        </w:tc>
        <w:tc>
          <w:tcPr>
            <w:tcW w:w="0" w:type="dxa"/>
            <w:vAlign w:val="bottom"/>
          </w:tcPr>
          <w:p>
            <w:pPr>
              <w:spacing w:after="0"/>
              <w:rPr>
                <w:sz w:val="1"/>
                <w:szCs w:val="1"/>
                <w:color w:val="auto"/>
              </w:rPr>
            </w:pPr>
          </w:p>
        </w:tc>
      </w:tr>
      <w:tr>
        <w:trPr>
          <w:trHeight w:val="264"/>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Vice-Presidents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1x</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B</w:t>
      </w:r>
    </w:p>
    <w:p>
      <w:pPr>
        <w:spacing w:after="0" w:line="185" w:lineRule="exact"/>
        <w:rPr>
          <w:sz w:val="20"/>
          <w:szCs w:val="20"/>
          <w:color w:val="auto"/>
        </w:rPr>
      </w:pPr>
    </w:p>
    <w:p>
      <w:pPr>
        <w:ind w:right="200"/>
        <w:spacing w:after="0" w:line="232" w:lineRule="auto"/>
        <w:rPr>
          <w:sz w:val="20"/>
          <w:szCs w:val="20"/>
          <w:color w:val="auto"/>
        </w:rPr>
      </w:pPr>
      <w:r>
        <w:rPr>
          <w:rFonts w:ascii="Arial" w:cs="Arial" w:eastAsia="Arial" w:hAnsi="Arial"/>
          <w:sz w:val="22"/>
          <w:szCs w:val="22"/>
          <w:color w:val="auto"/>
        </w:rPr>
        <w:t>The Applicable Factor used to determine Severance Benefits related to a Change in Control is determined based on the position of the Executive as follows:</w:t>
      </w:r>
    </w:p>
    <w:p>
      <w:pPr>
        <w:spacing w:after="0" w:line="201" w:lineRule="exact"/>
        <w:rPr>
          <w:sz w:val="20"/>
          <w:szCs w:val="20"/>
          <w:color w:val="auto"/>
        </w:rPr>
      </w:pPr>
    </w:p>
    <w:tbl>
      <w:tblPr>
        <w:tblLayout w:type="fixed"/>
        <w:tblInd w:w="3030" w:type="dxa"/>
        <w:tblCellMar>
          <w:top w:w="0" w:type="dxa"/>
          <w:left w:w="0" w:type="dxa"/>
          <w:bottom w:w="0" w:type="dxa"/>
          <w:right w:w="0" w:type="dxa"/>
        </w:tblCellMar>
      </w:tblPr>
      <w:tr>
        <w:trPr>
          <w:trHeight w:val="283"/>
        </w:trPr>
        <w:tc>
          <w:tcPr>
            <w:tcW w:w="3080" w:type="dxa"/>
            <w:vAlign w:val="bottom"/>
            <w:tcBorders>
              <w:top w:val="single" w:sz="8" w:color="auto"/>
              <w:left w:val="single" w:sz="8" w:color="auto"/>
              <w:bottom w:val="single" w:sz="8" w:color="auto"/>
              <w:right w:val="single" w:sz="8" w:color="auto"/>
            </w:tcBorders>
            <w:shd w:val="clear" w:color="auto" w:fill="4F81BD"/>
          </w:tcPr>
          <w:p>
            <w:pPr>
              <w:ind w:left="1160"/>
              <w:spacing w:after="0"/>
              <w:rPr>
                <w:sz w:val="20"/>
                <w:szCs w:val="20"/>
                <w:color w:val="auto"/>
              </w:rPr>
            </w:pPr>
            <w:r>
              <w:rPr>
                <w:rFonts w:ascii="Arial" w:cs="Arial" w:eastAsia="Arial" w:hAnsi="Arial"/>
                <w:sz w:val="22"/>
                <w:szCs w:val="22"/>
                <w:b w:val="1"/>
                <w:bCs w:val="1"/>
                <w:color w:val="auto"/>
              </w:rPr>
              <w:t>Position</w:t>
            </w:r>
          </w:p>
        </w:tc>
        <w:tc>
          <w:tcPr>
            <w:tcW w:w="2160" w:type="dxa"/>
            <w:vAlign w:val="bottom"/>
            <w:tcBorders>
              <w:top w:val="single" w:sz="8" w:color="auto"/>
              <w:bottom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22"/>
                <w:szCs w:val="22"/>
                <w:b w:val="1"/>
                <w:bCs w:val="1"/>
                <w:color w:val="auto"/>
                <w:w w:val="89"/>
              </w:rPr>
              <w:t>Applicable Factor</w:t>
            </w:r>
          </w:p>
        </w:tc>
      </w:tr>
      <w:tr>
        <w:trPr>
          <w:trHeight w:val="264"/>
        </w:trPr>
        <w:tc>
          <w:tcPr>
            <w:tcW w:w="3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Chief Executive Officer</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3.00</w:t>
            </w:r>
          </w:p>
        </w:tc>
      </w:tr>
      <w:tr>
        <w:trPr>
          <w:trHeight w:val="263"/>
        </w:trPr>
        <w:tc>
          <w:tcPr>
            <w:tcW w:w="3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President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2.75</w:t>
            </w:r>
          </w:p>
        </w:tc>
      </w:tr>
      <w:tr>
        <w:trPr>
          <w:trHeight w:val="263"/>
        </w:trPr>
        <w:tc>
          <w:tcPr>
            <w:tcW w:w="3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Executive Vice-Presidents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2.50</w:t>
            </w:r>
          </w:p>
        </w:tc>
      </w:tr>
      <w:tr>
        <w:trPr>
          <w:trHeight w:val="263"/>
        </w:trPr>
        <w:tc>
          <w:tcPr>
            <w:tcW w:w="3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Senior Vice-Presidents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2.25</w:t>
            </w:r>
          </w:p>
        </w:tc>
      </w:tr>
      <w:tr>
        <w:trPr>
          <w:trHeight w:val="264"/>
        </w:trPr>
        <w:tc>
          <w:tcPr>
            <w:tcW w:w="30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Vice-Presidents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152" w:right="359" w:bottom="1440" w:gutter="0" w:footer="0" w:header="0"/>
        </w:sectPr>
      </w:pPr>
    </w:p>
    <w:bookmarkStart w:id="174" w:name="page175"/>
    <w:bookmarkEnd w:id="174"/>
    <w:p>
      <w:pPr>
        <w:ind w:left="4920"/>
        <w:spacing w:after="0"/>
        <w:rPr>
          <w:sz w:val="20"/>
          <w:szCs w:val="20"/>
          <w:color w:val="auto"/>
        </w:rPr>
      </w:pPr>
      <w:r>
        <w:rPr>
          <w:rFonts w:ascii="Arial" w:cs="Arial" w:eastAsia="Arial" w:hAnsi="Arial"/>
          <w:sz w:val="22"/>
          <w:szCs w:val="22"/>
          <w:b w:val="1"/>
          <w:bCs w:val="1"/>
          <w:color w:val="auto"/>
        </w:rPr>
        <w:t>SCHEDULE C</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PARTICIPATION AGREEMENT</w:t>
      </w:r>
    </w:p>
    <w:p>
      <w:pPr>
        <w:jc w:val="center"/>
        <w:spacing w:after="0" w:line="204" w:lineRule="auto"/>
        <w:rPr>
          <w:sz w:val="20"/>
          <w:szCs w:val="20"/>
          <w:color w:val="auto"/>
        </w:rPr>
      </w:pPr>
      <w:r>
        <w:rPr>
          <w:rFonts w:ascii="Arial" w:cs="Arial" w:eastAsia="Arial" w:hAnsi="Arial"/>
          <w:sz w:val="22"/>
          <w:szCs w:val="22"/>
          <w:b w:val="1"/>
          <w:bCs w:val="1"/>
          <w:color w:val="auto"/>
        </w:rPr>
        <w:t>DIAMONDBACK ENERGY,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SENIOR MANAGEMENT SEVERANCE PLAN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Participation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by and between _______________ (the</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or “</w:t>
      </w:r>
      <w:r>
        <w:rPr>
          <w:rFonts w:ascii="Arial" w:cs="Arial" w:eastAsia="Arial" w:hAnsi="Arial"/>
          <w:sz w:val="19"/>
          <w:szCs w:val="19"/>
          <w:b w:val="1"/>
          <w:bCs w:val="1"/>
          <w:color w:val="auto"/>
        </w:rPr>
        <w:t>you</w:t>
      </w:r>
      <w:r>
        <w:rPr>
          <w:rFonts w:ascii="Arial" w:cs="Arial" w:eastAsia="Arial" w:hAnsi="Arial"/>
          <w:sz w:val="19"/>
          <w:szCs w:val="19"/>
          <w:color w:val="auto"/>
        </w:rPr>
        <w:t>”) and Diamondback Energy,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effective as of [________]</w:t>
      </w: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The Company maintains the Diamondback Energy, Inc. Amended and Restated Senior Management Severance Plan (such plan, as it may be further amended, amended and restated or otherwise modified, the “</w:t>
      </w:r>
      <w:r>
        <w:rPr>
          <w:rFonts w:ascii="Arial" w:cs="Arial" w:eastAsia="Arial" w:hAnsi="Arial"/>
          <w:sz w:val="19"/>
          <w:szCs w:val="19"/>
          <w:b w:val="1"/>
          <w:bCs w:val="1"/>
          <w:color w:val="auto"/>
        </w:rPr>
        <w:t>Plan</w:t>
      </w:r>
      <w:r>
        <w:rPr>
          <w:rFonts w:ascii="Arial" w:cs="Arial" w:eastAsia="Arial" w:hAnsi="Arial"/>
          <w:sz w:val="19"/>
          <w:szCs w:val="19"/>
          <w:color w:val="auto"/>
        </w:rPr>
        <w:t>”) to provide for specified severance benefits in connection with certain Eligible Terminations (as defined in the Plan). You have been selected by the Plan Administrator to be a Participant in the Plan. The Participant hereby acknowledges that Participant has read and understands the terms of the Plan and agrees to participate in the Plan. You also expressly acknowledge and agree that participation in the Plan replaces and supersedes any offer letter, employment agreement or similar agreement made by and between you and the Company or any of its Affiliates, and that any such agreement will be terminated and you will no longer be entitled to any benefits under such agreement upon execution of this Agreement and participation in the Plan.</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Participant further acknowledges and agrees that Section 3 of the Plan contains certain Restrictive Covenants, including covenants prohibiting competition, solicitation and disparagement. By signing this Participation Agreement, Participant is subject to the prohibited activities and Restrictive Covenants in Section 3 of the Plan, and Participant acknowledges and agrees that the violation of the provisions of Section 3 of the Plan may result in a loss of benefits under the Plan.</w:t>
      </w:r>
    </w:p>
    <w:p>
      <w:pPr>
        <w:spacing w:after="0" w:line="13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of the parties has executed this Agreement, in the case of the Company by its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 as of the day and year written below, effective as of the Effective Date written above.</w:t>
      </w:r>
    </w:p>
    <w:p>
      <w:pPr>
        <w:spacing w:after="0" w:line="207"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22"/>
          <w:szCs w:val="22"/>
          <w:b w:val="1"/>
          <w:bCs w:val="1"/>
          <w:color w:val="auto"/>
        </w:rPr>
        <w:t>DIAMONDBACK ENERGY, INC.</w:t>
      </w:r>
      <w:r>
        <w:rPr>
          <w:sz w:val="20"/>
          <w:szCs w:val="20"/>
          <w:color w:val="auto"/>
        </w:rPr>
        <w:tab/>
      </w:r>
      <w:r>
        <w:rPr>
          <w:rFonts w:ascii="Arial" w:cs="Arial" w:eastAsia="Arial" w:hAnsi="Arial"/>
          <w:sz w:val="21"/>
          <w:szCs w:val="21"/>
          <w:b w:val="1"/>
          <w:bCs w:val="1"/>
          <w:color w:val="auto"/>
        </w:rPr>
        <w:t>PARTICIPANT</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15875</wp:posOffset>
            </wp:positionV>
            <wp:extent cx="62236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8">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1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Travis D. Stice, Chief Executive Officer</w:t>
      </w:r>
    </w:p>
    <w:p>
      <w:pPr>
        <w:spacing w:after="0" w:line="287"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22"/>
          <w:szCs w:val="22"/>
          <w:color w:val="auto"/>
        </w:rPr>
        <w:t>Dated: [___________]</w:t>
      </w:r>
      <w:r>
        <w:rPr>
          <w:sz w:val="20"/>
          <w:szCs w:val="20"/>
          <w:color w:val="auto"/>
        </w:rPr>
        <w:tab/>
      </w:r>
      <w:r>
        <w:rPr>
          <w:rFonts w:ascii="Arial" w:cs="Arial" w:eastAsia="Arial" w:hAnsi="Arial"/>
          <w:sz w:val="19"/>
          <w:szCs w:val="19"/>
          <w:color w:val="auto"/>
        </w:rPr>
        <w:t>Dated: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152"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6700"/>
              <w:spacing w:after="0"/>
              <w:rPr>
                <w:sz w:val="20"/>
                <w:szCs w:val="20"/>
                <w:color w:val="auto"/>
              </w:rPr>
            </w:pPr>
            <w:r>
              <w:rPr>
                <w:rFonts w:ascii="Arial" w:cs="Arial" w:eastAsia="Arial" w:hAnsi="Arial"/>
                <w:sz w:val="18"/>
                <w:szCs w:val="18"/>
                <w:b w:val="1"/>
                <w:bCs w:val="1"/>
                <w:color w:val="auto"/>
                <w:w w:val="89"/>
              </w:rPr>
              <w:t>Exhibit 21.1</w:t>
            </w:r>
          </w:p>
        </w:tc>
      </w:tr>
      <w:tr>
        <w:trPr>
          <w:trHeight w:val="441"/>
        </w:trPr>
        <w:tc>
          <w:tcPr>
            <w:tcW w:w="3620" w:type="dxa"/>
            <w:vAlign w:val="bottom"/>
          </w:tcPr>
          <w:p>
            <w:pPr>
              <w:spacing w:after="0"/>
              <w:rPr>
                <w:sz w:val="24"/>
                <w:szCs w:val="24"/>
                <w:color w:val="auto"/>
              </w:rPr>
            </w:pPr>
          </w:p>
        </w:tc>
        <w:tc>
          <w:tcPr>
            <w:tcW w:w="7620" w:type="dxa"/>
            <w:vAlign w:val="bottom"/>
            <w:gridSpan w:val="2"/>
          </w:tcPr>
          <w:p>
            <w:pPr>
              <w:jc w:val="center"/>
              <w:ind w:right="3600"/>
              <w:spacing w:after="0"/>
              <w:rPr>
                <w:sz w:val="20"/>
                <w:szCs w:val="20"/>
                <w:color w:val="auto"/>
              </w:rPr>
            </w:pPr>
            <w:r>
              <w:rPr>
                <w:rFonts w:ascii="Arial" w:cs="Arial" w:eastAsia="Arial" w:hAnsi="Arial"/>
                <w:sz w:val="18"/>
                <w:szCs w:val="18"/>
                <w:b w:val="1"/>
                <w:bCs w:val="1"/>
                <w:color w:val="auto"/>
                <w:w w:val="91"/>
              </w:rPr>
              <w:t>Diamondback Energy, Inc.</w:t>
            </w:r>
          </w:p>
        </w:tc>
      </w:tr>
      <w:tr>
        <w:trPr>
          <w:trHeight w:val="234"/>
        </w:trPr>
        <w:tc>
          <w:tcPr>
            <w:tcW w:w="3620" w:type="dxa"/>
            <w:vAlign w:val="bottom"/>
          </w:tcPr>
          <w:p>
            <w:pPr>
              <w:spacing w:after="0"/>
              <w:rPr>
                <w:sz w:val="20"/>
                <w:szCs w:val="20"/>
                <w:color w:val="auto"/>
              </w:rPr>
            </w:pPr>
          </w:p>
        </w:tc>
        <w:tc>
          <w:tcPr>
            <w:tcW w:w="762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89"/>
              </w:rPr>
              <w:t>Subsidiaries of Registrant</w:t>
            </w:r>
          </w:p>
        </w:tc>
      </w:tr>
      <w:tr>
        <w:trPr>
          <w:trHeight w:val="122"/>
        </w:trPr>
        <w:tc>
          <w:tcPr>
            <w:tcW w:w="3620" w:type="dxa"/>
            <w:vAlign w:val="bottom"/>
          </w:tcPr>
          <w:p>
            <w:pPr>
              <w:spacing w:after="0"/>
              <w:rPr>
                <w:sz w:val="10"/>
                <w:szCs w:val="10"/>
                <w:color w:val="auto"/>
              </w:rPr>
            </w:pPr>
          </w:p>
        </w:tc>
        <w:tc>
          <w:tcPr>
            <w:tcW w:w="7620" w:type="dxa"/>
            <w:vAlign w:val="bottom"/>
            <w:gridSpan w:val="2"/>
          </w:tcPr>
          <w:p>
            <w:pPr>
              <w:spacing w:after="0"/>
              <w:rPr>
                <w:sz w:val="10"/>
                <w:szCs w:val="10"/>
                <w:color w:val="auto"/>
              </w:rPr>
            </w:pPr>
          </w:p>
        </w:tc>
      </w:tr>
      <w:tr>
        <w:trPr>
          <w:trHeight w:val="223"/>
        </w:trPr>
        <w:tc>
          <w:tcPr>
            <w:tcW w:w="3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7580" w:type="dxa"/>
            <w:vAlign w:val="bottom"/>
            <w:tcBorders>
              <w:top w:val="single" w:sz="8" w:color="auto"/>
              <w:bottom w:val="single" w:sz="8" w:color="auto"/>
            </w:tcBorders>
          </w:tcPr>
          <w:p>
            <w:pPr>
              <w:jc w:val="center"/>
              <w:ind w:left="4850"/>
              <w:spacing w:after="0"/>
              <w:rPr>
                <w:sz w:val="20"/>
                <w:szCs w:val="20"/>
                <w:color w:val="auto"/>
              </w:rPr>
            </w:pPr>
            <w:r>
              <w:rPr>
                <w:rFonts w:ascii="Arial" w:cs="Arial" w:eastAsia="Arial" w:hAnsi="Arial"/>
                <w:sz w:val="18"/>
                <w:szCs w:val="18"/>
                <w:b w:val="1"/>
                <w:bCs w:val="1"/>
                <w:color w:val="auto"/>
                <w:w w:val="91"/>
              </w:rPr>
              <w:t>Jurisdiction of Incorporation</w:t>
            </w:r>
          </w:p>
        </w:tc>
        <w:tc>
          <w:tcPr>
            <w:tcW w:w="40" w:type="dxa"/>
            <w:vAlign w:val="bottom"/>
          </w:tcPr>
          <w:p>
            <w:pPr>
              <w:spacing w:after="0"/>
              <w:rPr>
                <w:sz w:val="19"/>
                <w:szCs w:val="19"/>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Diamondback E&amp;P LLC</w:t>
            </w:r>
          </w:p>
        </w:tc>
        <w:tc>
          <w:tcPr>
            <w:tcW w:w="7580" w:type="dxa"/>
            <w:vAlign w:val="bottom"/>
            <w:shd w:val="clear" w:color="auto" w:fill="CCEEFF"/>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Mustang Springs Oil Terminal, LLC</w:t>
            </w:r>
          </w:p>
        </w:tc>
        <w:tc>
          <w:tcPr>
            <w:tcW w:w="7580" w:type="dxa"/>
            <w:vAlign w:val="bottom"/>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Midstream GP LLC</w:t>
            </w:r>
          </w:p>
        </w:tc>
        <w:tc>
          <w:tcPr>
            <w:tcW w:w="7580" w:type="dxa"/>
            <w:vAlign w:val="bottom"/>
            <w:shd w:val="clear" w:color="auto" w:fill="CCEEFF"/>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Rattler Midstream Operating LLC</w:t>
            </w:r>
          </w:p>
        </w:tc>
        <w:tc>
          <w:tcPr>
            <w:tcW w:w="7580" w:type="dxa"/>
            <w:vAlign w:val="bottom"/>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Midstream LP</w:t>
            </w:r>
          </w:p>
        </w:tc>
        <w:tc>
          <w:tcPr>
            <w:tcW w:w="7580" w:type="dxa"/>
            <w:vAlign w:val="bottom"/>
            <w:shd w:val="clear" w:color="auto" w:fill="CCEEFF"/>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Tall City Towers LLC</w:t>
            </w:r>
          </w:p>
        </w:tc>
        <w:tc>
          <w:tcPr>
            <w:tcW w:w="7580" w:type="dxa"/>
            <w:vAlign w:val="bottom"/>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QEP Energy Company</w:t>
            </w:r>
          </w:p>
        </w:tc>
        <w:tc>
          <w:tcPr>
            <w:tcW w:w="7580" w:type="dxa"/>
            <w:vAlign w:val="bottom"/>
            <w:shd w:val="clear" w:color="auto" w:fill="CCEEFF"/>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QEP Resources, Inc.</w:t>
            </w:r>
          </w:p>
        </w:tc>
        <w:tc>
          <w:tcPr>
            <w:tcW w:w="7580" w:type="dxa"/>
            <w:vAlign w:val="bottom"/>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Ajax Processing LLC</w:t>
            </w:r>
          </w:p>
        </w:tc>
        <w:tc>
          <w:tcPr>
            <w:tcW w:w="7580" w:type="dxa"/>
            <w:vAlign w:val="bottom"/>
            <w:shd w:val="clear" w:color="auto" w:fill="CCEEFF"/>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Rattler OMOG LLC</w:t>
            </w:r>
          </w:p>
        </w:tc>
        <w:tc>
          <w:tcPr>
            <w:tcW w:w="7580" w:type="dxa"/>
            <w:vAlign w:val="bottom"/>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WTG LLC</w:t>
            </w:r>
          </w:p>
        </w:tc>
        <w:tc>
          <w:tcPr>
            <w:tcW w:w="7580" w:type="dxa"/>
            <w:vAlign w:val="bottom"/>
            <w:shd w:val="clear" w:color="auto" w:fill="CCEEFF"/>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c>
          <w:tcPr>
            <w:tcW w:w="7580" w:type="dxa"/>
            <w:vAlign w:val="bottom"/>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 Energy Partners LP</w:t>
            </w:r>
          </w:p>
        </w:tc>
        <w:tc>
          <w:tcPr>
            <w:tcW w:w="7580" w:type="dxa"/>
            <w:vAlign w:val="bottom"/>
            <w:shd w:val="clear" w:color="auto" w:fill="CCEEFF"/>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19"/>
                <w:szCs w:val="19"/>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Viper Energy Partners LLC</w:t>
            </w:r>
          </w:p>
        </w:tc>
        <w:tc>
          <w:tcPr>
            <w:tcW w:w="7580" w:type="dxa"/>
            <w:vAlign w:val="bottom"/>
          </w:tcPr>
          <w:p>
            <w:pPr>
              <w:jc w:val="center"/>
              <w:ind w:left="4850"/>
              <w:spacing w:after="0"/>
              <w:rPr>
                <w:sz w:val="20"/>
                <w:szCs w:val="20"/>
                <w:color w:val="auto"/>
              </w:rPr>
            </w:pPr>
            <w:r>
              <w:rPr>
                <w:rFonts w:ascii="Arial" w:cs="Arial" w:eastAsia="Arial" w:hAnsi="Arial"/>
                <w:sz w:val="18"/>
                <w:szCs w:val="18"/>
                <w:color w:val="auto"/>
                <w:w w:val="89"/>
              </w:rPr>
              <w:t>Delaware</w:t>
            </w:r>
          </w:p>
        </w:tc>
        <w:tc>
          <w:tcPr>
            <w:tcW w:w="40" w:type="dxa"/>
            <w:vAlign w:val="bottom"/>
          </w:tcPr>
          <w:p>
            <w:pPr>
              <w:spacing w:after="0"/>
              <w:rPr>
                <w:sz w:val="20"/>
                <w:szCs w:val="20"/>
                <w:color w:val="auto"/>
              </w:rPr>
            </w:pPr>
          </w:p>
        </w:tc>
      </w:tr>
    </w:tbl>
    <w:p>
      <w:pPr>
        <w:sectPr>
          <w:pgSz w:w="11900" w:h="16838" w:orient="portrait"/>
          <w:cols w:equalWidth="0" w:num="1">
            <w:col w:w="11240"/>
          </w:cols>
          <w:pgMar w:left="320" w:top="891"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23.1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0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have issued our reports dated February 24, 2022, with respect to the consolidated financial statements and internal control over financial reporting included in the Annual Report of Diamondback Energy, Inc. on Form 10-K for the year ended December 31, 2021. We consent to the incorporation by reference of said reports in the Registration Statements of Diamondback Energy, Inc. on Forms S-3ASR (File No. 333-234764, effective November 18, 2019; and File No. 333-255731, effective May 3, 2021) and on Forms S-8 (File No. 333-188552, effective May 13, 2013; File No. 333-215798, effective January 27, 2017; File No. 333-228637, effective November 30, 2018; File No. 333-235671, effective December 23, 2019; and File No. 333-257561, effective June 30, 2021).</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Oklahoma City, Oklahoma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2022</w:t>
      </w:r>
    </w:p>
    <w:p>
      <w:pPr>
        <w:sectPr>
          <w:pgSz w:w="11900" w:h="16838" w:orient="portrait"/>
          <w:cols w:equalWidth="0" w:num="1">
            <w:col w:w="11240"/>
          </w:cols>
          <w:pgMar w:left="320" w:top="891"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b w:val="1"/>
          <w:bCs w:val="1"/>
          <w:color w:val="auto"/>
        </w:rPr>
        <w:t>Exhibit 23.2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2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issued our report dated January 5, 2022 on estimates of proved reserves, future production and income attributable to certain leasehold interest of Diamondback Energy, Inc. (“Diamondback”) as of December 31, 2021.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333-234764, effective November 18, 2019) and (File No. 333-255731, effective May 3, 2021) and on Forms S-8 (File No. 333-188552, effective May 13, 2013), (File No. 333-215798, effective January 27, 2017), (File No. 333-228637, effective November 30, 2018), (File No. 333-235671, effective December 23, 2019) and (File No. 333-257561, effective June 30, 2021).</w:t>
      </w:r>
    </w:p>
    <w:p>
      <w:pPr>
        <w:spacing w:after="0" w:line="64"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10160</wp:posOffset>
            </wp:positionV>
            <wp:extent cx="30003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90" w:lineRule="exact"/>
        <w:rPr>
          <w:sz w:val="20"/>
          <w:szCs w:val="20"/>
          <w:color w:val="auto"/>
        </w:rPr>
      </w:pPr>
    </w:p>
    <w:p>
      <w:pPr>
        <w:ind w:left="6500"/>
        <w:spacing w:after="0"/>
        <w:rPr>
          <w:sz w:val="20"/>
          <w:szCs w:val="20"/>
          <w:color w:val="auto"/>
        </w:rPr>
      </w:pPr>
      <w:r>
        <w:rPr>
          <w:rFonts w:ascii="Arial" w:cs="Arial" w:eastAsia="Arial" w:hAnsi="Arial"/>
          <w:sz w:val="20"/>
          <w:szCs w:val="20"/>
          <w:b w:val="1"/>
          <w:bCs w:val="1"/>
          <w:color w:val="auto"/>
        </w:rPr>
        <w:t>RYDER SCOTT COMPANY, L.P.</w:t>
      </w:r>
    </w:p>
    <w:p>
      <w:pPr>
        <w:spacing w:after="0" w:line="26"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TBPELS Firm Registration No. F-1580</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2022</w:t>
      </w:r>
    </w:p>
    <w:p>
      <w:pPr>
        <w:sectPr>
          <w:pgSz w:w="11900" w:h="16838" w:orient="portrait"/>
          <w:cols w:equalWidth="0" w:num="1">
            <w:col w:w="11240"/>
          </w:cols>
          <w:pgMar w:left="320" w:top="940"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0"/>
          <w:szCs w:val="20"/>
          <w:b w:val="1"/>
          <w:bCs w:val="1"/>
          <w:color w:val="auto"/>
        </w:rPr>
        <w:t>Exhibit 23.3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29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have issued our report dated January 5, 2022 on estimates of proved reserves, future production and income attributable to certain royalty interests of Viper Energy Partners LP, a subsidiary of Diamondback Energy, Inc. (“Diamondback”), as of December 31, 2021.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333-234764, effective November 18, 2019) and (File No. 333-255731, effective May 3, 2021) and on Forms S-8 (File No. 333-188552, effective May 13, 2013), (File No. 333-215798, effective January 27, 2017), (File No. 333-228637, effective November 30, 2018), (File No. 333-235671, effective December 23, 2019) and (File No. 333-257561, effective June 30, 2021).</w:t>
      </w:r>
    </w:p>
    <w:p>
      <w:pPr>
        <w:spacing w:after="0" w:line="103"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10160</wp:posOffset>
            </wp:positionV>
            <wp:extent cx="30003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0">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36" w:lineRule="exact"/>
        <w:rPr>
          <w:sz w:val="20"/>
          <w:szCs w:val="20"/>
          <w:color w:val="auto"/>
        </w:rPr>
      </w:pPr>
    </w:p>
    <w:p>
      <w:pPr>
        <w:ind w:left="6500"/>
        <w:spacing w:after="0"/>
        <w:rPr>
          <w:sz w:val="20"/>
          <w:szCs w:val="20"/>
          <w:color w:val="auto"/>
        </w:rPr>
      </w:pPr>
      <w:r>
        <w:rPr>
          <w:rFonts w:ascii="Arial" w:cs="Arial" w:eastAsia="Arial" w:hAnsi="Arial"/>
          <w:sz w:val="20"/>
          <w:szCs w:val="20"/>
          <w:b w:val="1"/>
          <w:bCs w:val="1"/>
          <w:color w:val="auto"/>
        </w:rPr>
        <w:t>RYDER SCOTT COMPANY, L.P.</w:t>
      </w:r>
    </w:p>
    <w:p>
      <w:pPr>
        <w:spacing w:after="0" w:line="26"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TBPELS Firm Registration No. F-1580</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2022</w:t>
      </w:r>
    </w:p>
    <w:p>
      <w:pPr>
        <w:sectPr>
          <w:pgSz w:w="11900" w:h="16838" w:orient="portrait"/>
          <w:cols w:equalWidth="0" w:num="1">
            <w:col w:w="11240"/>
          </w:cols>
          <w:pgMar w:left="320" w:top="940"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979"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995" w:val="left"/>
        </w:tabs>
        <w:numPr>
          <w:ilvl w:val="1"/>
          <w:numId w:val="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90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104" w:lineRule="exact"/>
        <w:rPr>
          <w:sz w:val="20"/>
          <w:szCs w:val="20"/>
          <w:color w:val="auto"/>
        </w:rPr>
      </w:pPr>
    </w:p>
    <w:p>
      <w:pPr>
        <w:ind w:left="360" w:hanging="312"/>
        <w:spacing w:after="0"/>
        <w:tabs>
          <w:tab w:leader="none" w:pos="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979"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995" w:val="left"/>
        </w:tabs>
        <w:numPr>
          <w:ilvl w:val="1"/>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907"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 Travis D. Stice, Chief Executive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3"/>
        <w:spacing w:after="0" w:line="277" w:lineRule="auto"/>
        <w:tabs>
          <w:tab w:leader="none" w:pos="70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7"/>
        <w:spacing w:after="0"/>
        <w:tabs>
          <w:tab w:leader="none" w:pos="7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 Kaes Van't Hof, Chief Financial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3"/>
        <w:spacing w:after="0" w:line="277" w:lineRule="auto"/>
        <w:tabs>
          <w:tab w:leader="none" w:pos="70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2021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7"/>
        <w:spacing w:after="0"/>
        <w:tabs>
          <w:tab w:leader="none" w:pos="7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60"/>
              <w:spacing w:after="0"/>
              <w:rPr>
                <w:sz w:val="20"/>
                <w:szCs w:val="20"/>
                <w:color w:val="auto"/>
              </w:rPr>
            </w:pPr>
            <w:r>
              <w:rPr>
                <w:rFonts w:ascii="Arial" w:cs="Arial" w:eastAsia="Arial" w:hAnsi="Arial"/>
                <w:sz w:val="18"/>
                <w:szCs w:val="18"/>
                <w:color w:val="auto"/>
              </w:rPr>
              <w:t>February 24,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5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5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Estimated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Future Reserves and Income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Attributable to Certain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Leasehold and 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Val Rick Robinson</w:t>
            </w:r>
          </w:p>
        </w:tc>
        <w:tc>
          <w:tcPr>
            <w:tcW w:w="200" w:type="dxa"/>
            <w:vAlign w:val="bottom"/>
          </w:tcPr>
          <w:p>
            <w:pPr>
              <w:spacing w:after="0"/>
              <w:rPr>
                <w:sz w:val="20"/>
                <w:szCs w:val="20"/>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Syed R. Rizvi</w:t>
            </w:r>
          </w:p>
        </w:tc>
      </w:tr>
      <w:tr>
        <w:trPr>
          <w:trHeight w:val="240"/>
        </w:trPr>
        <w:tc>
          <w:tcPr>
            <w:tcW w:w="5720" w:type="dxa"/>
            <w:vAlign w:val="bottom"/>
            <w:gridSpan w:val="2"/>
          </w:tcPr>
          <w:p>
            <w:pPr>
              <w:jc w:val="center"/>
              <w:ind w:right="180"/>
              <w:spacing w:after="0"/>
              <w:rPr>
                <w:sz w:val="20"/>
                <w:szCs w:val="20"/>
                <w:color w:val="auto"/>
              </w:rPr>
            </w:pPr>
            <w:r>
              <w:rPr>
                <w:rFonts w:ascii="Arial" w:cs="Arial" w:eastAsia="Arial" w:hAnsi="Arial"/>
                <w:sz w:val="20"/>
                <w:szCs w:val="20"/>
                <w:color w:val="auto"/>
                <w:w w:val="97"/>
              </w:rPr>
              <w:t>Val Rick Robinson, P.E.</w:t>
            </w:r>
          </w:p>
        </w:tc>
        <w:tc>
          <w:tcPr>
            <w:tcW w:w="5520" w:type="dxa"/>
            <w:vAlign w:val="bottom"/>
          </w:tcPr>
          <w:p>
            <w:pPr>
              <w:jc w:val="center"/>
              <w:spacing w:after="0"/>
              <w:rPr>
                <w:sz w:val="20"/>
                <w:szCs w:val="20"/>
                <w:color w:val="auto"/>
              </w:rPr>
            </w:pPr>
            <w:r>
              <w:rPr>
                <w:rFonts w:ascii="Arial" w:cs="Arial" w:eastAsia="Arial" w:hAnsi="Arial"/>
                <w:sz w:val="20"/>
                <w:szCs w:val="20"/>
                <w:color w:val="auto"/>
                <w:w w:val="99"/>
              </w:rPr>
              <w:t>Syed R. Rizvi</w:t>
            </w:r>
          </w:p>
        </w:tc>
      </w:tr>
      <w:tr>
        <w:trPr>
          <w:trHeight w:val="243"/>
        </w:trPr>
        <w:tc>
          <w:tcPr>
            <w:tcW w:w="5720" w:type="dxa"/>
            <w:vAlign w:val="bottom"/>
            <w:gridSpan w:val="2"/>
          </w:tcPr>
          <w:p>
            <w:pPr>
              <w:jc w:val="center"/>
              <w:ind w:right="200"/>
              <w:spacing w:after="0"/>
              <w:rPr>
                <w:sz w:val="20"/>
                <w:szCs w:val="20"/>
                <w:color w:val="auto"/>
              </w:rPr>
            </w:pPr>
            <w:r>
              <w:rPr>
                <w:rFonts w:ascii="Arial" w:cs="Arial" w:eastAsia="Arial" w:hAnsi="Arial"/>
                <w:sz w:val="20"/>
                <w:szCs w:val="20"/>
                <w:color w:val="auto"/>
                <w:w w:val="98"/>
              </w:rPr>
              <w:t>TBPELS License No. 105137</w:t>
            </w:r>
          </w:p>
        </w:tc>
        <w:tc>
          <w:tcPr>
            <w:tcW w:w="5520" w:type="dxa"/>
            <w:vAlign w:val="bottom"/>
          </w:tcPr>
          <w:p>
            <w:pPr>
              <w:jc w:val="center"/>
              <w:spacing w:after="0"/>
              <w:rPr>
                <w:sz w:val="20"/>
                <w:szCs w:val="20"/>
                <w:color w:val="auto"/>
              </w:rPr>
            </w:pPr>
            <w:r>
              <w:rPr>
                <w:rFonts w:ascii="Arial" w:cs="Arial" w:eastAsia="Arial" w:hAnsi="Arial"/>
                <w:sz w:val="20"/>
                <w:szCs w:val="20"/>
                <w:color w:val="auto"/>
                <w:w w:val="98"/>
              </w:rPr>
              <w:t>Senior Petroleum Engineer</w:t>
            </w:r>
          </w:p>
        </w:tc>
      </w:tr>
    </w:tbl>
    <w:p>
      <w:pPr>
        <w:spacing w:after="0" w:line="6"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Managing Senior Vice President</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RYDER SCOTT COMPANY, L.P.</w:t>
      </w:r>
    </w:p>
    <w:p>
      <w:pPr>
        <w:jc w:val="center"/>
        <w:spacing w:after="0"/>
        <w:rPr>
          <w:sz w:val="20"/>
          <w:szCs w:val="20"/>
          <w:color w:val="auto"/>
        </w:rPr>
      </w:pPr>
      <w:r>
        <w:rPr>
          <w:rFonts w:ascii="Arial" w:cs="Arial" w:eastAsia="Arial" w:hAnsi="Arial"/>
          <w:sz w:val="20"/>
          <w:szCs w:val="20"/>
          <w:color w:val="auto"/>
        </w:rPr>
        <w:t>TBPELS Firm Registration No. F-1580</w:t>
      </w: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240"/>
          </w:cols>
          <w:pgMar w:left="320" w:top="1336" w:right="33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3"/>
          <w:szCs w:val="13"/>
          <w:color w:val="auto"/>
        </w:rPr>
        <w:t>RYDER SCOTT COMPANY</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PETROLEUM CONSULTANTS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TBPELS REGISTERED ENGINEERING FIRM F-1580 FAX (713) 651-0849</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1100 LOUISIANA SUITE 4600 HOUSTON, TEXAS 77002-5294 TELEPHONE (713) 651-9191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January 5, 2022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Diamondback Energy, Inc.</w:t>
      </w: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leasehold and royalty interests of Diamondback Energy, Inc. (Diamondback) as of December 31, 2021. The subject properties are located in the states of New Mexico and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December 31, 2021 and presented herein, was prepared for public disclosure by Diamondback in filings made with the SEC in accordance with the disclosure requirements set forth in the SEC regulations.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Diamondback as of December 31, 2021.</w:t>
      </w: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2021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tabs>
          <w:tab w:leader="none" w:pos="100" w:val="left"/>
          <w:tab w:leader="none" w:pos="120" w:val="left"/>
        </w:tabs>
        <w:rPr>
          <w:sz w:val="20"/>
          <w:szCs w:val="20"/>
          <w:color w:val="auto"/>
        </w:rPr>
      </w:pPr>
      <w:r>
        <w:rPr>
          <w:rFonts w:ascii="Arial" w:cs="Arial" w:eastAsia="Arial" w:hAnsi="Arial"/>
          <w:sz w:val="13"/>
          <w:szCs w:val="13"/>
          <w:color w:val="auto"/>
        </w:rPr>
        <w:t>SUITE 2800, 350 7TH AVENUE, S.W.</w:t>
        <w:tab/>
        <w:t>CALGARY, ALBERTA T2P 3N9</w:t>
      </w:r>
      <w:r>
        <w:rPr>
          <w:sz w:val="20"/>
          <w:szCs w:val="20"/>
          <w:color w:val="auto"/>
        </w:rPr>
        <w:tab/>
      </w:r>
      <w:r>
        <w:rPr>
          <w:rFonts w:ascii="Arial" w:cs="Arial" w:eastAsia="Arial" w:hAnsi="Arial"/>
          <w:sz w:val="12"/>
          <w:szCs w:val="12"/>
          <w:color w:val="auto"/>
        </w:rPr>
        <w:t>TEL (403) 262-2799</w:t>
      </w:r>
    </w:p>
    <w:p>
      <w:pPr>
        <w:spacing w:after="0" w:line="23" w:lineRule="exact"/>
        <w:rPr>
          <w:sz w:val="20"/>
          <w:szCs w:val="20"/>
          <w:color w:val="auto"/>
        </w:rPr>
      </w:pPr>
    </w:p>
    <w:p>
      <w:pPr>
        <w:jc w:val="center"/>
        <w:ind w:right="-139"/>
        <w:spacing w:after="0"/>
        <w:tabs>
          <w:tab w:leader="none" w:pos="120" w:val="left"/>
          <w:tab w:leader="none" w:pos="100" w:val="left"/>
        </w:tabs>
        <w:rPr>
          <w:sz w:val="20"/>
          <w:szCs w:val="20"/>
          <w:color w:val="auto"/>
        </w:rPr>
      </w:pPr>
      <w:r>
        <w:rPr>
          <w:rFonts w:ascii="Arial" w:cs="Arial" w:eastAsia="Arial" w:hAnsi="Arial"/>
          <w:sz w:val="13"/>
          <w:szCs w:val="13"/>
          <w:color w:val="auto"/>
        </w:rPr>
        <w:t>633 17TH STREET, SUITE 1700</w:t>
        <w:tab/>
        <w:t>DENVER, COLORADO 80202</w:t>
      </w:r>
      <w:r>
        <w:rPr>
          <w:sz w:val="20"/>
          <w:szCs w:val="20"/>
          <w:color w:val="auto"/>
        </w:rPr>
        <w:tab/>
      </w:r>
      <w:r>
        <w:rPr>
          <w:rFonts w:ascii="Arial" w:cs="Arial" w:eastAsia="Arial" w:hAnsi="Arial"/>
          <w:sz w:val="12"/>
          <w:szCs w:val="12"/>
          <w:color w:val="auto"/>
        </w:rPr>
        <w:t>TEL (303) 339-8110</w:t>
      </w:r>
    </w:p>
    <w:p>
      <w:pPr>
        <w:sectPr>
          <w:pgSz w:w="11900" w:h="16838" w:orient="portrait"/>
          <w:cols w:equalWidth="0" w:num="1">
            <w:col w:w="11240"/>
          </w:cols>
          <w:pgMar w:left="320" w:top="372" w:right="33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28" w:lineRule="auto"/>
        <w:rPr>
          <w:sz w:val="20"/>
          <w:szCs w:val="20"/>
          <w:color w:val="auto"/>
        </w:rPr>
      </w:pPr>
      <w:r>
        <w:rPr>
          <w:rFonts w:ascii="Arial" w:cs="Arial" w:eastAsia="Arial" w:hAnsi="Arial"/>
          <w:sz w:val="19"/>
          <w:szCs w:val="19"/>
          <w:color w:val="auto"/>
        </w:rPr>
        <w:t>Certain Leasehold and Royalty Interests of</w:t>
      </w:r>
    </w:p>
    <w:p>
      <w:pPr>
        <w:jc w:val="center"/>
        <w:spacing w:after="0"/>
        <w:rPr>
          <w:sz w:val="20"/>
          <w:szCs w:val="20"/>
          <w:color w:val="auto"/>
        </w:rPr>
      </w:pPr>
      <w:r>
        <w:rPr>
          <w:rFonts w:ascii="Arial" w:cs="Arial" w:eastAsia="Arial" w:hAnsi="Arial"/>
          <w:sz w:val="20"/>
          <w:szCs w:val="20"/>
          <w:b w:val="1"/>
          <w:bCs w:val="1"/>
          <w:color w:val="auto"/>
        </w:rPr>
        <w:t xml:space="preserve">Diamondback </w:t>
      </w:r>
      <w:r>
        <w:rPr>
          <w:rFonts w:ascii="Arial" w:cs="Arial" w:eastAsia="Arial" w:hAnsi="Arial"/>
          <w:sz w:val="18"/>
          <w:szCs w:val="18"/>
          <w:b w:val="1"/>
          <w:bCs w:val="1"/>
          <w:color w:val="auto"/>
        </w:rPr>
        <w:t>Energy, Inc.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4445</wp:posOffset>
            </wp:positionV>
            <wp:extent cx="44405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1">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64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Proved</w:t>
            </w: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60" w:type="dxa"/>
            <w:vAlign w:val="bottom"/>
            <w:gridSpan w:val="2"/>
          </w:tcPr>
          <w:p>
            <w:pPr>
              <w:ind w:left="420"/>
              <w:spacing w:after="0"/>
              <w:rPr>
                <w:sz w:val="20"/>
                <w:szCs w:val="20"/>
                <w:color w:val="auto"/>
              </w:rPr>
            </w:pPr>
            <w:r>
              <w:rPr>
                <w:rFonts w:ascii="Arial" w:cs="Arial" w:eastAsia="Arial" w:hAnsi="Arial"/>
                <w:sz w:val="18"/>
                <w:szCs w:val="18"/>
                <w:color w:val="auto"/>
              </w:rPr>
              <w:t>Developed</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8"/>
              </w:rPr>
              <w:t>Net Reserves</w:t>
            </w:r>
          </w:p>
        </w:tc>
        <w:tc>
          <w:tcPr>
            <w:tcW w:w="2220" w:type="dxa"/>
            <w:vAlign w:val="bottom"/>
            <w:gridSpan w:val="2"/>
            <w:vMerge w:val="restart"/>
          </w:tcPr>
          <w:p>
            <w:pPr>
              <w:spacing w:after="0"/>
              <w:rPr>
                <w:sz w:val="19"/>
                <w:szCs w:val="19"/>
                <w:color w:val="auto"/>
              </w:rPr>
            </w:pPr>
          </w:p>
        </w:tc>
        <w:tc>
          <w:tcPr>
            <w:tcW w:w="2060" w:type="dxa"/>
            <w:vAlign w:val="bottom"/>
            <w:gridSpan w:val="2"/>
          </w:tcPr>
          <w:p>
            <w:pPr>
              <w:ind w:left="440"/>
              <w:spacing w:after="0"/>
              <w:rPr>
                <w:sz w:val="20"/>
                <w:szCs w:val="20"/>
                <w:color w:val="auto"/>
              </w:rPr>
            </w:pPr>
            <w:r>
              <w:rPr>
                <w:rFonts w:ascii="Arial" w:cs="Arial" w:eastAsia="Arial" w:hAnsi="Arial"/>
                <w:sz w:val="18"/>
                <w:szCs w:val="18"/>
                <w:color w:val="auto"/>
              </w:rPr>
              <w:t>Producing</w:t>
            </w:r>
          </w:p>
        </w:tc>
        <w:tc>
          <w:tcPr>
            <w:tcW w:w="2120" w:type="dxa"/>
            <w:vAlign w:val="bottom"/>
            <w:gridSpan w:val="2"/>
          </w:tcPr>
          <w:p>
            <w:pPr>
              <w:ind w:left="400"/>
              <w:spacing w:after="0"/>
              <w:rPr>
                <w:sz w:val="20"/>
                <w:szCs w:val="20"/>
                <w:color w:val="auto"/>
              </w:rPr>
            </w:pPr>
            <w:r>
              <w:rPr>
                <w:rFonts w:ascii="Arial" w:cs="Arial" w:eastAsia="Arial" w:hAnsi="Arial"/>
                <w:sz w:val="18"/>
                <w:szCs w:val="18"/>
                <w:color w:val="auto"/>
              </w:rPr>
              <w:t>Undeveloped</w:t>
            </w:r>
          </w:p>
        </w:tc>
        <w:tc>
          <w:tcPr>
            <w:tcW w:w="1700" w:type="dxa"/>
            <w:vAlign w:val="bottom"/>
          </w:tcPr>
          <w:p>
            <w:pPr>
              <w:jc w:val="right"/>
              <w:ind w:right="47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74"/>
        </w:trPr>
        <w:tc>
          <w:tcPr>
            <w:tcW w:w="1140" w:type="dxa"/>
            <w:vAlign w:val="bottom"/>
            <w:tcBorders>
              <w:bottom w:val="single" w:sz="8" w:color="auto"/>
            </w:tcBorders>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60" w:type="dxa"/>
            <w:vAlign w:val="bottom"/>
            <w:gridSpan w:val="3"/>
          </w:tcPr>
          <w:p>
            <w:pPr>
              <w:spacing w:after="0"/>
              <w:rPr>
                <w:sz w:val="20"/>
                <w:szCs w:val="20"/>
                <w:color w:val="auto"/>
              </w:rPr>
            </w:pPr>
            <w:r>
              <w:rPr>
                <w:rFonts w:ascii="Arial" w:cs="Arial" w:eastAsia="Arial" w:hAnsi="Arial"/>
                <w:sz w:val="18"/>
                <w:szCs w:val="18"/>
                <w:color w:val="auto"/>
              </w:rPr>
              <w:t>Oil/Condensate – Mbbl</w:t>
            </w:r>
          </w:p>
        </w:tc>
        <w:tc>
          <w:tcPr>
            <w:tcW w:w="1700" w:type="dxa"/>
            <w:vAlign w:val="bottom"/>
          </w:tcPr>
          <w:p>
            <w:pPr>
              <w:jc w:val="right"/>
              <w:spacing w:after="0"/>
              <w:rPr>
                <w:sz w:val="20"/>
                <w:szCs w:val="20"/>
                <w:color w:val="auto"/>
              </w:rPr>
            </w:pPr>
            <w:r>
              <w:rPr>
                <w:rFonts w:ascii="Arial" w:cs="Arial" w:eastAsia="Arial" w:hAnsi="Arial"/>
                <w:sz w:val="18"/>
                <w:szCs w:val="18"/>
                <w:color w:val="auto"/>
              </w:rPr>
              <w:t>571,194</w:t>
            </w:r>
          </w:p>
        </w:tc>
        <w:tc>
          <w:tcPr>
            <w:tcW w:w="3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287,855</w:t>
            </w: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859,049</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1700" w:type="dxa"/>
            <w:vAlign w:val="bottom"/>
          </w:tcPr>
          <w:p>
            <w:pPr>
              <w:jc w:val="right"/>
              <w:spacing w:after="0"/>
              <w:rPr>
                <w:sz w:val="20"/>
                <w:szCs w:val="20"/>
                <w:color w:val="auto"/>
              </w:rPr>
            </w:pPr>
            <w:r>
              <w:rPr>
                <w:rFonts w:ascii="Arial" w:cs="Arial" w:eastAsia="Arial" w:hAnsi="Arial"/>
                <w:sz w:val="18"/>
                <w:szCs w:val="18"/>
                <w:color w:val="auto"/>
              </w:rPr>
              <w:t>266,037</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135,664</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401,701</w:t>
            </w:r>
          </w:p>
        </w:tc>
        <w:tc>
          <w:tcPr>
            <w:tcW w:w="0" w:type="dxa"/>
            <w:vAlign w:val="bottom"/>
          </w:tcPr>
          <w:p>
            <w:pPr>
              <w:spacing w:after="0"/>
              <w:rPr>
                <w:sz w:val="1"/>
                <w:szCs w:val="1"/>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1700" w:type="dxa"/>
            <w:vAlign w:val="bottom"/>
          </w:tcPr>
          <w:p>
            <w:pPr>
              <w:jc w:val="right"/>
              <w:spacing w:after="0"/>
              <w:rPr>
                <w:sz w:val="20"/>
                <w:szCs w:val="20"/>
                <w:color w:val="auto"/>
              </w:rPr>
            </w:pPr>
            <w:r>
              <w:rPr>
                <w:rFonts w:ascii="Arial" w:cs="Arial" w:eastAsia="Arial" w:hAnsi="Arial"/>
                <w:sz w:val="18"/>
                <w:szCs w:val="18"/>
                <w:color w:val="auto"/>
              </w:rPr>
              <w:t>1,636,203</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765,914</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2,402,117</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MBOE</w:t>
            </w:r>
          </w:p>
        </w:tc>
        <w:tc>
          <w:tcPr>
            <w:tcW w:w="1700" w:type="dxa"/>
            <w:vAlign w:val="bottom"/>
          </w:tcPr>
          <w:p>
            <w:pPr>
              <w:jc w:val="right"/>
              <w:spacing w:after="0"/>
              <w:rPr>
                <w:sz w:val="20"/>
                <w:szCs w:val="20"/>
                <w:color w:val="auto"/>
              </w:rPr>
            </w:pPr>
            <w:r>
              <w:rPr>
                <w:rFonts w:ascii="Arial" w:cs="Arial" w:eastAsia="Arial" w:hAnsi="Arial"/>
                <w:sz w:val="18"/>
                <w:szCs w:val="18"/>
                <w:color w:val="auto"/>
              </w:rPr>
              <w:t>1,109,932</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551,171</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1,661,103</w:t>
            </w:r>
          </w:p>
        </w:tc>
        <w:tc>
          <w:tcPr>
            <w:tcW w:w="0" w:type="dxa"/>
            <w:vAlign w:val="bottom"/>
          </w:tcPr>
          <w:p>
            <w:pPr>
              <w:spacing w:after="0"/>
              <w:rPr>
                <w:sz w:val="1"/>
                <w:szCs w:val="1"/>
                <w:color w:val="auto"/>
              </w:rPr>
            </w:pPr>
          </w:p>
        </w:tc>
      </w:tr>
      <w:tr>
        <w:trPr>
          <w:trHeight w:val="445"/>
        </w:trPr>
        <w:tc>
          <w:tcPr>
            <w:tcW w:w="3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1700" w:type="dxa"/>
            <w:vAlign w:val="bottom"/>
          </w:tcPr>
          <w:p>
            <w:pPr>
              <w:jc w:val="right"/>
              <w:spacing w:after="0"/>
              <w:rPr>
                <w:sz w:val="20"/>
                <w:szCs w:val="20"/>
                <w:color w:val="auto"/>
              </w:rPr>
            </w:pPr>
            <w:r>
              <w:rPr>
                <w:rFonts w:ascii="Arial" w:cs="Arial" w:eastAsia="Arial" w:hAnsi="Arial"/>
                <w:sz w:val="18"/>
                <w:szCs w:val="18"/>
                <w:color w:val="auto"/>
              </w:rPr>
              <w:t>$44,780,795</w:t>
            </w:r>
          </w:p>
        </w:tc>
        <w:tc>
          <w:tcPr>
            <w:tcW w:w="3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$22,797,836</w:t>
            </w: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$67,578,631</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16,027,578</w:t>
            </w:r>
          </w:p>
        </w:tc>
        <w:tc>
          <w:tcPr>
            <w:tcW w:w="36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8,750,724</w:t>
            </w:r>
          </w:p>
        </w:tc>
        <w:tc>
          <w:tcPr>
            <w:tcW w:w="2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24,778,302</w:t>
            </w:r>
          </w:p>
        </w:tc>
        <w:tc>
          <w:tcPr>
            <w:tcW w:w="0" w:type="dxa"/>
            <w:vAlign w:val="bottom"/>
          </w:tcPr>
          <w:p>
            <w:pPr>
              <w:spacing w:after="0"/>
              <w:rPr>
                <w:sz w:val="1"/>
                <w:szCs w:val="1"/>
                <w:color w:val="auto"/>
              </w:rPr>
            </w:pPr>
          </w:p>
        </w:tc>
      </w:tr>
      <w:tr>
        <w:trPr>
          <w:trHeight w:val="223"/>
        </w:trPr>
        <w:tc>
          <w:tcPr>
            <w:tcW w:w="3360" w:type="dxa"/>
            <w:vAlign w:val="bottom"/>
            <w:gridSpan w:val="3"/>
          </w:tcPr>
          <w:p>
            <w:pPr>
              <w:spacing w:after="0"/>
              <w:rPr>
                <w:sz w:val="20"/>
                <w:szCs w:val="20"/>
                <w:color w:val="auto"/>
              </w:rPr>
            </w:pPr>
            <w:r>
              <w:rPr>
                <w:rFonts w:ascii="Arial" w:cs="Arial" w:eastAsia="Arial" w:hAnsi="Arial"/>
                <w:sz w:val="18"/>
                <w:szCs w:val="18"/>
                <w:color w:val="auto"/>
              </w:rPr>
              <w:t>Future Net Income (FNI)</w:t>
            </w:r>
          </w:p>
        </w:tc>
        <w:tc>
          <w:tcPr>
            <w:tcW w:w="1700" w:type="dxa"/>
            <w:vAlign w:val="bottom"/>
          </w:tcPr>
          <w:p>
            <w:pPr>
              <w:jc w:val="right"/>
              <w:spacing w:after="0"/>
              <w:rPr>
                <w:sz w:val="20"/>
                <w:szCs w:val="20"/>
                <w:color w:val="auto"/>
              </w:rPr>
            </w:pPr>
            <w:r>
              <w:rPr>
                <w:rFonts w:ascii="Arial" w:cs="Arial" w:eastAsia="Arial" w:hAnsi="Arial"/>
                <w:sz w:val="18"/>
                <w:szCs w:val="18"/>
                <w:color w:val="auto"/>
              </w:rPr>
              <w:t>$28,753,217</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$14,047,112</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$42,800,329</w:t>
            </w:r>
          </w:p>
        </w:tc>
        <w:tc>
          <w:tcPr>
            <w:tcW w:w="0" w:type="dxa"/>
            <w:vAlign w:val="bottom"/>
          </w:tcPr>
          <w:p>
            <w:pPr>
              <w:spacing w:after="0"/>
              <w:rPr>
                <w:sz w:val="1"/>
                <w:szCs w:val="1"/>
                <w:color w:val="auto"/>
              </w:rPr>
            </w:pPr>
          </w:p>
        </w:tc>
      </w:tr>
      <w:tr>
        <w:trPr>
          <w:trHeight w:val="486"/>
        </w:trPr>
        <w:tc>
          <w:tcPr>
            <w:tcW w:w="336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1700" w:type="dxa"/>
            <w:vAlign w:val="bottom"/>
          </w:tcPr>
          <w:p>
            <w:pPr>
              <w:jc w:val="right"/>
              <w:spacing w:after="0"/>
              <w:rPr>
                <w:sz w:val="20"/>
                <w:szCs w:val="20"/>
                <w:color w:val="auto"/>
              </w:rPr>
            </w:pPr>
            <w:r>
              <w:rPr>
                <w:rFonts w:ascii="Arial" w:cs="Arial" w:eastAsia="Arial" w:hAnsi="Arial"/>
                <w:sz w:val="18"/>
                <w:szCs w:val="18"/>
                <w:color w:val="auto"/>
              </w:rPr>
              <w:t>$13,748,104</w:t>
            </w:r>
          </w:p>
        </w:tc>
        <w:tc>
          <w:tcPr>
            <w:tcW w:w="3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$5,730,602</w:t>
            </w:r>
          </w:p>
        </w:tc>
        <w:tc>
          <w:tcPr>
            <w:tcW w:w="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$19,478,706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Liquid hydrocarbons are expressed in standard 42 U.S. gallon barrels and shown herein as thousands of barrels (Mbbl).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of natural gas per one barrel of oil equivalent. MBOE means thousand barrels of oil equivalent. In this report, the revenues, deductions, and income data are expressed as thousands of U.S. dollars ($M).</w:t>
      </w:r>
    </w:p>
    <w:p>
      <w:pPr>
        <w:spacing w:after="0" w:line="24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at the request of Diamondback.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3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gross revenue is after the deduction of production taxes. The deductions incorporate the normal direct costs of operating the wells, ad valorem taxes, recompletion costs, development costs, and certain abandonment costs net of salvage. “Other” costs shown in the cash flow are variable production costs.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Liquid hydrocarbon reserves account for approximately 91 percent and gas reserves account for the remaining 9 percent of total future gross revenue from proved reserves.</w:t>
      </w:r>
    </w:p>
    <w:p>
      <w:pPr>
        <w:spacing w:after="0" w:line="231" w:lineRule="exact"/>
        <w:rPr>
          <w:sz w:val="20"/>
          <w:szCs w:val="20"/>
          <w:color w:val="auto"/>
        </w:rPr>
      </w:pPr>
    </w:p>
    <w:p>
      <w:pPr>
        <w:jc w:val="both"/>
        <w:ind w:firstLine="253"/>
        <w:spacing w:after="0" w:line="243"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133" w:lineRule="exact"/>
        <w:rPr>
          <w:sz w:val="20"/>
          <w:szCs w:val="20"/>
          <w:color w:val="auto"/>
        </w:rPr>
      </w:pPr>
    </w:p>
    <w:tbl>
      <w:tblPr>
        <w:tblLayout w:type="fixed"/>
        <w:tblInd w:w="1700" w:type="dxa"/>
        <w:tblCellMar>
          <w:top w:w="0" w:type="dxa"/>
          <w:left w:w="0" w:type="dxa"/>
          <w:bottom w:w="0" w:type="dxa"/>
          <w:right w:w="0" w:type="dxa"/>
        </w:tblCellMar>
      </w:tblPr>
      <w:tr>
        <w:trPr>
          <w:trHeight w:val="227"/>
        </w:trPr>
        <w:tc>
          <w:tcPr>
            <w:tcW w:w="1700" w:type="dxa"/>
            <w:vAlign w:val="bottom"/>
          </w:tcPr>
          <w:p>
            <w:pPr>
              <w:spacing w:after="0"/>
              <w:rPr>
                <w:sz w:val="19"/>
                <w:szCs w:val="19"/>
                <w:color w:val="auto"/>
              </w:rPr>
            </w:pPr>
          </w:p>
        </w:tc>
        <w:tc>
          <w:tcPr>
            <w:tcW w:w="4120" w:type="dxa"/>
            <w:vAlign w:val="bottom"/>
            <w:gridSpan w:val="3"/>
          </w:tcPr>
          <w:p>
            <w:pPr>
              <w:jc w:val="center"/>
              <w:ind w:left="549"/>
              <w:spacing w:after="0"/>
              <w:rPr>
                <w:sz w:val="20"/>
                <w:szCs w:val="20"/>
                <w:color w:val="auto"/>
              </w:rPr>
            </w:pPr>
            <w:r>
              <w:rPr>
                <w:rFonts w:ascii="Arial" w:cs="Arial" w:eastAsia="Arial" w:hAnsi="Arial"/>
                <w:sz w:val="19"/>
                <w:szCs w:val="19"/>
                <w:color w:val="auto"/>
                <w:w w:val="99"/>
              </w:rPr>
              <w:t>Discounted Future Net Income ($M)</w:t>
            </w:r>
          </w:p>
        </w:tc>
      </w:tr>
      <w:tr>
        <w:trPr>
          <w:trHeight w:val="241"/>
        </w:trPr>
        <w:tc>
          <w:tcPr>
            <w:tcW w:w="1700" w:type="dxa"/>
            <w:vAlign w:val="bottom"/>
          </w:tcPr>
          <w:p>
            <w:pPr>
              <w:spacing w:after="0"/>
              <w:rPr>
                <w:sz w:val="20"/>
                <w:szCs w:val="20"/>
                <w:color w:val="auto"/>
              </w:rPr>
            </w:pPr>
          </w:p>
        </w:tc>
        <w:tc>
          <w:tcPr>
            <w:tcW w:w="4120" w:type="dxa"/>
            <w:vAlign w:val="bottom"/>
            <w:gridSpan w:val="3"/>
          </w:tcPr>
          <w:p>
            <w:pPr>
              <w:jc w:val="center"/>
              <w:ind w:left="529"/>
              <w:spacing w:after="0"/>
              <w:rPr>
                <w:sz w:val="20"/>
                <w:szCs w:val="20"/>
                <w:color w:val="auto"/>
              </w:rPr>
            </w:pPr>
            <w:r>
              <w:rPr>
                <w:rFonts w:ascii="Arial" w:cs="Arial" w:eastAsia="Arial" w:hAnsi="Arial"/>
                <w:sz w:val="19"/>
                <w:szCs w:val="19"/>
                <w:color w:val="auto"/>
                <w:w w:val="99"/>
              </w:rPr>
              <w:t>As of December 31, 2021</w:t>
            </w:r>
          </w:p>
        </w:tc>
      </w:tr>
      <w:tr>
        <w:trPr>
          <w:trHeight w:val="238"/>
        </w:trPr>
        <w:tc>
          <w:tcPr>
            <w:tcW w:w="1700" w:type="dxa"/>
            <w:vAlign w:val="bottom"/>
          </w:tcPr>
          <w:p>
            <w:pPr>
              <w:jc w:val="center"/>
              <w:spacing w:after="0"/>
              <w:rPr>
                <w:sz w:val="20"/>
                <w:szCs w:val="20"/>
                <w:color w:val="auto"/>
              </w:rPr>
            </w:pPr>
            <w:r>
              <w:rPr>
                <w:rFonts w:ascii="Arial" w:cs="Arial" w:eastAsia="Arial" w:hAnsi="Arial"/>
                <w:sz w:val="19"/>
                <w:szCs w:val="19"/>
                <w:color w:val="auto"/>
                <w:w w:val="98"/>
              </w:rPr>
              <w:t>Discount Rate</w:t>
            </w:r>
          </w:p>
        </w:tc>
        <w:tc>
          <w:tcPr>
            <w:tcW w:w="1620" w:type="dxa"/>
            <w:vAlign w:val="bottom"/>
          </w:tcPr>
          <w:p>
            <w:pPr>
              <w:spacing w:after="0"/>
              <w:rPr>
                <w:sz w:val="20"/>
                <w:szCs w:val="20"/>
                <w:color w:val="auto"/>
              </w:rPr>
            </w:pPr>
          </w:p>
        </w:tc>
        <w:tc>
          <w:tcPr>
            <w:tcW w:w="2500" w:type="dxa"/>
            <w:vAlign w:val="bottom"/>
            <w:tcBorders>
              <w:top w:val="single" w:sz="8" w:color="auto"/>
            </w:tcBorders>
            <w:gridSpan w:val="2"/>
          </w:tcPr>
          <w:p>
            <w:pPr>
              <w:jc w:val="center"/>
              <w:ind w:right="940"/>
              <w:spacing w:after="0"/>
              <w:rPr>
                <w:sz w:val="20"/>
                <w:szCs w:val="20"/>
                <w:color w:val="auto"/>
              </w:rPr>
            </w:pPr>
            <w:r>
              <w:rPr>
                <w:rFonts w:ascii="Arial" w:cs="Arial" w:eastAsia="Arial" w:hAnsi="Arial"/>
                <w:sz w:val="19"/>
                <w:szCs w:val="19"/>
                <w:color w:val="auto"/>
                <w:w w:val="94"/>
              </w:rPr>
              <w:t>Total</w:t>
            </w:r>
          </w:p>
        </w:tc>
      </w:tr>
      <w:tr>
        <w:trPr>
          <w:trHeight w:val="24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Percent</w:t>
            </w:r>
          </w:p>
        </w:tc>
        <w:tc>
          <w:tcPr>
            <w:tcW w:w="16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Proved</w:t>
            </w:r>
          </w:p>
        </w:tc>
        <w:tc>
          <w:tcPr>
            <w:tcW w:w="960" w:type="dxa"/>
            <w:vAlign w:val="bottom"/>
          </w:tcPr>
          <w:p>
            <w:pPr>
              <w:spacing w:after="0"/>
              <w:rPr>
                <w:sz w:val="20"/>
                <w:szCs w:val="20"/>
                <w:color w:val="auto"/>
              </w:rPr>
            </w:pPr>
          </w:p>
        </w:tc>
      </w:tr>
      <w:tr>
        <w:trPr>
          <w:trHeight w:val="481"/>
        </w:trPr>
        <w:tc>
          <w:tcPr>
            <w:tcW w:w="1700" w:type="dxa"/>
            <w:vAlign w:val="bottom"/>
          </w:tcPr>
          <w:p>
            <w:pPr>
              <w:jc w:val="center"/>
              <w:spacing w:after="0"/>
              <w:rPr>
                <w:sz w:val="20"/>
                <w:szCs w:val="20"/>
                <w:color w:val="auto"/>
              </w:rPr>
            </w:pPr>
            <w:r>
              <w:rPr>
                <w:rFonts w:ascii="Arial" w:cs="Arial" w:eastAsia="Arial" w:hAnsi="Arial"/>
                <w:sz w:val="19"/>
                <w:szCs w:val="19"/>
                <w:color w:val="auto"/>
                <w:w w:val="94"/>
              </w:rPr>
              <w:t>5</w:t>
            </w:r>
          </w:p>
        </w:tc>
        <w:tc>
          <w:tcPr>
            <w:tcW w:w="3160" w:type="dxa"/>
            <w:vAlign w:val="bottom"/>
            <w:gridSpan w:val="2"/>
          </w:tcPr>
          <w:p>
            <w:pPr>
              <w:jc w:val="center"/>
              <w:ind w:left="1549"/>
              <w:spacing w:after="0"/>
              <w:rPr>
                <w:sz w:val="20"/>
                <w:szCs w:val="20"/>
                <w:color w:val="auto"/>
              </w:rPr>
            </w:pPr>
            <w:r>
              <w:rPr>
                <w:rFonts w:ascii="Arial" w:cs="Arial" w:eastAsia="Arial" w:hAnsi="Arial"/>
                <w:sz w:val="18"/>
                <w:szCs w:val="18"/>
                <w:color w:val="auto"/>
                <w:w w:val="99"/>
              </w:rPr>
              <w:t>$26,494,766</w:t>
            </w:r>
          </w:p>
        </w:tc>
        <w:tc>
          <w:tcPr>
            <w:tcW w:w="960" w:type="dxa"/>
            <w:vAlign w:val="bottom"/>
          </w:tcPr>
          <w:p>
            <w:pPr>
              <w:spacing w:after="0"/>
              <w:rPr>
                <w:sz w:val="24"/>
                <w:szCs w:val="24"/>
                <w:color w:val="auto"/>
              </w:rPr>
            </w:pPr>
          </w:p>
        </w:tc>
      </w:tr>
      <w:tr>
        <w:trPr>
          <w:trHeight w:val="243"/>
        </w:trPr>
        <w:tc>
          <w:tcPr>
            <w:tcW w:w="1700" w:type="dxa"/>
            <w:vAlign w:val="bottom"/>
          </w:tcPr>
          <w:p>
            <w:pPr>
              <w:jc w:val="center"/>
              <w:spacing w:after="0"/>
              <w:rPr>
                <w:sz w:val="20"/>
                <w:szCs w:val="20"/>
                <w:color w:val="auto"/>
              </w:rPr>
            </w:pPr>
            <w:r>
              <w:rPr>
                <w:rFonts w:ascii="Arial" w:cs="Arial" w:eastAsia="Arial" w:hAnsi="Arial"/>
                <w:sz w:val="19"/>
                <w:szCs w:val="19"/>
                <w:color w:val="auto"/>
              </w:rPr>
              <w:t>15</w:t>
            </w:r>
          </w:p>
        </w:tc>
        <w:tc>
          <w:tcPr>
            <w:tcW w:w="3160" w:type="dxa"/>
            <w:vAlign w:val="bottom"/>
            <w:gridSpan w:val="2"/>
          </w:tcPr>
          <w:p>
            <w:pPr>
              <w:jc w:val="center"/>
              <w:ind w:left="1549"/>
              <w:spacing w:after="0"/>
              <w:rPr>
                <w:sz w:val="20"/>
                <w:szCs w:val="20"/>
                <w:color w:val="auto"/>
              </w:rPr>
            </w:pPr>
            <w:r>
              <w:rPr>
                <w:rFonts w:ascii="Arial" w:cs="Arial" w:eastAsia="Arial" w:hAnsi="Arial"/>
                <w:sz w:val="18"/>
                <w:szCs w:val="18"/>
                <w:color w:val="auto"/>
                <w:w w:val="99"/>
              </w:rPr>
              <w:t>$15,596,085</w:t>
            </w:r>
          </w:p>
        </w:tc>
        <w:tc>
          <w:tcPr>
            <w:tcW w:w="960" w:type="dxa"/>
            <w:vAlign w:val="bottom"/>
          </w:tcPr>
          <w:p>
            <w:pPr>
              <w:spacing w:after="0"/>
              <w:rPr>
                <w:sz w:val="21"/>
                <w:szCs w:val="21"/>
                <w:color w:val="auto"/>
              </w:rPr>
            </w:pPr>
          </w:p>
        </w:tc>
      </w:tr>
      <w:tr>
        <w:trPr>
          <w:trHeight w:val="243"/>
        </w:trPr>
        <w:tc>
          <w:tcPr>
            <w:tcW w:w="1700" w:type="dxa"/>
            <w:vAlign w:val="bottom"/>
          </w:tcPr>
          <w:p>
            <w:pPr>
              <w:jc w:val="center"/>
              <w:spacing w:after="0"/>
              <w:rPr>
                <w:sz w:val="20"/>
                <w:szCs w:val="20"/>
                <w:color w:val="auto"/>
              </w:rPr>
            </w:pPr>
            <w:r>
              <w:rPr>
                <w:rFonts w:ascii="Arial" w:cs="Arial" w:eastAsia="Arial" w:hAnsi="Arial"/>
                <w:sz w:val="19"/>
                <w:szCs w:val="19"/>
                <w:color w:val="auto"/>
              </w:rPr>
              <w:t>20</w:t>
            </w:r>
          </w:p>
        </w:tc>
        <w:tc>
          <w:tcPr>
            <w:tcW w:w="3160" w:type="dxa"/>
            <w:vAlign w:val="bottom"/>
            <w:gridSpan w:val="2"/>
          </w:tcPr>
          <w:p>
            <w:pPr>
              <w:jc w:val="center"/>
              <w:ind w:left="1549"/>
              <w:spacing w:after="0"/>
              <w:rPr>
                <w:sz w:val="20"/>
                <w:szCs w:val="20"/>
                <w:color w:val="auto"/>
              </w:rPr>
            </w:pPr>
            <w:r>
              <w:rPr>
                <w:rFonts w:ascii="Arial" w:cs="Arial" w:eastAsia="Arial" w:hAnsi="Arial"/>
                <w:sz w:val="18"/>
                <w:szCs w:val="18"/>
                <w:color w:val="auto"/>
                <w:w w:val="99"/>
              </w:rPr>
              <w:t>$13,110,124</w:t>
            </w:r>
          </w:p>
        </w:tc>
        <w:tc>
          <w:tcPr>
            <w:tcW w:w="960" w:type="dxa"/>
            <w:vAlign w:val="bottom"/>
          </w:tcPr>
          <w:p>
            <w:pPr>
              <w:spacing w:after="0"/>
              <w:rPr>
                <w:sz w:val="21"/>
                <w:szCs w:val="21"/>
                <w:color w:val="auto"/>
              </w:rPr>
            </w:pPr>
          </w:p>
        </w:tc>
      </w:tr>
      <w:tr>
        <w:trPr>
          <w:trHeight w:val="243"/>
        </w:trPr>
        <w:tc>
          <w:tcPr>
            <w:tcW w:w="1700" w:type="dxa"/>
            <w:vAlign w:val="bottom"/>
          </w:tcPr>
          <w:p>
            <w:pPr>
              <w:jc w:val="center"/>
              <w:spacing w:after="0"/>
              <w:rPr>
                <w:sz w:val="20"/>
                <w:szCs w:val="20"/>
                <w:color w:val="auto"/>
              </w:rPr>
            </w:pPr>
            <w:r>
              <w:rPr>
                <w:rFonts w:ascii="Arial" w:cs="Arial" w:eastAsia="Arial" w:hAnsi="Arial"/>
                <w:sz w:val="19"/>
                <w:szCs w:val="19"/>
                <w:color w:val="auto"/>
              </w:rPr>
              <w:t>30</w:t>
            </w:r>
          </w:p>
        </w:tc>
        <w:tc>
          <w:tcPr>
            <w:tcW w:w="3160" w:type="dxa"/>
            <w:vAlign w:val="bottom"/>
            <w:gridSpan w:val="2"/>
          </w:tcPr>
          <w:p>
            <w:pPr>
              <w:jc w:val="center"/>
              <w:ind w:left="1549"/>
              <w:spacing w:after="0"/>
              <w:rPr>
                <w:sz w:val="20"/>
                <w:szCs w:val="20"/>
                <w:color w:val="auto"/>
              </w:rPr>
            </w:pPr>
            <w:r>
              <w:rPr>
                <w:rFonts w:ascii="Arial" w:cs="Arial" w:eastAsia="Arial" w:hAnsi="Arial"/>
                <w:sz w:val="18"/>
                <w:szCs w:val="18"/>
                <w:color w:val="auto"/>
                <w:w w:val="99"/>
              </w:rPr>
              <w:t>$10,078,340</w:t>
            </w:r>
          </w:p>
        </w:tc>
        <w:tc>
          <w:tcPr>
            <w:tcW w:w="960" w:type="dxa"/>
            <w:vAlign w:val="bottom"/>
          </w:tcPr>
          <w:p>
            <w:pPr>
              <w:spacing w:after="0"/>
              <w:rPr>
                <w:sz w:val="21"/>
                <w:szCs w:val="21"/>
                <w:color w:val="auto"/>
              </w:rPr>
            </w:pPr>
          </w:p>
        </w:tc>
      </w:tr>
    </w:tbl>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various reserves status categories are defined in the attachment entitled “PETROLEUM RESERVES STATUS DEFINITIONS AND GUIDELINES” in this report.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w:t>
      </w:r>
    </w:p>
    <w:p>
      <w:pPr>
        <w:spacing w:after="0"/>
        <w:rPr>
          <w:sz w:val="20"/>
          <w:szCs w:val="20"/>
          <w:color w:val="auto"/>
        </w:rPr>
      </w:pPr>
      <w:r>
        <w:rPr>
          <w:rFonts w:ascii="Arial" w:cs="Arial" w:eastAsia="Arial" w:hAnsi="Arial"/>
          <w:sz w:val="20"/>
          <w:szCs w:val="20"/>
          <w:color w:val="auto"/>
        </w:rPr>
        <w:t>The proved gas volumes presented herein do not include volumes of gas consumed in operations as reserves.</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evaluated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w:t>
      </w:r>
      <w:r>
        <w:rPr>
          <w:rFonts w:ascii="Arial" w:cs="Arial" w:eastAsia="Arial" w:hAnsi="Arial"/>
          <w:sz w:val="20"/>
          <w:szCs w:val="20"/>
          <w:b w:val="1"/>
          <w:bCs w:val="1"/>
          <w:color w:val="auto"/>
        </w:rPr>
        <w:t>,</w:t>
      </w:r>
      <w:r>
        <w:rPr>
          <w:rFonts w:ascii="Arial" w:cs="Arial" w:eastAsia="Arial" w:hAnsi="Arial"/>
          <w:sz w:val="20"/>
          <w:szCs w:val="20"/>
          <w:color w:val="auto"/>
        </w:rPr>
        <w:t xml:space="preserve">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Diamondback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3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methods. Approximately 95 percent of the proved producing reserves attributable to producing wells and/or reservoirs were estimated by performance methods or a combination of methods. These performance methods include, but may not be limited to, decline curve analysis which utilized extrapolations of historical production and pressure data available through December, 2021 in those cases where such data were considered to be definitive. The data utilized in this analysis were furnished to Ryder Scott by Diamondback or obtained from public data sources and were considered sufficient for the purpose thereof. The remaining 5 percent of the proved producing reserves were estimated by analogy, or a combination of methods. These methods were used where there were inadequate historical performance data to establish a definitive trend and where the use of production performance data as a basis for the reserves estimates was considered to be inappropriate.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undeveloped reserves included herein were estimated by the analogy method.</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3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6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based on analog well performance and type-curves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3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locations that are not currently producing. For reserves not yet on production, sales were estimated to commence at an anticipated date furnished by Diamondback.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production rates from wells currently on production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67"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40"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Diamondback furnished us with the above mentioned average prices in effect on December 31, 2021.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40"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Diamondback. The differentials furnished to us were accepted as factual data and reviewed by us for their reasonableness; however, we have not conducted an independent verification of the data used by Diamondback to determine these differentials.</w:t>
      </w:r>
    </w:p>
    <w:p>
      <w:pPr>
        <w:spacing w:after="0" w:line="236"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the geographic areas included in the report.</w:t>
      </w: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420" w:type="dxa"/>
            <w:vAlign w:val="bottom"/>
            <w:tcBorders>
              <w:top w:val="single" w:sz="8" w:color="00000A"/>
              <w:left w:val="single" w:sz="8" w:color="00000A"/>
              <w:right w:val="single" w:sz="8" w:color="00000A"/>
            </w:tcBorders>
          </w:tcPr>
          <w:p>
            <w:pPr>
              <w:spacing w:after="0"/>
              <w:rPr>
                <w:sz w:val="18"/>
                <w:szCs w:val="18"/>
                <w:color w:val="auto"/>
              </w:rPr>
            </w:pPr>
          </w:p>
        </w:tc>
        <w:tc>
          <w:tcPr>
            <w:tcW w:w="2280" w:type="dxa"/>
            <w:vAlign w:val="bottom"/>
            <w:tcBorders>
              <w:top w:val="single" w:sz="8" w:color="00000A"/>
              <w:right w:val="single" w:sz="8" w:color="00000A"/>
            </w:tcBorders>
          </w:tcPr>
          <w:p>
            <w:pPr>
              <w:spacing w:after="0"/>
              <w:rPr>
                <w:sz w:val="18"/>
                <w:szCs w:val="18"/>
                <w:color w:val="auto"/>
              </w:rPr>
            </w:pPr>
          </w:p>
        </w:tc>
        <w:tc>
          <w:tcPr>
            <w:tcW w:w="256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6"/>
              </w:rPr>
              <w:t>Price</w:t>
            </w:r>
          </w:p>
        </w:tc>
        <w:tc>
          <w:tcPr>
            <w:tcW w:w="2060" w:type="dxa"/>
            <w:vAlign w:val="bottom"/>
            <w:tcBorders>
              <w:top w:val="single" w:sz="8" w:color="00000A"/>
              <w:right w:val="single" w:sz="8" w:color="00000A"/>
            </w:tcBorders>
          </w:tcPr>
          <w:p>
            <w:pPr>
              <w:jc w:val="center"/>
              <w:spacing w:after="0" w:line="212" w:lineRule="exact"/>
              <w:rPr>
                <w:sz w:val="20"/>
                <w:szCs w:val="20"/>
                <w:color w:val="auto"/>
              </w:rPr>
            </w:pPr>
            <w:r>
              <w:rPr>
                <w:rFonts w:ascii="Arial" w:cs="Arial" w:eastAsia="Arial" w:hAnsi="Arial"/>
                <w:sz w:val="20"/>
                <w:szCs w:val="20"/>
                <w:color w:val="auto"/>
                <w:w w:val="96"/>
              </w:rPr>
              <w:t>Average</w:t>
            </w:r>
          </w:p>
        </w:tc>
        <w:tc>
          <w:tcPr>
            <w:tcW w:w="194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8"/>
              </w:rPr>
              <w:t>Average Realized</w:t>
            </w:r>
          </w:p>
        </w:tc>
        <w:tc>
          <w:tcPr>
            <w:tcW w:w="0" w:type="dxa"/>
            <w:vAlign w:val="bottom"/>
          </w:tcPr>
          <w:p>
            <w:pPr>
              <w:spacing w:after="0"/>
              <w:rPr>
                <w:sz w:val="1"/>
                <w:szCs w:val="1"/>
                <w:color w:val="auto"/>
              </w:rPr>
            </w:pPr>
          </w:p>
        </w:tc>
      </w:tr>
      <w:tr>
        <w:trPr>
          <w:trHeight w:val="189"/>
        </w:trPr>
        <w:tc>
          <w:tcPr>
            <w:tcW w:w="242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9"/>
              </w:rPr>
              <w:t>Geographic Area</w:t>
            </w:r>
          </w:p>
        </w:tc>
        <w:tc>
          <w:tcPr>
            <w:tcW w:w="2280" w:type="dxa"/>
            <w:vAlign w:val="bottom"/>
            <w:tcBorders>
              <w:right w:val="single" w:sz="8" w:color="00000A"/>
            </w:tcBorders>
            <w:vMerge w:val="restart"/>
          </w:tcPr>
          <w:p>
            <w:pPr>
              <w:ind w:left="780"/>
              <w:spacing w:after="0"/>
              <w:rPr>
                <w:sz w:val="20"/>
                <w:szCs w:val="20"/>
                <w:color w:val="auto"/>
              </w:rPr>
            </w:pPr>
            <w:r>
              <w:rPr>
                <w:rFonts w:ascii="Arial" w:cs="Arial" w:eastAsia="Arial" w:hAnsi="Arial"/>
                <w:sz w:val="20"/>
                <w:szCs w:val="20"/>
                <w:color w:val="auto"/>
              </w:rPr>
              <w:t>Product</w:t>
            </w:r>
          </w:p>
        </w:tc>
        <w:tc>
          <w:tcPr>
            <w:tcW w:w="2560" w:type="dxa"/>
            <w:vAlign w:val="bottom"/>
            <w:tcBorders>
              <w:right w:val="single" w:sz="8" w:color="00000A"/>
            </w:tcBorders>
            <w:vMerge w:val="continue"/>
          </w:tcPr>
          <w:p>
            <w:pPr>
              <w:spacing w:after="0"/>
              <w:rPr>
                <w:sz w:val="16"/>
                <w:szCs w:val="16"/>
                <w:color w:val="auto"/>
              </w:rPr>
            </w:pPr>
          </w:p>
        </w:tc>
        <w:tc>
          <w:tcPr>
            <w:tcW w:w="2060" w:type="dxa"/>
            <w:vAlign w:val="bottom"/>
            <w:tcBorders>
              <w:right w:val="single" w:sz="8" w:color="00000A"/>
            </w:tcBorders>
          </w:tcPr>
          <w:p>
            <w:pPr>
              <w:jc w:val="center"/>
              <w:spacing w:after="0" w:line="189" w:lineRule="exact"/>
              <w:rPr>
                <w:sz w:val="20"/>
                <w:szCs w:val="20"/>
                <w:color w:val="auto"/>
              </w:rPr>
            </w:pPr>
            <w:r>
              <w:rPr>
                <w:rFonts w:ascii="Arial" w:cs="Arial" w:eastAsia="Arial" w:hAnsi="Arial"/>
                <w:sz w:val="20"/>
                <w:szCs w:val="20"/>
                <w:color w:val="auto"/>
                <w:w w:val="98"/>
              </w:rPr>
              <w:t>Benchmark</w:t>
            </w:r>
          </w:p>
        </w:tc>
        <w:tc>
          <w:tcPr>
            <w:tcW w:w="1940" w:type="dxa"/>
            <w:vAlign w:val="bottom"/>
            <w:tcBorders>
              <w:right w:val="single" w:sz="8" w:color="00000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420" w:type="dxa"/>
            <w:vAlign w:val="bottom"/>
            <w:tcBorders>
              <w:left w:val="single" w:sz="8" w:color="00000A"/>
              <w:bottom w:val="single" w:sz="8" w:color="00000A"/>
              <w:right w:val="single" w:sz="8" w:color="00000A"/>
            </w:tcBorders>
            <w:vMerge w:val="continue"/>
          </w:tcPr>
          <w:p>
            <w:pPr>
              <w:spacing w:after="0"/>
              <w:rPr>
                <w:sz w:val="20"/>
                <w:szCs w:val="20"/>
                <w:color w:val="auto"/>
              </w:rPr>
            </w:pPr>
          </w:p>
        </w:tc>
        <w:tc>
          <w:tcPr>
            <w:tcW w:w="2280" w:type="dxa"/>
            <w:vAlign w:val="bottom"/>
            <w:tcBorders>
              <w:bottom w:val="single" w:sz="8" w:color="00000A"/>
              <w:right w:val="single" w:sz="8" w:color="00000A"/>
            </w:tcBorders>
            <w:vMerge w:val="continue"/>
          </w:tcPr>
          <w:p>
            <w:pPr>
              <w:spacing w:after="0"/>
              <w:rPr>
                <w:sz w:val="20"/>
                <w:szCs w:val="20"/>
                <w:color w:val="auto"/>
              </w:rPr>
            </w:pPr>
          </w:p>
        </w:tc>
        <w:tc>
          <w:tcPr>
            <w:tcW w:w="2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Reference</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c>
          <w:tcPr>
            <w:tcW w:w="0" w:type="dxa"/>
            <w:vAlign w:val="bottom"/>
          </w:tcPr>
          <w:p>
            <w:pPr>
              <w:spacing w:after="0"/>
              <w:rPr>
                <w:sz w:val="1"/>
                <w:szCs w:val="1"/>
                <w:color w:val="auto"/>
              </w:rPr>
            </w:pPr>
          </w:p>
        </w:tc>
      </w:tr>
      <w:tr>
        <w:trPr>
          <w:trHeight w:val="236"/>
        </w:trPr>
        <w:tc>
          <w:tcPr>
            <w:tcW w:w="24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North America</w:t>
            </w:r>
          </w:p>
        </w:tc>
        <w:tc>
          <w:tcPr>
            <w:tcW w:w="2280" w:type="dxa"/>
            <w:vAlign w:val="bottom"/>
            <w:tcBorders>
              <w:bottom w:val="single" w:sz="8" w:color="00000A"/>
              <w:right w:val="single" w:sz="8" w:color="00000A"/>
            </w:tcBorders>
          </w:tcPr>
          <w:p>
            <w:pPr>
              <w:spacing w:after="0"/>
              <w:rPr>
                <w:sz w:val="20"/>
                <w:szCs w:val="20"/>
                <w:color w:val="auto"/>
              </w:rPr>
            </w:pPr>
          </w:p>
        </w:tc>
        <w:tc>
          <w:tcPr>
            <w:tcW w:w="2560" w:type="dxa"/>
            <w:vAlign w:val="bottom"/>
            <w:tcBorders>
              <w:bottom w:val="single" w:sz="8" w:color="00000A"/>
              <w:right w:val="single" w:sz="8" w:color="00000A"/>
            </w:tcBorders>
          </w:tcPr>
          <w:p>
            <w:pPr>
              <w:spacing w:after="0"/>
              <w:rPr>
                <w:sz w:val="20"/>
                <w:szCs w:val="20"/>
                <w:color w:val="auto"/>
              </w:rPr>
            </w:pPr>
          </w:p>
        </w:tc>
        <w:tc>
          <w:tcPr>
            <w:tcW w:w="2060" w:type="dxa"/>
            <w:vAlign w:val="bottom"/>
            <w:tcBorders>
              <w:bottom w:val="single" w:sz="8" w:color="00000A"/>
              <w:right w:val="single" w:sz="8" w:color="00000A"/>
            </w:tcBorders>
          </w:tcPr>
          <w:p>
            <w:pPr>
              <w:spacing w:after="0"/>
              <w:rPr>
                <w:sz w:val="20"/>
                <w:szCs w:val="20"/>
                <w:color w:val="auto"/>
              </w:rPr>
            </w:pPr>
          </w:p>
        </w:tc>
        <w:tc>
          <w:tcPr>
            <w:tcW w:w="194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420" w:type="dxa"/>
            <w:vAlign w:val="bottom"/>
            <w:tcBorders>
              <w:left w:val="single" w:sz="8" w:color="00000A"/>
              <w:right w:val="single" w:sz="8" w:color="00000A"/>
            </w:tcBorders>
          </w:tcPr>
          <w:p>
            <w:pPr>
              <w:spacing w:after="0"/>
              <w:rPr>
                <w:sz w:val="21"/>
                <w:szCs w:val="21"/>
                <w:color w:val="auto"/>
              </w:rPr>
            </w:pPr>
          </w:p>
        </w:tc>
        <w:tc>
          <w:tcPr>
            <w:tcW w:w="228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Oil/Condensate</w:t>
            </w:r>
          </w:p>
        </w:tc>
        <w:tc>
          <w:tcPr>
            <w:tcW w:w="2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WTI Cushing</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$66.56/bbl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$64.77/bbl</w:t>
            </w:r>
          </w:p>
        </w:tc>
        <w:tc>
          <w:tcPr>
            <w:tcW w:w="0" w:type="dxa"/>
            <w:vAlign w:val="bottom"/>
          </w:tcPr>
          <w:p>
            <w:pPr>
              <w:spacing w:after="0"/>
              <w:rPr>
                <w:sz w:val="1"/>
                <w:szCs w:val="1"/>
                <w:color w:val="auto"/>
              </w:rPr>
            </w:pPr>
          </w:p>
        </w:tc>
      </w:tr>
      <w:tr>
        <w:trPr>
          <w:trHeight w:val="252"/>
        </w:trPr>
        <w:tc>
          <w:tcPr>
            <w:tcW w:w="24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United States</w:t>
            </w:r>
          </w:p>
        </w:tc>
        <w:tc>
          <w:tcPr>
            <w:tcW w:w="228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NGLs</w:t>
            </w:r>
          </w:p>
        </w:tc>
        <w:tc>
          <w:tcPr>
            <w:tcW w:w="2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WTI Cushing</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$66.56/bbl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$23.56/bbl</w:t>
            </w:r>
          </w:p>
        </w:tc>
        <w:tc>
          <w:tcPr>
            <w:tcW w:w="0" w:type="dxa"/>
            <w:vAlign w:val="bottom"/>
          </w:tcPr>
          <w:p>
            <w:pPr>
              <w:spacing w:after="0"/>
              <w:rPr>
                <w:sz w:val="1"/>
                <w:szCs w:val="1"/>
                <w:color w:val="auto"/>
              </w:rPr>
            </w:pPr>
          </w:p>
        </w:tc>
      </w:tr>
      <w:tr>
        <w:trPr>
          <w:trHeight w:val="255"/>
        </w:trPr>
        <w:tc>
          <w:tcPr>
            <w:tcW w:w="2420" w:type="dxa"/>
            <w:vAlign w:val="bottom"/>
            <w:tcBorders>
              <w:left w:val="single" w:sz="8" w:color="00000A"/>
              <w:bottom w:val="single" w:sz="8" w:color="00000A"/>
              <w:right w:val="single" w:sz="8" w:color="00000A"/>
            </w:tcBorders>
          </w:tcPr>
          <w:p>
            <w:pPr>
              <w:spacing w:after="0"/>
              <w:rPr>
                <w:sz w:val="22"/>
                <w:szCs w:val="22"/>
                <w:color w:val="auto"/>
              </w:rPr>
            </w:pPr>
          </w:p>
        </w:tc>
        <w:tc>
          <w:tcPr>
            <w:tcW w:w="2280" w:type="dxa"/>
            <w:vAlign w:val="bottom"/>
            <w:tcBorders>
              <w:bottom w:val="single" w:sz="8" w:color="00000A"/>
              <w:right w:val="single" w:sz="8" w:color="00000A"/>
            </w:tcBorders>
          </w:tcPr>
          <w:p>
            <w:pPr>
              <w:spacing w:after="0"/>
              <w:rPr>
                <w:sz w:val="20"/>
                <w:szCs w:val="20"/>
                <w:color w:val="auto"/>
              </w:rPr>
            </w:pPr>
            <w:r>
              <w:rPr>
                <w:rFonts w:ascii="Arial" w:cs="Arial" w:eastAsia="Arial" w:hAnsi="Arial"/>
                <w:sz w:val="20"/>
                <w:szCs w:val="20"/>
                <w:color w:val="auto"/>
              </w:rPr>
              <w:t>Gas</w:t>
            </w:r>
          </w:p>
        </w:tc>
        <w:tc>
          <w:tcPr>
            <w:tcW w:w="25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Henry Hub</w:t>
            </w:r>
          </w:p>
        </w:tc>
        <w:tc>
          <w:tcPr>
            <w:tcW w:w="20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$3.598/MMBTU</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$2.59/Mcf</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60"/>
          </w:cols>
          <w:pgMar w:left="320" w:top="136" w:right="31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Operating costs for the leases and wells in this report were furnished by Diamondback and are based on the operating expense reports of Diamondback and include only those costs directly applicable to the leases or wells. The operating costs include a portion of general and administrative costs allocated directly to the leases and wells. For operated properties, the operating costs include an appropriate level of corporate general administrative and overhead costs. The operating costs for non-operated properties include the COPAS overhead costs that are allocated directly to the leases and wells under terms of operating agreements. The operating costs furnished to us were accepted as factual data and reviewed by us for their reasonableness; however, we have not conducted an independent verification of the operating cost data used by Diamondback. No deduction was made for loan repayments, interest expenses, or exploration and development prepayments that were not charged directly to the leases or wells.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Development costs were furnished to us by Diamondback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The estimated net cost of abandonment after salvage was included for properties where abandonment costs net of salvage were material. The estimates of the net abandonment costs furnished by Diamondback were accepted without independent verification.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undeveloped reserves in this report have been incorporated herein in accordance with Diamondback’s plans to develop these reserves as of December 31, 2021.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2021, such changes were, in accordance with rules adopted by the SEC, omitted from consideration in making this evaluation.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Diamondback were held constant throughout the life of the properties.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investment decision-making process of our clients. This allows us to bring the highest level of independence and objectivity to each engagement for our services.</w:t>
      </w:r>
    </w:p>
    <w:p>
      <w:pPr>
        <w:spacing w:after="0" w:line="23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Diamondback. Neither we nor any of our employees have any financial interest in the subject properties and neither the employment to do this work nor the compensation is contingent on our estimates of reserves for the properties which were reviewed.</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Diamondback.</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makes periodic filings on Form 10-K with the SEC under the 1934 Exchange Act. Furthermore, Diamondback has certain registration statements filed with the SEC under the 1933 Securities Act into which any subsequently filed Form 10-K is incorporated by reference. We have consented to the incorporation by reference in the registration statements on Form S-3 of Diamondback, of the references to our name, as well as to the references to our third party report for Diamondback, which appears in the December 31, 2021 annual report on Form 10-K of Diamondback. Our written consent for such use is included as a separate exhibit to the filings made with the SEC by Diamondback.</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Diamondback with a digital version of the original signed copy of this report letter. In the event there are any differences between the digital version included in filings made by Diamondback and the original signed report letter, the original signed report letter shall control and supersede the digital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3" w:name="page194"/>
    <w:bookmarkEnd w:id="193"/>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326"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71"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Very truly yours,</w:t>
      </w:r>
    </w:p>
    <w:p>
      <w:pPr>
        <w:spacing w:after="0" w:line="246" w:lineRule="exact"/>
        <w:rPr>
          <w:sz w:val="20"/>
          <w:szCs w:val="20"/>
          <w:color w:val="auto"/>
        </w:rPr>
      </w:pPr>
    </w:p>
    <w:p>
      <w:pPr>
        <w:ind w:left="6380"/>
        <w:spacing w:after="0"/>
        <w:rPr>
          <w:sz w:val="20"/>
          <w:szCs w:val="20"/>
          <w:color w:val="auto"/>
        </w:rPr>
      </w:pPr>
      <w:r>
        <w:rPr>
          <w:rFonts w:ascii="Arial" w:cs="Arial" w:eastAsia="Arial" w:hAnsi="Arial"/>
          <w:sz w:val="20"/>
          <w:szCs w:val="20"/>
          <w:b w:val="1"/>
          <w:bCs w:val="1"/>
          <w:color w:val="auto"/>
        </w:rPr>
        <w:t>RYDER SCOTT COMPANY, L.P.</w:t>
      </w:r>
    </w:p>
    <w:p>
      <w:pPr>
        <w:spacing w:after="0" w:line="37"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86"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Val Rick Robinson</w:t>
      </w:r>
    </w:p>
    <w:p>
      <w:pPr>
        <w:spacing w:after="0" w:line="28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Val Rick Robinson, P.E.</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TBPELS License No. 105137</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Managing Senior Vice President</w:t>
      </w:r>
    </w:p>
    <w:p>
      <w:pPr>
        <w:spacing w:after="0" w:line="7" w:lineRule="exact"/>
        <w:rPr>
          <w:sz w:val="20"/>
          <w:szCs w:val="20"/>
          <w:color w:val="auto"/>
        </w:rPr>
      </w:pPr>
    </w:p>
    <w:p>
      <w:pPr>
        <w:ind w:left="10560"/>
        <w:spacing w:after="0"/>
        <w:rPr>
          <w:sz w:val="20"/>
          <w:szCs w:val="20"/>
          <w:color w:val="auto"/>
        </w:rPr>
      </w:pPr>
      <w:r>
        <w:rPr>
          <w:rFonts w:ascii="Arial" w:cs="Arial" w:eastAsia="Arial" w:hAnsi="Arial"/>
          <w:sz w:val="19"/>
          <w:szCs w:val="19"/>
          <w:b w:val="1"/>
          <w:bCs w:val="1"/>
          <w:color w:val="auto"/>
        </w:rPr>
        <w:t>[SEAL]</w:t>
      </w:r>
    </w:p>
    <w:p>
      <w:pPr>
        <w:spacing w:after="0" w:line="200" w:lineRule="exact"/>
        <w:rPr>
          <w:sz w:val="20"/>
          <w:szCs w:val="20"/>
          <w:color w:val="auto"/>
        </w:rPr>
      </w:pPr>
    </w:p>
    <w:p>
      <w:pPr>
        <w:spacing w:after="0" w:line="34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 Syed R. Rizvi</w:t>
      </w:r>
    </w:p>
    <w:p>
      <w:pPr>
        <w:spacing w:after="0" w:line="270"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Syed R. Rizvi</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20"/>
          <w:szCs w:val="20"/>
          <w:color w:val="auto"/>
        </w:rPr>
        <w:t>Senior Petroleum Engineer</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VRR-SRR (LPC)/pl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20"/>
          </w:cols>
          <w:pgMar w:left="320" w:top="136" w:right="359" w:bottom="1440" w:gutter="0" w:footer="0" w:header="0"/>
        </w:sectPr>
      </w:pPr>
    </w:p>
    <w:bookmarkStart w:id="194" w:name="page195"/>
    <w:bookmarkEnd w:id="194"/>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www.ryderscott.com.</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2021 continuing education hours, Mr. Robinson attended 30 hours of formalized training including the 2021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Based on his educational background, professional training and more than 18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3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displacement fluids. Other improved recovery methods may be developed in the future as petroleum technology continues to evolve.</w:t>
      </w:r>
    </w:p>
    <w:p>
      <w:pPr>
        <w:spacing w:after="0" w:line="2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7" w:name="page198"/>
    <w:bookmarkEnd w:id="197"/>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80" w:hanging="224"/>
        <w:spacing w:after="0"/>
        <w:tabs>
          <w:tab w:leader="none" w:pos="880" w:val="left"/>
        </w:tabs>
        <w:numPr>
          <w:ilvl w:val="0"/>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42" w:lineRule="exact"/>
        <w:rPr>
          <w:rFonts w:ascii="Arial" w:cs="Arial" w:eastAsia="Arial" w:hAnsi="Arial"/>
          <w:sz w:val="20"/>
          <w:szCs w:val="20"/>
          <w:i w:val="1"/>
          <w:iCs w:val="1"/>
          <w:color w:val="auto"/>
        </w:rPr>
      </w:pPr>
    </w:p>
    <w:p>
      <w:pPr>
        <w:ind w:left="1620" w:hanging="316"/>
        <w:spacing w:after="0"/>
        <w:tabs>
          <w:tab w:leader="none" w:pos="1620" w:val="left"/>
        </w:tabs>
        <w:numPr>
          <w:ilvl w:val="1"/>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42" w:lineRule="exact"/>
        <w:rPr>
          <w:rFonts w:ascii="Arial" w:cs="Arial" w:eastAsia="Arial" w:hAnsi="Arial"/>
          <w:sz w:val="20"/>
          <w:szCs w:val="20"/>
          <w:i w:val="1"/>
          <w:iCs w:val="1"/>
          <w:color w:val="auto"/>
        </w:rPr>
      </w:pPr>
    </w:p>
    <w:p>
      <w:pPr>
        <w:jc w:val="both"/>
        <w:ind w:left="1300" w:firstLine="4"/>
        <w:spacing w:after="0" w:line="253" w:lineRule="auto"/>
        <w:tabs>
          <w:tab w:leader="none" w:pos="1642" w:val="left"/>
        </w:tabs>
        <w:numPr>
          <w:ilvl w:val="1"/>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204" w:lineRule="exact"/>
        <w:rPr>
          <w:rFonts w:ascii="Arial" w:cs="Arial" w:eastAsia="Arial" w:hAnsi="Arial"/>
          <w:sz w:val="20"/>
          <w:szCs w:val="20"/>
          <w:i w:val="1"/>
          <w:iCs w:val="1"/>
          <w:color w:val="auto"/>
        </w:rPr>
      </w:pPr>
    </w:p>
    <w:p>
      <w:pPr>
        <w:jc w:val="both"/>
        <w:ind w:left="660" w:hanging="4"/>
        <w:spacing w:after="0" w:line="253" w:lineRule="auto"/>
        <w:tabs>
          <w:tab w:leader="none" w:pos="1000" w:val="left"/>
        </w:tabs>
        <w:numPr>
          <w:ilvl w:val="0"/>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04" w:lineRule="exact"/>
        <w:rPr>
          <w:rFonts w:ascii="Arial" w:cs="Arial" w:eastAsia="Arial" w:hAnsi="Arial"/>
          <w:sz w:val="20"/>
          <w:szCs w:val="20"/>
          <w:i w:val="1"/>
          <w:iCs w:val="1"/>
          <w:color w:val="auto"/>
        </w:rPr>
      </w:pPr>
    </w:p>
    <w:p>
      <w:pPr>
        <w:jc w:val="both"/>
        <w:ind w:left="660" w:hanging="4"/>
        <w:spacing w:after="0" w:line="248" w:lineRule="auto"/>
        <w:tabs>
          <w:tab w:leader="none" w:pos="995" w:val="left"/>
        </w:tabs>
        <w:numPr>
          <w:ilvl w:val="0"/>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10" w:lineRule="exact"/>
        <w:rPr>
          <w:rFonts w:ascii="Arial" w:cs="Arial" w:eastAsia="Arial" w:hAnsi="Arial"/>
          <w:sz w:val="20"/>
          <w:szCs w:val="20"/>
          <w:i w:val="1"/>
          <w:iCs w:val="1"/>
          <w:color w:val="auto"/>
        </w:rPr>
      </w:pPr>
    </w:p>
    <w:p>
      <w:pPr>
        <w:ind w:left="660" w:right="20" w:hanging="4"/>
        <w:spacing w:after="0" w:line="267" w:lineRule="auto"/>
        <w:tabs>
          <w:tab w:leader="none" w:pos="1003" w:val="left"/>
        </w:tabs>
        <w:numPr>
          <w:ilvl w:val="0"/>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90" w:lineRule="exact"/>
        <w:rPr>
          <w:rFonts w:ascii="Arial" w:cs="Arial" w:eastAsia="Arial" w:hAnsi="Arial"/>
          <w:sz w:val="20"/>
          <w:szCs w:val="20"/>
          <w:i w:val="1"/>
          <w:iCs w:val="1"/>
          <w:color w:val="auto"/>
        </w:rPr>
      </w:pPr>
    </w:p>
    <w:p>
      <w:pPr>
        <w:jc w:val="both"/>
        <w:ind w:left="1300" w:firstLine="4"/>
        <w:spacing w:after="0" w:line="248" w:lineRule="auto"/>
        <w:tabs>
          <w:tab w:leader="none" w:pos="1631" w:val="left"/>
        </w:tabs>
        <w:numPr>
          <w:ilvl w:val="1"/>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10" w:lineRule="exact"/>
        <w:rPr>
          <w:rFonts w:ascii="Arial" w:cs="Arial" w:eastAsia="Arial" w:hAnsi="Arial"/>
          <w:sz w:val="20"/>
          <w:szCs w:val="20"/>
          <w:i w:val="1"/>
          <w:iCs w:val="1"/>
          <w:color w:val="auto"/>
        </w:rPr>
      </w:pPr>
    </w:p>
    <w:p>
      <w:pPr>
        <w:ind w:left="1300" w:firstLine="4"/>
        <w:spacing w:after="0" w:line="267" w:lineRule="auto"/>
        <w:tabs>
          <w:tab w:leader="none" w:pos="1623" w:val="left"/>
        </w:tabs>
        <w:numPr>
          <w:ilvl w:val="1"/>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90" w:lineRule="exact"/>
        <w:rPr>
          <w:rFonts w:ascii="Arial" w:cs="Arial" w:eastAsia="Arial" w:hAnsi="Arial"/>
          <w:sz w:val="20"/>
          <w:szCs w:val="20"/>
          <w:i w:val="1"/>
          <w:iCs w:val="1"/>
          <w:color w:val="auto"/>
        </w:rPr>
      </w:pPr>
    </w:p>
    <w:p>
      <w:pPr>
        <w:jc w:val="both"/>
        <w:ind w:left="660" w:hanging="4"/>
        <w:spacing w:after="0" w:line="246" w:lineRule="auto"/>
        <w:tabs>
          <w:tab w:leader="none" w:pos="985" w:val="left"/>
        </w:tabs>
        <w:numPr>
          <w:ilvl w:val="0"/>
          <w:numId w:val="91"/>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31"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35"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6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43" w:lineRule="exact"/>
        <w:rPr>
          <w:sz w:val="20"/>
          <w:szCs w:val="20"/>
          <w:color w:val="auto"/>
        </w:rPr>
      </w:pPr>
    </w:p>
    <w:p>
      <w:pPr>
        <w:ind w:left="1300" w:firstLine="4"/>
        <w:spacing w:after="0" w:line="267" w:lineRule="auto"/>
        <w:tabs>
          <w:tab w:leader="none" w:pos="1559" w:val="left"/>
        </w:tabs>
        <w:numPr>
          <w:ilvl w:val="0"/>
          <w:numId w:val="92"/>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90" w:lineRule="exact"/>
        <w:rPr>
          <w:rFonts w:ascii="Arial" w:cs="Arial" w:eastAsia="Arial" w:hAnsi="Arial"/>
          <w:sz w:val="20"/>
          <w:szCs w:val="20"/>
          <w:i w:val="1"/>
          <w:iCs w:val="1"/>
          <w:color w:val="auto"/>
        </w:rPr>
      </w:pPr>
    </w:p>
    <w:p>
      <w:pPr>
        <w:ind w:left="1300" w:firstLine="4"/>
        <w:spacing w:after="0" w:line="267" w:lineRule="auto"/>
        <w:tabs>
          <w:tab w:leader="none" w:pos="1596" w:val="left"/>
        </w:tabs>
        <w:numPr>
          <w:ilvl w:val="0"/>
          <w:numId w:val="92"/>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199" w:name="page200"/>
    <w:bookmarkEnd w:id="199"/>
    <w:p>
      <w:pPr>
        <w:ind w:right="504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6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400" w:hanging="420"/>
        <w:spacing w:after="0"/>
        <w:tabs>
          <w:tab w:leader="none" w:pos="1400" w:val="left"/>
        </w:tabs>
        <w:numPr>
          <w:ilvl w:val="0"/>
          <w:numId w:val="93"/>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400" w:hanging="420"/>
        <w:spacing w:after="0"/>
        <w:tabs>
          <w:tab w:leader="none" w:pos="1400" w:val="left"/>
        </w:tabs>
        <w:numPr>
          <w:ilvl w:val="0"/>
          <w:numId w:val="93"/>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400" w:hanging="420"/>
        <w:spacing w:after="0"/>
        <w:tabs>
          <w:tab w:leader="none" w:pos="1400" w:val="left"/>
        </w:tabs>
        <w:numPr>
          <w:ilvl w:val="0"/>
          <w:numId w:val="93"/>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211"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6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211"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90" w:lineRule="exact"/>
        <w:rPr>
          <w:sz w:val="20"/>
          <w:szCs w:val="20"/>
          <w:color w:val="auto"/>
        </w:rPr>
      </w:pPr>
    </w:p>
    <w:p>
      <w:pPr>
        <w:ind w:left="1300" w:right="340" w:firstLine="44"/>
        <w:spacing w:after="0" w:line="253" w:lineRule="auto"/>
        <w:tabs>
          <w:tab w:leader="none" w:pos="1696" w:val="left"/>
        </w:tabs>
        <w:numPr>
          <w:ilvl w:val="0"/>
          <w:numId w:val="94"/>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204" w:lineRule="exact"/>
        <w:rPr>
          <w:rFonts w:ascii="Arial" w:cs="Arial" w:eastAsia="Arial" w:hAnsi="Arial"/>
          <w:sz w:val="20"/>
          <w:szCs w:val="20"/>
          <w:i w:val="1"/>
          <w:iCs w:val="1"/>
          <w:color w:val="auto"/>
        </w:rPr>
      </w:pPr>
    </w:p>
    <w:p>
      <w:pPr>
        <w:jc w:val="both"/>
        <w:ind w:left="1300" w:firstLine="4"/>
        <w:spacing w:after="0" w:line="253" w:lineRule="auto"/>
        <w:tabs>
          <w:tab w:leader="none" w:pos="1599" w:val="left"/>
        </w:tabs>
        <w:numPr>
          <w:ilvl w:val="0"/>
          <w:numId w:val="94"/>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0" w:name="page201"/>
    <w:bookmarkEnd w:id="200"/>
    <w:p>
      <w:pPr>
        <w:ind w:right="5040"/>
        <w:spacing w:after="0" w:line="247" w:lineRule="auto"/>
        <w:rPr>
          <w:sz w:val="20"/>
          <w:szCs w:val="20"/>
          <w:color w:val="auto"/>
        </w:rPr>
      </w:pPr>
      <w:r>
        <w:rPr>
          <w:rFonts w:ascii="Arial" w:cs="Arial" w:eastAsia="Arial" w:hAnsi="Arial"/>
          <w:sz w:val="20"/>
          <w:szCs w:val="20"/>
          <w:color w:val="auto"/>
        </w:rPr>
        <w:t>PETROLEUM RESERVES STATUS DEFINITIONS AND GUIDELINES Page 3</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300" w:firstLine="4"/>
        <w:spacing w:after="0" w:line="248" w:lineRule="auto"/>
        <w:tabs>
          <w:tab w:leader="none" w:pos="1620" w:val="left"/>
        </w:tabs>
        <w:numPr>
          <w:ilvl w:val="0"/>
          <w:numId w:val="95"/>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VIPER ENERGY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Estimated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Future Reserves and Income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Attributable to Certain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Val Rick Robinson</w:t>
            </w:r>
          </w:p>
        </w:tc>
        <w:tc>
          <w:tcPr>
            <w:tcW w:w="220" w:type="dxa"/>
            <w:vAlign w:val="bottom"/>
          </w:tcPr>
          <w:p>
            <w:pPr>
              <w:spacing w:after="0"/>
              <w:rPr>
                <w:sz w:val="20"/>
                <w:szCs w:val="20"/>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Syed R. Rizvi</w:t>
            </w:r>
          </w:p>
        </w:tc>
      </w:tr>
      <w:tr>
        <w:trPr>
          <w:trHeight w:val="240"/>
        </w:trPr>
        <w:tc>
          <w:tcPr>
            <w:tcW w:w="5720" w:type="dxa"/>
            <w:vAlign w:val="bottom"/>
            <w:gridSpan w:val="2"/>
          </w:tcPr>
          <w:p>
            <w:pPr>
              <w:jc w:val="center"/>
              <w:ind w:right="220"/>
              <w:spacing w:after="0"/>
              <w:rPr>
                <w:sz w:val="20"/>
                <w:szCs w:val="20"/>
                <w:color w:val="auto"/>
              </w:rPr>
            </w:pPr>
            <w:r>
              <w:rPr>
                <w:rFonts w:ascii="Arial" w:cs="Arial" w:eastAsia="Arial" w:hAnsi="Arial"/>
                <w:sz w:val="20"/>
                <w:szCs w:val="20"/>
                <w:color w:val="auto"/>
                <w:w w:val="97"/>
              </w:rPr>
              <w:t>Val Rick Robinson, P.E.</w:t>
            </w:r>
          </w:p>
        </w:tc>
        <w:tc>
          <w:tcPr>
            <w:tcW w:w="5520" w:type="dxa"/>
            <w:vAlign w:val="bottom"/>
          </w:tcPr>
          <w:p>
            <w:pPr>
              <w:jc w:val="center"/>
              <w:spacing w:after="0"/>
              <w:rPr>
                <w:sz w:val="20"/>
                <w:szCs w:val="20"/>
                <w:color w:val="auto"/>
              </w:rPr>
            </w:pPr>
            <w:r>
              <w:rPr>
                <w:rFonts w:ascii="Arial" w:cs="Arial" w:eastAsia="Arial" w:hAnsi="Arial"/>
                <w:sz w:val="20"/>
                <w:szCs w:val="20"/>
                <w:color w:val="auto"/>
                <w:w w:val="99"/>
              </w:rPr>
              <w:t>Syed R. Rizvi</w:t>
            </w:r>
          </w:p>
        </w:tc>
      </w:tr>
      <w:tr>
        <w:trPr>
          <w:trHeight w:val="243"/>
        </w:trPr>
        <w:tc>
          <w:tcPr>
            <w:tcW w:w="5720" w:type="dxa"/>
            <w:vAlign w:val="bottom"/>
            <w:gridSpan w:val="2"/>
          </w:tcPr>
          <w:p>
            <w:pPr>
              <w:jc w:val="center"/>
              <w:ind w:right="220"/>
              <w:spacing w:after="0"/>
              <w:rPr>
                <w:sz w:val="20"/>
                <w:szCs w:val="20"/>
                <w:color w:val="auto"/>
              </w:rPr>
            </w:pPr>
            <w:r>
              <w:rPr>
                <w:rFonts w:ascii="Arial" w:cs="Arial" w:eastAsia="Arial" w:hAnsi="Arial"/>
                <w:sz w:val="20"/>
                <w:szCs w:val="20"/>
                <w:color w:val="auto"/>
                <w:w w:val="99"/>
              </w:rPr>
              <w:t>TBPELS License No. 105137</w:t>
            </w:r>
          </w:p>
        </w:tc>
        <w:tc>
          <w:tcPr>
            <w:tcW w:w="5520" w:type="dxa"/>
            <w:vAlign w:val="bottom"/>
          </w:tcPr>
          <w:p>
            <w:pPr>
              <w:jc w:val="center"/>
              <w:spacing w:after="0"/>
              <w:rPr>
                <w:sz w:val="20"/>
                <w:szCs w:val="20"/>
                <w:color w:val="auto"/>
              </w:rPr>
            </w:pPr>
            <w:r>
              <w:rPr>
                <w:rFonts w:ascii="Arial" w:cs="Arial" w:eastAsia="Arial" w:hAnsi="Arial"/>
                <w:sz w:val="20"/>
                <w:szCs w:val="20"/>
                <w:color w:val="auto"/>
                <w:w w:val="98"/>
              </w:rPr>
              <w:t>Senior Petroleum Engineer</w:t>
            </w:r>
          </w:p>
        </w:tc>
      </w:tr>
    </w:tbl>
    <w:p>
      <w:pPr>
        <w:spacing w:after="0" w:line="6"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Managing Senior Vice President</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RYDER SCOTT COMPANY, L.P.</w:t>
      </w:r>
    </w:p>
    <w:p>
      <w:pPr>
        <w:jc w:val="center"/>
        <w:spacing w:after="0"/>
        <w:rPr>
          <w:sz w:val="20"/>
          <w:szCs w:val="20"/>
          <w:color w:val="auto"/>
        </w:rPr>
      </w:pPr>
      <w:r>
        <w:rPr>
          <w:rFonts w:ascii="Arial" w:cs="Arial" w:eastAsia="Arial" w:hAnsi="Arial"/>
          <w:sz w:val="20"/>
          <w:szCs w:val="20"/>
          <w:color w:val="auto"/>
        </w:rPr>
        <w:t>TBPELS Firm Registration No. F-1580</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891" w:right="339" w:bottom="1440" w:gutter="0" w:footer="0" w:header="0"/>
        </w:sectPr>
      </w:pPr>
    </w:p>
    <w:bookmarkStart w:id="202" w:name="page203"/>
    <w:bookmarkEnd w:id="202"/>
    <w:p>
      <w:pPr>
        <w:spacing w:after="0"/>
        <w:rPr>
          <w:sz w:val="20"/>
          <w:szCs w:val="20"/>
          <w:color w:val="auto"/>
        </w:rPr>
      </w:pPr>
      <w:r>
        <w:rPr>
          <w:rFonts w:ascii="Arial" w:cs="Arial" w:eastAsia="Arial" w:hAnsi="Arial"/>
          <w:sz w:val="13"/>
          <w:szCs w:val="13"/>
          <w:color w:val="auto"/>
        </w:rPr>
        <w:t>RYDER SCOTT COMPANY</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PETROLEUM CONSULTANTS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TBPELS REGISTERED ENGINEERING FIRM F-1580 FAX (713) 651-0849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1100 LOUISIANA SUITE 4600 HOUSTON, TEXAS 77002-5294 TELEPHONE (713) 651-9191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January 5, 2022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royalty interests of Viper Energy Partners, LP (Viper), a subsidiary of Diamondback Energy, Inc. (Diamondback) as of December 31, 2021. The subject properties are located in the states of New Mexico and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December 31, 2021 and presented herein, was prepared for public disclosure by Viper in filings made with the SEC in accordance with the disclosure requirements set forth in the SEC regulations.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Viper as of December 31, 2021.</w:t>
      </w: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2021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
        <w:spacing w:after="0"/>
        <w:tabs>
          <w:tab w:leader="none" w:pos="120" w:val="left"/>
          <w:tab w:leader="none" w:pos="100" w:val="left"/>
        </w:tabs>
        <w:rPr>
          <w:sz w:val="20"/>
          <w:szCs w:val="20"/>
          <w:color w:val="auto"/>
        </w:rPr>
      </w:pPr>
      <w:r>
        <w:rPr>
          <w:rFonts w:ascii="Arial" w:cs="Arial" w:eastAsia="Arial" w:hAnsi="Arial"/>
          <w:sz w:val="13"/>
          <w:szCs w:val="13"/>
          <w:color w:val="auto"/>
        </w:rPr>
        <w:t>SUITE 2800, 350 7TH AVENUE, S.W.</w:t>
        <w:tab/>
        <w:t>CALGARY, ALBERTA T2P 3N9</w:t>
      </w:r>
      <w:r>
        <w:rPr>
          <w:sz w:val="20"/>
          <w:szCs w:val="20"/>
          <w:color w:val="auto"/>
        </w:rPr>
        <w:tab/>
      </w:r>
      <w:r>
        <w:rPr>
          <w:rFonts w:ascii="Arial" w:cs="Arial" w:eastAsia="Arial" w:hAnsi="Arial"/>
          <w:sz w:val="12"/>
          <w:szCs w:val="12"/>
          <w:color w:val="auto"/>
        </w:rPr>
        <w:t>TEL (403) 262-2799</w:t>
      </w:r>
    </w:p>
    <w:p>
      <w:pPr>
        <w:spacing w:after="0" w:line="23" w:lineRule="exact"/>
        <w:rPr>
          <w:sz w:val="20"/>
          <w:szCs w:val="20"/>
          <w:color w:val="auto"/>
        </w:rPr>
      </w:pPr>
    </w:p>
    <w:p>
      <w:pPr>
        <w:jc w:val="center"/>
        <w:ind w:right="120"/>
        <w:spacing w:after="0"/>
        <w:tabs>
          <w:tab w:leader="none" w:pos="120" w:val="left"/>
          <w:tab w:leader="none" w:pos="120" w:val="left"/>
        </w:tabs>
        <w:rPr>
          <w:sz w:val="20"/>
          <w:szCs w:val="20"/>
          <w:color w:val="auto"/>
        </w:rPr>
      </w:pPr>
      <w:r>
        <w:rPr>
          <w:rFonts w:ascii="Arial" w:cs="Arial" w:eastAsia="Arial" w:hAnsi="Arial"/>
          <w:sz w:val="13"/>
          <w:szCs w:val="13"/>
          <w:color w:val="auto"/>
        </w:rPr>
        <w:t>633 17TH STREET, SUITE 1700</w:t>
        <w:tab/>
        <w:t>DENVER, COLORADO 80202</w:t>
      </w:r>
      <w:r>
        <w:rPr>
          <w:sz w:val="20"/>
          <w:szCs w:val="20"/>
          <w:color w:val="auto"/>
        </w:rPr>
        <w:tab/>
      </w:r>
      <w:r>
        <w:rPr>
          <w:rFonts w:ascii="Arial" w:cs="Arial" w:eastAsia="Arial" w:hAnsi="Arial"/>
          <w:sz w:val="12"/>
          <w:szCs w:val="12"/>
          <w:color w:val="auto"/>
        </w:rPr>
        <w:t>TEL (303) 339-8110</w:t>
      </w:r>
    </w:p>
    <w:p>
      <w:pPr>
        <w:sectPr>
          <w:pgSz w:w="11900" w:h="16838" w:orient="portrait"/>
          <w:cols w:equalWidth="0" w:num="1">
            <w:col w:w="11240"/>
          </w:cols>
          <w:pgMar w:left="320" w:top="372" w:right="339" w:bottom="1440" w:gutter="0" w:footer="0" w:header="0"/>
        </w:sectPr>
      </w:pPr>
    </w:p>
    <w:bookmarkStart w:id="203" w:name="page204"/>
    <w:bookmarkEnd w:id="203"/>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28" w:lineRule="auto"/>
        <w:rPr>
          <w:sz w:val="20"/>
          <w:szCs w:val="20"/>
          <w:color w:val="auto"/>
        </w:rPr>
      </w:pPr>
      <w:r>
        <w:rPr>
          <w:rFonts w:ascii="Arial" w:cs="Arial" w:eastAsia="Arial" w:hAnsi="Arial"/>
          <w:sz w:val="19"/>
          <w:szCs w:val="19"/>
          <w:color w:val="auto"/>
        </w:rPr>
        <w:t>Certain Royalty Interests of</w:t>
      </w:r>
    </w:p>
    <w:p>
      <w:pPr>
        <w:jc w:val="center"/>
        <w:spacing w:after="0"/>
        <w:rPr>
          <w:sz w:val="20"/>
          <w:szCs w:val="20"/>
          <w:color w:val="auto"/>
        </w:rPr>
      </w:pPr>
      <w:r>
        <w:rPr>
          <w:rFonts w:ascii="Arial" w:cs="Arial" w:eastAsia="Arial" w:hAnsi="Arial"/>
          <w:sz w:val="20"/>
          <w:szCs w:val="20"/>
          <w:b w:val="1"/>
          <w:bCs w:val="1"/>
          <w:color w:val="auto"/>
        </w:rPr>
        <w:t>Viper Energy Partners, 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4445</wp:posOffset>
            </wp:positionV>
            <wp:extent cx="45002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2">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Proved</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80" w:type="dxa"/>
            <w:vAlign w:val="bottom"/>
            <w:gridSpan w:val="2"/>
          </w:tcPr>
          <w:p>
            <w:pPr>
              <w:ind w:left="460"/>
              <w:spacing w:after="0"/>
              <w:rPr>
                <w:sz w:val="20"/>
                <w:szCs w:val="20"/>
                <w:color w:val="auto"/>
              </w:rPr>
            </w:pPr>
            <w:r>
              <w:rPr>
                <w:rFonts w:ascii="Arial" w:cs="Arial" w:eastAsia="Arial" w:hAnsi="Arial"/>
                <w:sz w:val="18"/>
                <w:szCs w:val="18"/>
                <w:color w:val="auto"/>
              </w:rPr>
              <w:t>Developed</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8"/>
              </w:rPr>
              <w:t>Net Reserves</w:t>
            </w:r>
          </w:p>
        </w:tc>
        <w:tc>
          <w:tcPr>
            <w:tcW w:w="2220" w:type="dxa"/>
            <w:vAlign w:val="bottom"/>
            <w:gridSpan w:val="2"/>
            <w:vMerge w:val="restart"/>
          </w:tcPr>
          <w:p>
            <w:pPr>
              <w:spacing w:after="0"/>
              <w:rPr>
                <w:sz w:val="19"/>
                <w:szCs w:val="19"/>
                <w:color w:val="auto"/>
              </w:rPr>
            </w:pPr>
          </w:p>
        </w:tc>
        <w:tc>
          <w:tcPr>
            <w:tcW w:w="2080" w:type="dxa"/>
            <w:vAlign w:val="bottom"/>
            <w:gridSpan w:val="2"/>
          </w:tcPr>
          <w:p>
            <w:pPr>
              <w:ind w:left="480"/>
              <w:spacing w:after="0"/>
              <w:rPr>
                <w:sz w:val="20"/>
                <w:szCs w:val="20"/>
                <w:color w:val="auto"/>
              </w:rPr>
            </w:pPr>
            <w:r>
              <w:rPr>
                <w:rFonts w:ascii="Arial" w:cs="Arial" w:eastAsia="Arial" w:hAnsi="Arial"/>
                <w:sz w:val="18"/>
                <w:szCs w:val="18"/>
                <w:color w:val="auto"/>
              </w:rPr>
              <w:t>Producing</w:t>
            </w: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rPr>
              <w:t>Undeveloped</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74"/>
        </w:trPr>
        <w:tc>
          <w:tcPr>
            <w:tcW w:w="1140" w:type="dxa"/>
            <w:vAlign w:val="bottom"/>
            <w:tcBorders>
              <w:bottom w:val="single" w:sz="8" w:color="auto"/>
            </w:tcBorders>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60" w:type="dxa"/>
            <w:vAlign w:val="bottom"/>
            <w:gridSpan w:val="3"/>
          </w:tcPr>
          <w:p>
            <w:pPr>
              <w:spacing w:after="0"/>
              <w:rPr>
                <w:sz w:val="20"/>
                <w:szCs w:val="20"/>
                <w:color w:val="auto"/>
              </w:rPr>
            </w:pPr>
            <w:r>
              <w:rPr>
                <w:rFonts w:ascii="Arial" w:cs="Arial" w:eastAsia="Arial" w:hAnsi="Arial"/>
                <w:sz w:val="18"/>
                <w:szCs w:val="18"/>
                <w:color w:val="auto"/>
              </w:rPr>
              <w:t>Oil/Condensate – Mbbl</w:t>
            </w:r>
          </w:p>
        </w:tc>
        <w:tc>
          <w:tcPr>
            <w:tcW w:w="1780" w:type="dxa"/>
            <w:vAlign w:val="bottom"/>
          </w:tcPr>
          <w:p>
            <w:pPr>
              <w:jc w:val="right"/>
              <w:spacing w:after="0"/>
              <w:rPr>
                <w:sz w:val="20"/>
                <w:szCs w:val="20"/>
                <w:color w:val="auto"/>
              </w:rPr>
            </w:pPr>
            <w:r>
              <w:rPr>
                <w:rFonts w:ascii="Arial" w:cs="Arial" w:eastAsia="Arial" w:hAnsi="Arial"/>
                <w:sz w:val="18"/>
                <w:szCs w:val="18"/>
                <w:color w:val="auto"/>
              </w:rPr>
              <w:t>49,280</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19,960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69,240</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1780" w:type="dxa"/>
            <w:vAlign w:val="bottom"/>
          </w:tcPr>
          <w:p>
            <w:pPr>
              <w:jc w:val="right"/>
              <w:spacing w:after="0"/>
              <w:rPr>
                <w:sz w:val="20"/>
                <w:szCs w:val="20"/>
                <w:color w:val="auto"/>
              </w:rPr>
            </w:pPr>
            <w:r>
              <w:rPr>
                <w:rFonts w:ascii="Arial" w:cs="Arial" w:eastAsia="Arial" w:hAnsi="Arial"/>
                <w:sz w:val="18"/>
                <w:szCs w:val="18"/>
                <w:color w:val="auto"/>
              </w:rPr>
              <w:t>19,476</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8,557</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28,033</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1780" w:type="dxa"/>
            <w:vAlign w:val="bottom"/>
          </w:tcPr>
          <w:p>
            <w:pPr>
              <w:jc w:val="right"/>
              <w:spacing w:after="0"/>
              <w:rPr>
                <w:sz w:val="20"/>
                <w:szCs w:val="20"/>
                <w:color w:val="auto"/>
              </w:rPr>
            </w:pPr>
            <w:r>
              <w:rPr>
                <w:rFonts w:ascii="Arial" w:cs="Arial" w:eastAsia="Arial" w:hAnsi="Arial"/>
                <w:sz w:val="18"/>
                <w:szCs w:val="18"/>
                <w:color w:val="auto"/>
              </w:rPr>
              <w:t>134,485</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49,205</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183,690</w:t>
            </w:r>
          </w:p>
        </w:tc>
        <w:tc>
          <w:tcPr>
            <w:tcW w:w="0" w:type="dxa"/>
            <w:vAlign w:val="bottom"/>
          </w:tcPr>
          <w:p>
            <w:pPr>
              <w:spacing w:after="0"/>
              <w:rPr>
                <w:sz w:val="1"/>
                <w:szCs w:val="1"/>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MBOE</w:t>
            </w:r>
          </w:p>
        </w:tc>
        <w:tc>
          <w:tcPr>
            <w:tcW w:w="1780" w:type="dxa"/>
            <w:vAlign w:val="bottom"/>
          </w:tcPr>
          <w:p>
            <w:pPr>
              <w:jc w:val="right"/>
              <w:spacing w:after="0"/>
              <w:rPr>
                <w:sz w:val="20"/>
                <w:szCs w:val="20"/>
                <w:color w:val="auto"/>
              </w:rPr>
            </w:pPr>
            <w:r>
              <w:rPr>
                <w:rFonts w:ascii="Arial" w:cs="Arial" w:eastAsia="Arial" w:hAnsi="Arial"/>
                <w:sz w:val="18"/>
                <w:szCs w:val="18"/>
                <w:color w:val="auto"/>
              </w:rPr>
              <w:t>91,170</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36,718</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127,888</w:t>
            </w:r>
          </w:p>
        </w:tc>
        <w:tc>
          <w:tcPr>
            <w:tcW w:w="0" w:type="dxa"/>
            <w:vAlign w:val="bottom"/>
          </w:tcPr>
          <w:p>
            <w:pPr>
              <w:spacing w:after="0"/>
              <w:rPr>
                <w:sz w:val="1"/>
                <w:szCs w:val="1"/>
                <w:color w:val="auto"/>
              </w:rPr>
            </w:pPr>
          </w:p>
        </w:tc>
      </w:tr>
      <w:tr>
        <w:trPr>
          <w:trHeight w:val="445"/>
        </w:trPr>
        <w:tc>
          <w:tcPr>
            <w:tcW w:w="3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1780" w:type="dxa"/>
            <w:vAlign w:val="bottom"/>
          </w:tcPr>
          <w:p>
            <w:pPr>
              <w:jc w:val="right"/>
              <w:spacing w:after="0"/>
              <w:rPr>
                <w:sz w:val="20"/>
                <w:szCs w:val="20"/>
                <w:color w:val="auto"/>
              </w:rPr>
            </w:pPr>
            <w:r>
              <w:rPr>
                <w:rFonts w:ascii="Arial" w:cs="Arial" w:eastAsia="Arial" w:hAnsi="Arial"/>
                <w:sz w:val="18"/>
                <w:szCs w:val="18"/>
                <w:color w:val="auto"/>
              </w:rPr>
              <w:t>$3,878,633</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$1,580,866</w:t>
            </w:r>
          </w:p>
        </w:tc>
        <w:tc>
          <w:tcPr>
            <w:tcW w:w="300" w:type="dxa"/>
            <w:vAlign w:val="bottom"/>
          </w:tcPr>
          <w:p>
            <w:pPr>
              <w:spacing w:after="0"/>
              <w:rPr>
                <w:sz w:val="21"/>
                <w:szCs w:val="21"/>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$5,459,499</w:t>
            </w:r>
          </w:p>
        </w:tc>
        <w:tc>
          <w:tcPr>
            <w:tcW w:w="0" w:type="dxa"/>
            <w:vAlign w:val="bottom"/>
          </w:tcPr>
          <w:p>
            <w:pPr>
              <w:spacing w:after="0"/>
              <w:rPr>
                <w:sz w:val="1"/>
                <w:szCs w:val="1"/>
                <w:color w:val="auto"/>
              </w:rPr>
            </w:pPr>
          </w:p>
        </w:tc>
      </w:tr>
      <w:tr>
        <w:trPr>
          <w:trHeight w:val="230"/>
        </w:trPr>
        <w:tc>
          <w:tcPr>
            <w:tcW w:w="336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79,787</w:t>
            </w:r>
          </w:p>
        </w:tc>
        <w:tc>
          <w:tcPr>
            <w:tcW w:w="3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33,040</w:t>
            </w:r>
          </w:p>
        </w:tc>
        <w:tc>
          <w:tcPr>
            <w:tcW w:w="3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112,827</w:t>
            </w:r>
          </w:p>
        </w:tc>
        <w:tc>
          <w:tcPr>
            <w:tcW w:w="0" w:type="dxa"/>
            <w:vAlign w:val="bottom"/>
          </w:tcPr>
          <w:p>
            <w:pPr>
              <w:spacing w:after="0"/>
              <w:rPr>
                <w:sz w:val="1"/>
                <w:szCs w:val="1"/>
                <w:color w:val="auto"/>
              </w:rPr>
            </w:pPr>
          </w:p>
        </w:tc>
      </w:tr>
      <w:tr>
        <w:trPr>
          <w:trHeight w:val="223"/>
        </w:trPr>
        <w:tc>
          <w:tcPr>
            <w:tcW w:w="3360" w:type="dxa"/>
            <w:vAlign w:val="bottom"/>
            <w:gridSpan w:val="3"/>
          </w:tcPr>
          <w:p>
            <w:pPr>
              <w:spacing w:after="0"/>
              <w:rPr>
                <w:sz w:val="20"/>
                <w:szCs w:val="20"/>
                <w:color w:val="auto"/>
              </w:rPr>
            </w:pPr>
            <w:r>
              <w:rPr>
                <w:rFonts w:ascii="Arial" w:cs="Arial" w:eastAsia="Arial" w:hAnsi="Arial"/>
                <w:sz w:val="18"/>
                <w:szCs w:val="18"/>
                <w:color w:val="auto"/>
              </w:rPr>
              <w:t>Future Net Income (FNI)</w:t>
            </w:r>
          </w:p>
        </w:tc>
        <w:tc>
          <w:tcPr>
            <w:tcW w:w="1780" w:type="dxa"/>
            <w:vAlign w:val="bottom"/>
          </w:tcPr>
          <w:p>
            <w:pPr>
              <w:jc w:val="right"/>
              <w:spacing w:after="0"/>
              <w:rPr>
                <w:sz w:val="20"/>
                <w:szCs w:val="20"/>
                <w:color w:val="auto"/>
              </w:rPr>
            </w:pPr>
            <w:r>
              <w:rPr>
                <w:rFonts w:ascii="Arial" w:cs="Arial" w:eastAsia="Arial" w:hAnsi="Arial"/>
                <w:sz w:val="18"/>
                <w:szCs w:val="18"/>
                <w:color w:val="auto"/>
              </w:rPr>
              <w:t>$3,798,846</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$1,547,826</w:t>
            </w:r>
          </w:p>
        </w:tc>
        <w:tc>
          <w:tcPr>
            <w:tcW w:w="300" w:type="dxa"/>
            <w:vAlign w:val="bottom"/>
          </w:tcPr>
          <w:p>
            <w:pPr>
              <w:spacing w:after="0"/>
              <w:rPr>
                <w:sz w:val="19"/>
                <w:szCs w:val="19"/>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$5,346,672</w:t>
            </w:r>
          </w:p>
        </w:tc>
        <w:tc>
          <w:tcPr>
            <w:tcW w:w="0" w:type="dxa"/>
            <w:vAlign w:val="bottom"/>
          </w:tcPr>
          <w:p>
            <w:pPr>
              <w:spacing w:after="0"/>
              <w:rPr>
                <w:sz w:val="1"/>
                <w:szCs w:val="1"/>
                <w:color w:val="auto"/>
              </w:rPr>
            </w:pPr>
          </w:p>
        </w:tc>
      </w:tr>
      <w:tr>
        <w:trPr>
          <w:trHeight w:val="486"/>
        </w:trPr>
        <w:tc>
          <w:tcPr>
            <w:tcW w:w="336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1780" w:type="dxa"/>
            <w:vAlign w:val="bottom"/>
          </w:tcPr>
          <w:p>
            <w:pPr>
              <w:jc w:val="right"/>
              <w:spacing w:after="0"/>
              <w:rPr>
                <w:sz w:val="20"/>
                <w:szCs w:val="20"/>
                <w:color w:val="auto"/>
              </w:rPr>
            </w:pPr>
            <w:r>
              <w:rPr>
                <w:rFonts w:ascii="Arial" w:cs="Arial" w:eastAsia="Arial" w:hAnsi="Arial"/>
                <w:sz w:val="18"/>
                <w:szCs w:val="18"/>
                <w:color w:val="auto"/>
              </w:rPr>
              <w:t>$1,648,450</w:t>
            </w:r>
          </w:p>
        </w:tc>
        <w:tc>
          <w:tcPr>
            <w:tcW w:w="3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$698,720</w:t>
            </w:r>
          </w:p>
        </w:tc>
        <w:tc>
          <w:tcPr>
            <w:tcW w:w="300" w:type="dxa"/>
            <w:vAlign w:val="bottom"/>
          </w:tcPr>
          <w:p>
            <w:pPr>
              <w:spacing w:after="0"/>
              <w:rPr>
                <w:sz w:val="24"/>
                <w:szCs w:val="24"/>
                <w:color w:val="auto"/>
              </w:rPr>
            </w:pPr>
          </w:p>
        </w:tc>
        <w:tc>
          <w:tcPr>
            <w:tcW w:w="1580" w:type="dxa"/>
            <w:vAlign w:val="bottom"/>
          </w:tcPr>
          <w:p>
            <w:pPr>
              <w:ind w:left="600"/>
              <w:spacing w:after="0"/>
              <w:rPr>
                <w:sz w:val="20"/>
                <w:szCs w:val="20"/>
                <w:color w:val="auto"/>
              </w:rPr>
            </w:pPr>
            <w:r>
              <w:rPr>
                <w:rFonts w:ascii="Arial" w:cs="Arial" w:eastAsia="Arial" w:hAnsi="Arial"/>
                <w:sz w:val="18"/>
                <w:szCs w:val="18"/>
                <w:color w:val="auto"/>
              </w:rPr>
              <w:t>$2,347,170</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Liquid hydrocarbons are expressed in standard 42 U.S. gallon barrels and shown herein as thousands of barrels (Mbbl).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of natural gas per one barrel of oil equivalent. MBOE means thousand barrels of oil equivalent. In this report, the revenues, deductions, and income data are expressed as thousands of U.S. dollars ($M).</w:t>
      </w:r>
    </w:p>
    <w:p>
      <w:pPr>
        <w:spacing w:after="0" w:line="24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at the request of Viper.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3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gross revenue is after the deduction of production taxes. Because the interests evaluated herein are royalty interests, the deductions include only ad valorem taxes.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Liquid hydrocarbon reserves account for approximately 91 percent and gas reserves account for the remaining 9 percent of total future gross revenue from proved reserves.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45" w:lineRule="exact"/>
        <w:rPr>
          <w:sz w:val="20"/>
          <w:szCs w:val="20"/>
          <w:color w:val="auto"/>
        </w:rPr>
      </w:pPr>
    </w:p>
    <w:p>
      <w:pPr>
        <w:jc w:val="both"/>
        <w:ind w:firstLine="220"/>
        <w:spacing w:after="0" w:line="243"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376" w:lineRule="exact"/>
        <w:rPr>
          <w:sz w:val="20"/>
          <w:szCs w:val="20"/>
          <w:color w:val="auto"/>
        </w:rPr>
      </w:pPr>
    </w:p>
    <w:tbl>
      <w:tblPr>
        <w:tblLayout w:type="fixed"/>
        <w:tblInd w:w="1700" w:type="dxa"/>
        <w:tblCellMar>
          <w:top w:w="0" w:type="dxa"/>
          <w:left w:w="0" w:type="dxa"/>
          <w:bottom w:w="0" w:type="dxa"/>
          <w:right w:w="0" w:type="dxa"/>
        </w:tblCellMar>
      </w:tblPr>
      <w:tr>
        <w:trPr>
          <w:trHeight w:val="227"/>
        </w:trPr>
        <w:tc>
          <w:tcPr>
            <w:tcW w:w="1660" w:type="dxa"/>
            <w:vAlign w:val="bottom"/>
          </w:tcPr>
          <w:p>
            <w:pPr>
              <w:spacing w:after="0"/>
              <w:rPr>
                <w:sz w:val="19"/>
                <w:szCs w:val="19"/>
                <w:color w:val="auto"/>
              </w:rPr>
            </w:pPr>
          </w:p>
        </w:tc>
        <w:tc>
          <w:tcPr>
            <w:tcW w:w="4120" w:type="dxa"/>
            <w:vAlign w:val="bottom"/>
            <w:gridSpan w:val="3"/>
          </w:tcPr>
          <w:p>
            <w:pPr>
              <w:jc w:val="center"/>
              <w:ind w:left="589"/>
              <w:spacing w:after="0"/>
              <w:rPr>
                <w:sz w:val="20"/>
                <w:szCs w:val="20"/>
                <w:color w:val="auto"/>
              </w:rPr>
            </w:pPr>
            <w:r>
              <w:rPr>
                <w:rFonts w:ascii="Arial" w:cs="Arial" w:eastAsia="Arial" w:hAnsi="Arial"/>
                <w:sz w:val="19"/>
                <w:szCs w:val="19"/>
                <w:color w:val="auto"/>
                <w:w w:val="99"/>
              </w:rPr>
              <w:t>Discounted Future Net Income ($M)</w:t>
            </w:r>
          </w:p>
        </w:tc>
      </w:tr>
      <w:tr>
        <w:trPr>
          <w:trHeight w:val="241"/>
        </w:trPr>
        <w:tc>
          <w:tcPr>
            <w:tcW w:w="1660" w:type="dxa"/>
            <w:vAlign w:val="bottom"/>
          </w:tcPr>
          <w:p>
            <w:pPr>
              <w:spacing w:after="0"/>
              <w:rPr>
                <w:sz w:val="20"/>
                <w:szCs w:val="20"/>
                <w:color w:val="auto"/>
              </w:rPr>
            </w:pPr>
          </w:p>
        </w:tc>
        <w:tc>
          <w:tcPr>
            <w:tcW w:w="4120" w:type="dxa"/>
            <w:vAlign w:val="bottom"/>
            <w:gridSpan w:val="3"/>
          </w:tcPr>
          <w:p>
            <w:pPr>
              <w:jc w:val="center"/>
              <w:ind w:left="589"/>
              <w:spacing w:after="0"/>
              <w:rPr>
                <w:sz w:val="20"/>
                <w:szCs w:val="20"/>
                <w:color w:val="auto"/>
              </w:rPr>
            </w:pPr>
            <w:r>
              <w:rPr>
                <w:rFonts w:ascii="Arial" w:cs="Arial" w:eastAsia="Arial" w:hAnsi="Arial"/>
                <w:sz w:val="19"/>
                <w:szCs w:val="19"/>
                <w:color w:val="auto"/>
              </w:rPr>
              <w:t>As of December 31, 2021</w:t>
            </w:r>
          </w:p>
        </w:tc>
      </w:tr>
      <w:tr>
        <w:trPr>
          <w:trHeight w:val="238"/>
        </w:trPr>
        <w:tc>
          <w:tcPr>
            <w:tcW w:w="1660" w:type="dxa"/>
            <w:vAlign w:val="bottom"/>
          </w:tcPr>
          <w:p>
            <w:pPr>
              <w:jc w:val="center"/>
              <w:spacing w:after="0"/>
              <w:rPr>
                <w:sz w:val="20"/>
                <w:szCs w:val="20"/>
                <w:color w:val="auto"/>
              </w:rPr>
            </w:pPr>
            <w:r>
              <w:rPr>
                <w:rFonts w:ascii="Arial" w:cs="Arial" w:eastAsia="Arial" w:hAnsi="Arial"/>
                <w:sz w:val="19"/>
                <w:szCs w:val="19"/>
                <w:color w:val="auto"/>
              </w:rPr>
              <w:t>Discount Rate</w:t>
            </w:r>
          </w:p>
        </w:tc>
        <w:tc>
          <w:tcPr>
            <w:tcW w:w="1660" w:type="dxa"/>
            <w:vAlign w:val="bottom"/>
          </w:tcPr>
          <w:p>
            <w:pPr>
              <w:spacing w:after="0"/>
              <w:rPr>
                <w:sz w:val="20"/>
                <w:szCs w:val="20"/>
                <w:color w:val="auto"/>
              </w:rPr>
            </w:pPr>
          </w:p>
        </w:tc>
        <w:tc>
          <w:tcPr>
            <w:tcW w:w="2460" w:type="dxa"/>
            <w:vAlign w:val="bottom"/>
            <w:tcBorders>
              <w:top w:val="single" w:sz="8" w:color="auto"/>
            </w:tcBorders>
            <w:gridSpan w:val="2"/>
          </w:tcPr>
          <w:p>
            <w:pPr>
              <w:jc w:val="center"/>
              <w:ind w:right="940"/>
              <w:spacing w:after="0"/>
              <w:rPr>
                <w:sz w:val="20"/>
                <w:szCs w:val="20"/>
                <w:color w:val="auto"/>
              </w:rPr>
            </w:pPr>
            <w:r>
              <w:rPr>
                <w:rFonts w:ascii="Arial" w:cs="Arial" w:eastAsia="Arial" w:hAnsi="Arial"/>
                <w:sz w:val="19"/>
                <w:szCs w:val="19"/>
                <w:color w:val="auto"/>
                <w:w w:val="94"/>
              </w:rPr>
              <w:t>Total</w:t>
            </w:r>
          </w:p>
        </w:tc>
      </w:tr>
      <w:tr>
        <w:trPr>
          <w:trHeight w:val="241"/>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7"/>
              </w:rPr>
              <w:t>Percent</w:t>
            </w:r>
          </w:p>
        </w:tc>
        <w:tc>
          <w:tcPr>
            <w:tcW w:w="16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9"/>
              </w:rPr>
              <w:t>Proved</w:t>
            </w:r>
          </w:p>
        </w:tc>
        <w:tc>
          <w:tcPr>
            <w:tcW w:w="940" w:type="dxa"/>
            <w:vAlign w:val="bottom"/>
          </w:tcPr>
          <w:p>
            <w:pPr>
              <w:spacing w:after="0"/>
              <w:rPr>
                <w:sz w:val="20"/>
                <w:szCs w:val="20"/>
                <w:color w:val="auto"/>
              </w:rPr>
            </w:pPr>
          </w:p>
        </w:tc>
      </w:tr>
      <w:tr>
        <w:trPr>
          <w:trHeight w:val="482"/>
        </w:trPr>
        <w:tc>
          <w:tcPr>
            <w:tcW w:w="1660" w:type="dxa"/>
            <w:vAlign w:val="bottom"/>
          </w:tcPr>
          <w:p>
            <w:pPr>
              <w:jc w:val="center"/>
              <w:spacing w:after="0"/>
              <w:rPr>
                <w:sz w:val="20"/>
                <w:szCs w:val="20"/>
                <w:color w:val="auto"/>
              </w:rPr>
            </w:pPr>
            <w:r>
              <w:rPr>
                <w:rFonts w:ascii="Arial" w:cs="Arial" w:eastAsia="Arial" w:hAnsi="Arial"/>
                <w:sz w:val="19"/>
                <w:szCs w:val="19"/>
                <w:color w:val="auto"/>
              </w:rPr>
              <w:t>5</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9"/>
              </w:rPr>
              <w:t>$3,206,727</w:t>
            </w:r>
          </w:p>
        </w:tc>
        <w:tc>
          <w:tcPr>
            <w:tcW w:w="940" w:type="dxa"/>
            <w:vAlign w:val="bottom"/>
          </w:tcPr>
          <w:p>
            <w:pPr>
              <w:spacing w:after="0"/>
              <w:rPr>
                <w:sz w:val="24"/>
                <w:szCs w:val="24"/>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9"/>
                <w:szCs w:val="19"/>
                <w:color w:val="auto"/>
                <w:w w:val="94"/>
              </w:rPr>
              <w:t>15</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9"/>
              </w:rPr>
              <w:t>$1,883,607</w:t>
            </w:r>
          </w:p>
        </w:tc>
        <w:tc>
          <w:tcPr>
            <w:tcW w:w="940" w:type="dxa"/>
            <w:vAlign w:val="bottom"/>
          </w:tcPr>
          <w:p>
            <w:pPr>
              <w:spacing w:after="0"/>
              <w:rPr>
                <w:sz w:val="21"/>
                <w:szCs w:val="2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9"/>
                <w:szCs w:val="19"/>
                <w:color w:val="auto"/>
                <w:w w:val="94"/>
              </w:rPr>
              <w:t>20</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9"/>
              </w:rPr>
              <w:t>$1,589,545</w:t>
            </w:r>
          </w:p>
        </w:tc>
        <w:tc>
          <w:tcPr>
            <w:tcW w:w="940" w:type="dxa"/>
            <w:vAlign w:val="bottom"/>
          </w:tcPr>
          <w:p>
            <w:pPr>
              <w:spacing w:after="0"/>
              <w:rPr>
                <w:sz w:val="21"/>
                <w:szCs w:val="21"/>
                <w:color w:val="auto"/>
              </w:rPr>
            </w:pPr>
          </w:p>
        </w:tc>
      </w:tr>
      <w:tr>
        <w:trPr>
          <w:trHeight w:val="243"/>
        </w:trPr>
        <w:tc>
          <w:tcPr>
            <w:tcW w:w="1660" w:type="dxa"/>
            <w:vAlign w:val="bottom"/>
          </w:tcPr>
          <w:p>
            <w:pPr>
              <w:jc w:val="center"/>
              <w:spacing w:after="0"/>
              <w:rPr>
                <w:sz w:val="20"/>
                <w:szCs w:val="20"/>
                <w:color w:val="auto"/>
              </w:rPr>
            </w:pPr>
            <w:r>
              <w:rPr>
                <w:rFonts w:ascii="Arial" w:cs="Arial" w:eastAsia="Arial" w:hAnsi="Arial"/>
                <w:sz w:val="19"/>
                <w:szCs w:val="19"/>
                <w:color w:val="auto"/>
                <w:w w:val="94"/>
              </w:rPr>
              <w:t>30</w:t>
            </w:r>
          </w:p>
        </w:tc>
        <w:tc>
          <w:tcPr>
            <w:tcW w:w="3180" w:type="dxa"/>
            <w:vAlign w:val="bottom"/>
            <w:gridSpan w:val="2"/>
          </w:tcPr>
          <w:p>
            <w:pPr>
              <w:jc w:val="center"/>
              <w:ind w:left="1589"/>
              <w:spacing w:after="0"/>
              <w:rPr>
                <w:sz w:val="20"/>
                <w:szCs w:val="20"/>
                <w:color w:val="auto"/>
              </w:rPr>
            </w:pPr>
            <w:r>
              <w:rPr>
                <w:rFonts w:ascii="Arial" w:cs="Arial" w:eastAsia="Arial" w:hAnsi="Arial"/>
                <w:sz w:val="18"/>
                <w:szCs w:val="18"/>
                <w:color w:val="auto"/>
                <w:w w:val="99"/>
              </w:rPr>
              <w:t>$1,231,967</w:t>
            </w:r>
          </w:p>
        </w:tc>
        <w:tc>
          <w:tcPr>
            <w:tcW w:w="940" w:type="dxa"/>
            <w:vAlign w:val="bottom"/>
          </w:tcPr>
          <w:p>
            <w:pPr>
              <w:spacing w:after="0"/>
              <w:rPr>
                <w:sz w:val="21"/>
                <w:szCs w:val="21"/>
                <w:color w:val="auto"/>
              </w:rPr>
            </w:pPr>
          </w:p>
        </w:tc>
      </w:tr>
    </w:tbl>
    <w:p>
      <w:pPr>
        <w:spacing w:after="0" w:line="3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various reserves status categories are defined in the attachment entitled “PETROLEUM RESERVES STATUS DEFINITIONS AND GUIDELINES” in this report.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w:t>
      </w:r>
    </w:p>
    <w:p>
      <w:pPr>
        <w:spacing w:after="0"/>
        <w:rPr>
          <w:sz w:val="20"/>
          <w:szCs w:val="20"/>
          <w:color w:val="auto"/>
        </w:rPr>
      </w:pPr>
      <w:r>
        <w:rPr>
          <w:rFonts w:ascii="Arial" w:cs="Arial" w:eastAsia="Arial" w:hAnsi="Arial"/>
          <w:sz w:val="20"/>
          <w:szCs w:val="20"/>
          <w:color w:val="auto"/>
        </w:rPr>
        <w:t>The proved gas volumes presented herein do not include volumes of gas consumed in operations as reserves.</w:t>
      </w: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sub-categorized as probable and possible reserves to denote progressively increasing uncertainty in their recoverability. At Viper’s request, this report addresses only the proved reserves attributable to the properties evaluated herein.</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w:t>
      </w:r>
      <w:r>
        <w:rPr>
          <w:rFonts w:ascii="Arial" w:cs="Arial" w:eastAsia="Arial" w:hAnsi="Arial"/>
          <w:sz w:val="20"/>
          <w:szCs w:val="20"/>
          <w:b w:val="1"/>
          <w:bCs w:val="1"/>
          <w:color w:val="auto"/>
        </w:rPr>
        <w:t>,</w:t>
      </w:r>
      <w:r>
        <w:rPr>
          <w:rFonts w:ascii="Arial" w:cs="Arial" w:eastAsia="Arial" w:hAnsi="Arial"/>
          <w:sz w:val="20"/>
          <w:szCs w:val="20"/>
          <w:color w:val="auto"/>
        </w:rPr>
        <w:t xml:space="preserve">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Viper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38"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likely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3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methods. Approximately 90 percent of the proved producing reserves attributable to producing wells and/or reservoirs were estimated by performance methods or a combination of methods. These performance methods include, but may not be limited to, decline curve analysis which utilized extrapolations of historical production and pressure data available through December, 2021 in those cases where such data were considered to be definitive. The data utilized in this analysis were furnished to Ryder Scott by Diamondback or obtained from public data sources and were considered sufficient for the purpose thereof. The remaining 10 percent of the proved producing reserves were estimated by analogy, or a combination of methods. These methods were used where there were inadequate historical performance data to establish a definitive trend and where the use of production performance data as a basis for the reserves estimates was considered to be inappropriate.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undeveloped reserves included herein were estimated by the analogy method.</w:t>
      </w:r>
    </w:p>
    <w:p>
      <w:pPr>
        <w:spacing w:after="0" w:line="24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6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based on analog well performance and type-curves where appropriate, until a decline in ability to produce was anticipated. An estimated rate of decline was then applied until depletion of the reserves. If a decline trend has been established, this trend was used as the basis for estimating future production rates.</w:t>
      </w:r>
    </w:p>
    <w:p>
      <w:pPr>
        <w:spacing w:after="0" w:line="23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locations that are not currently producing. For reserves not yet on production, sales were estimated to commence at an anticipated date furnished by Diamondback.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production rates from wells currently on production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furnished us with the above mentioned average prices in effect on December 31, 2021.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Diamondback. The differentials furnished to us were accepted as factual data and reviewed by us for their reasonableness; however, we have not conducted an independent verification of the data used by Diamondback to determine these differentials.</w:t>
      </w:r>
    </w:p>
    <w:p>
      <w:pPr>
        <w:spacing w:after="0" w:line="23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the geographic area included in the report.</w:t>
      </w:r>
    </w:p>
    <w:p>
      <w:pPr>
        <w:spacing w:after="0" w:line="342" w:lineRule="exact"/>
        <w:rPr>
          <w:sz w:val="20"/>
          <w:szCs w:val="20"/>
          <w:color w:val="auto"/>
        </w:rPr>
      </w:pPr>
    </w:p>
    <w:tbl>
      <w:tblPr>
        <w:tblLayout w:type="fixed"/>
        <w:tblInd w:w="110" w:type="dxa"/>
        <w:tblCellMar>
          <w:top w:w="0" w:type="dxa"/>
          <w:left w:w="0" w:type="dxa"/>
          <w:bottom w:w="0" w:type="dxa"/>
          <w:right w:w="0" w:type="dxa"/>
        </w:tblCellMar>
      </w:tblPr>
      <w:tr>
        <w:trPr>
          <w:trHeight w:val="212"/>
        </w:trPr>
        <w:tc>
          <w:tcPr>
            <w:tcW w:w="2720" w:type="dxa"/>
            <w:vAlign w:val="bottom"/>
            <w:tcBorders>
              <w:top w:val="single" w:sz="8" w:color="00000A"/>
              <w:left w:val="single" w:sz="8" w:color="00000A"/>
              <w:right w:val="single" w:sz="8" w:color="00000A"/>
            </w:tcBorders>
          </w:tcPr>
          <w:p>
            <w:pPr>
              <w:spacing w:after="0"/>
              <w:rPr>
                <w:sz w:val="18"/>
                <w:szCs w:val="18"/>
                <w:color w:val="auto"/>
              </w:rPr>
            </w:pPr>
          </w:p>
        </w:tc>
        <w:tc>
          <w:tcPr>
            <w:tcW w:w="1900" w:type="dxa"/>
            <w:vAlign w:val="bottom"/>
            <w:tcBorders>
              <w:top w:val="single" w:sz="8" w:color="00000A"/>
              <w:right w:val="single" w:sz="8" w:color="00000A"/>
            </w:tcBorders>
          </w:tcPr>
          <w:p>
            <w:pPr>
              <w:spacing w:after="0"/>
              <w:rPr>
                <w:sz w:val="18"/>
                <w:szCs w:val="18"/>
                <w:color w:val="auto"/>
              </w:rPr>
            </w:pPr>
          </w:p>
        </w:tc>
        <w:tc>
          <w:tcPr>
            <w:tcW w:w="252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rPr>
              <w:t>Price</w:t>
            </w:r>
          </w:p>
        </w:tc>
        <w:tc>
          <w:tcPr>
            <w:tcW w:w="2040" w:type="dxa"/>
            <w:vAlign w:val="bottom"/>
            <w:tcBorders>
              <w:top w:val="single" w:sz="8" w:color="00000A"/>
              <w:right w:val="single" w:sz="8" w:color="00000A"/>
            </w:tcBorders>
          </w:tcPr>
          <w:p>
            <w:pPr>
              <w:jc w:val="center"/>
              <w:spacing w:after="0" w:line="212" w:lineRule="exact"/>
              <w:rPr>
                <w:sz w:val="20"/>
                <w:szCs w:val="20"/>
                <w:color w:val="auto"/>
              </w:rPr>
            </w:pPr>
            <w:r>
              <w:rPr>
                <w:rFonts w:ascii="Arial" w:cs="Arial" w:eastAsia="Arial" w:hAnsi="Arial"/>
                <w:sz w:val="20"/>
                <w:szCs w:val="20"/>
                <w:color w:val="auto"/>
                <w:w w:val="96"/>
              </w:rPr>
              <w:t>Average</w:t>
            </w:r>
          </w:p>
        </w:tc>
        <w:tc>
          <w:tcPr>
            <w:tcW w:w="1880" w:type="dxa"/>
            <w:vAlign w:val="bottom"/>
            <w:tcBorders>
              <w:top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8"/>
              </w:rPr>
              <w:t>Average Realized</w:t>
            </w:r>
          </w:p>
        </w:tc>
        <w:tc>
          <w:tcPr>
            <w:tcW w:w="0" w:type="dxa"/>
            <w:vAlign w:val="bottom"/>
          </w:tcPr>
          <w:p>
            <w:pPr>
              <w:spacing w:after="0"/>
              <w:rPr>
                <w:sz w:val="1"/>
                <w:szCs w:val="1"/>
                <w:color w:val="auto"/>
              </w:rPr>
            </w:pPr>
          </w:p>
        </w:tc>
      </w:tr>
      <w:tr>
        <w:trPr>
          <w:trHeight w:val="189"/>
        </w:trPr>
        <w:tc>
          <w:tcPr>
            <w:tcW w:w="272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7"/>
              </w:rPr>
              <w:t>Geographic Area</w:t>
            </w:r>
          </w:p>
        </w:tc>
        <w:tc>
          <w:tcPr>
            <w:tcW w:w="1900" w:type="dxa"/>
            <w:vAlign w:val="bottom"/>
            <w:tcBorders>
              <w:right w:val="single" w:sz="8" w:color="00000A"/>
            </w:tcBorders>
            <w:vMerge w:val="restart"/>
          </w:tcPr>
          <w:p>
            <w:pPr>
              <w:ind w:left="600"/>
              <w:spacing w:after="0"/>
              <w:rPr>
                <w:sz w:val="20"/>
                <w:szCs w:val="20"/>
                <w:color w:val="auto"/>
              </w:rPr>
            </w:pPr>
            <w:r>
              <w:rPr>
                <w:rFonts w:ascii="Arial" w:cs="Arial" w:eastAsia="Arial" w:hAnsi="Arial"/>
                <w:sz w:val="20"/>
                <w:szCs w:val="20"/>
                <w:color w:val="auto"/>
              </w:rPr>
              <w:t>Product</w:t>
            </w:r>
          </w:p>
        </w:tc>
        <w:tc>
          <w:tcPr>
            <w:tcW w:w="2520" w:type="dxa"/>
            <w:vAlign w:val="bottom"/>
            <w:tcBorders>
              <w:right w:val="single" w:sz="8" w:color="00000A"/>
            </w:tcBorders>
            <w:vMerge w:val="continue"/>
          </w:tcPr>
          <w:p>
            <w:pPr>
              <w:spacing w:after="0"/>
              <w:rPr>
                <w:sz w:val="16"/>
                <w:szCs w:val="16"/>
                <w:color w:val="auto"/>
              </w:rPr>
            </w:pPr>
          </w:p>
        </w:tc>
        <w:tc>
          <w:tcPr>
            <w:tcW w:w="2040" w:type="dxa"/>
            <w:vAlign w:val="bottom"/>
            <w:tcBorders>
              <w:right w:val="single" w:sz="8" w:color="00000A"/>
            </w:tcBorders>
          </w:tcPr>
          <w:p>
            <w:pPr>
              <w:jc w:val="center"/>
              <w:spacing w:after="0" w:line="189" w:lineRule="exact"/>
              <w:rPr>
                <w:sz w:val="20"/>
                <w:szCs w:val="20"/>
                <w:color w:val="auto"/>
              </w:rPr>
            </w:pPr>
            <w:r>
              <w:rPr>
                <w:rFonts w:ascii="Arial" w:cs="Arial" w:eastAsia="Arial" w:hAnsi="Arial"/>
                <w:sz w:val="20"/>
                <w:szCs w:val="20"/>
                <w:color w:val="auto"/>
                <w:w w:val="98"/>
              </w:rPr>
              <w:t>Benchmark</w:t>
            </w:r>
          </w:p>
        </w:tc>
        <w:tc>
          <w:tcPr>
            <w:tcW w:w="1880" w:type="dxa"/>
            <w:vAlign w:val="bottom"/>
            <w:tcBorders>
              <w:right w:val="single" w:sz="8" w:color="00000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20" w:type="dxa"/>
            <w:vAlign w:val="bottom"/>
            <w:tcBorders>
              <w:left w:val="single" w:sz="8" w:color="00000A"/>
              <w:bottom w:val="single" w:sz="8" w:color="00000A"/>
              <w:right w:val="single" w:sz="8" w:color="00000A"/>
            </w:tcBorders>
            <w:vMerge w:val="continue"/>
          </w:tcPr>
          <w:p>
            <w:pPr>
              <w:spacing w:after="0"/>
              <w:rPr>
                <w:sz w:val="20"/>
                <w:szCs w:val="20"/>
                <w:color w:val="auto"/>
              </w:rPr>
            </w:pPr>
          </w:p>
        </w:tc>
        <w:tc>
          <w:tcPr>
            <w:tcW w:w="1900" w:type="dxa"/>
            <w:vAlign w:val="bottom"/>
            <w:tcBorders>
              <w:bottom w:val="single" w:sz="8" w:color="00000A"/>
              <w:right w:val="single" w:sz="8" w:color="00000A"/>
            </w:tcBorders>
            <w:vMerge w:val="continue"/>
          </w:tcPr>
          <w:p>
            <w:pPr>
              <w:spacing w:after="0"/>
              <w:rPr>
                <w:sz w:val="20"/>
                <w:szCs w:val="20"/>
                <w:color w:val="auto"/>
              </w:rPr>
            </w:pP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Reference</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Prices</w:t>
            </w:r>
          </w:p>
        </w:tc>
        <w:tc>
          <w:tcPr>
            <w:tcW w:w="0" w:type="dxa"/>
            <w:vAlign w:val="bottom"/>
          </w:tcPr>
          <w:p>
            <w:pPr>
              <w:spacing w:after="0"/>
              <w:rPr>
                <w:sz w:val="1"/>
                <w:szCs w:val="1"/>
                <w:color w:val="auto"/>
              </w:rPr>
            </w:pPr>
          </w:p>
        </w:tc>
      </w:tr>
      <w:tr>
        <w:trPr>
          <w:trHeight w:val="237"/>
        </w:trPr>
        <w:tc>
          <w:tcPr>
            <w:tcW w:w="27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North America</w:t>
            </w:r>
          </w:p>
        </w:tc>
        <w:tc>
          <w:tcPr>
            <w:tcW w:w="1900" w:type="dxa"/>
            <w:vAlign w:val="bottom"/>
            <w:tcBorders>
              <w:bottom w:val="single" w:sz="8" w:color="00000A"/>
              <w:right w:val="single" w:sz="8" w:color="00000A"/>
            </w:tcBorders>
          </w:tcPr>
          <w:p>
            <w:pPr>
              <w:spacing w:after="0"/>
              <w:rPr>
                <w:sz w:val="20"/>
                <w:szCs w:val="20"/>
                <w:color w:val="auto"/>
              </w:rPr>
            </w:pPr>
          </w:p>
        </w:tc>
        <w:tc>
          <w:tcPr>
            <w:tcW w:w="2520" w:type="dxa"/>
            <w:vAlign w:val="bottom"/>
            <w:tcBorders>
              <w:bottom w:val="single" w:sz="8" w:color="00000A"/>
              <w:right w:val="single" w:sz="8" w:color="00000A"/>
            </w:tcBorders>
          </w:tcPr>
          <w:p>
            <w:pPr>
              <w:spacing w:after="0"/>
              <w:rPr>
                <w:sz w:val="20"/>
                <w:szCs w:val="20"/>
                <w:color w:val="auto"/>
              </w:rPr>
            </w:pPr>
          </w:p>
        </w:tc>
        <w:tc>
          <w:tcPr>
            <w:tcW w:w="2040" w:type="dxa"/>
            <w:vAlign w:val="bottom"/>
            <w:tcBorders>
              <w:bottom w:val="single" w:sz="8" w:color="00000A"/>
              <w:right w:val="single" w:sz="8" w:color="00000A"/>
            </w:tcBorders>
          </w:tcPr>
          <w:p>
            <w:pPr>
              <w:spacing w:after="0"/>
              <w:rPr>
                <w:sz w:val="20"/>
                <w:szCs w:val="20"/>
                <w:color w:val="auto"/>
              </w:rPr>
            </w:pPr>
          </w:p>
        </w:tc>
        <w:tc>
          <w:tcPr>
            <w:tcW w:w="188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20" w:type="dxa"/>
            <w:vAlign w:val="bottom"/>
            <w:tcBorders>
              <w:left w:val="single" w:sz="8" w:color="00000A"/>
              <w:right w:val="single" w:sz="8" w:color="00000A"/>
            </w:tcBorders>
          </w:tcPr>
          <w:p>
            <w:pPr>
              <w:spacing w:after="0"/>
              <w:rPr>
                <w:sz w:val="20"/>
                <w:szCs w:val="20"/>
                <w:color w:val="auto"/>
              </w:rPr>
            </w:pP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$66.56/bbl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$64.87/bbl</w:t>
            </w:r>
          </w:p>
        </w:tc>
        <w:tc>
          <w:tcPr>
            <w:tcW w:w="0" w:type="dxa"/>
            <w:vAlign w:val="bottom"/>
          </w:tcPr>
          <w:p>
            <w:pPr>
              <w:spacing w:after="0"/>
              <w:rPr>
                <w:sz w:val="1"/>
                <w:szCs w:val="1"/>
                <w:color w:val="auto"/>
              </w:rPr>
            </w:pPr>
          </w:p>
        </w:tc>
      </w:tr>
      <w:tr>
        <w:trPr>
          <w:trHeight w:val="237"/>
        </w:trPr>
        <w:tc>
          <w:tcPr>
            <w:tcW w:w="2720" w:type="dxa"/>
            <w:vAlign w:val="bottom"/>
            <w:tcBorders>
              <w:left w:val="single" w:sz="8" w:color="00000A"/>
              <w:right w:val="single" w:sz="8" w:color="00000A"/>
            </w:tcBorders>
          </w:tcPr>
          <w:p>
            <w:pPr>
              <w:jc w:val="center"/>
              <w:spacing w:after="0" w:line="227" w:lineRule="exact"/>
              <w:rPr>
                <w:sz w:val="20"/>
                <w:szCs w:val="20"/>
                <w:color w:val="auto"/>
              </w:rPr>
            </w:pPr>
            <w:r>
              <w:rPr>
                <w:rFonts w:ascii="Arial" w:cs="Arial" w:eastAsia="Arial" w:hAnsi="Arial"/>
                <w:sz w:val="20"/>
                <w:szCs w:val="20"/>
                <w:color w:val="auto"/>
                <w:w w:val="99"/>
              </w:rPr>
              <w:t>United States</w:t>
            </w: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$66.56/bbl</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$25.93/bbl</w:t>
            </w:r>
          </w:p>
        </w:tc>
        <w:tc>
          <w:tcPr>
            <w:tcW w:w="0" w:type="dxa"/>
            <w:vAlign w:val="bottom"/>
          </w:tcPr>
          <w:p>
            <w:pPr>
              <w:spacing w:after="0"/>
              <w:rPr>
                <w:sz w:val="1"/>
                <w:szCs w:val="1"/>
                <w:color w:val="auto"/>
              </w:rPr>
            </w:pPr>
          </w:p>
        </w:tc>
      </w:tr>
      <w:tr>
        <w:trPr>
          <w:trHeight w:val="236"/>
        </w:trPr>
        <w:tc>
          <w:tcPr>
            <w:tcW w:w="2720" w:type="dxa"/>
            <w:vAlign w:val="bottom"/>
            <w:tcBorders>
              <w:left w:val="single" w:sz="8" w:color="00000A"/>
              <w:bottom w:val="single" w:sz="8" w:color="00000A"/>
              <w:right w:val="single" w:sz="8" w:color="00000A"/>
            </w:tcBorders>
          </w:tcPr>
          <w:p>
            <w:pPr>
              <w:spacing w:after="0"/>
              <w:rPr>
                <w:sz w:val="20"/>
                <w:szCs w:val="20"/>
                <w:color w:val="auto"/>
              </w:rPr>
            </w:pP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5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$3.598/MMBTU</w:t>
            </w:r>
          </w:p>
        </w:tc>
        <w:tc>
          <w:tcPr>
            <w:tcW w:w="1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$2.97/Mcf</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As a holder of royalty interests only, Viper bears none of the operating or development costs associated with the underlying properties of this report. Nevertheless, the proved undeveloped reserves in this report have been incorporated herein in accordance with Diamondback’s plans to develop these reserves as of December 31, 2021.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2021, such changes were, in accordance with rules adopted by the SEC, omitted from consideration in making this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09" w:name="page210"/>
    <w:bookmarkEnd w:id="209"/>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4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3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Viper. Neither we nor any of our employees have any financial interest in the subject properties and neither the employment to do this work nor the compensation is contingent on our estimates of reserves for the properties which were reviewed.</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6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Viper.</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Viper makes periodic filings on Form 10-K with the SEC under the 1934 Exchange Act. Furthermore, Viper has certain registration statements filed with the SEC under the 1933 Securities Act into which any subsequently filed Form 10-K is incorporated by reference. We have consented to the incorporation by reference in the registration statements on Form S-3 of Viper, of the references to our name, as well as to the references to our third party report for Viper, which appears in the December 31, 2021 annual report on Form 10-K of Viper. Our written consent for such use is included as a separate exhibit to the filings made with the SEC by Viper.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10" w:name="page211"/>
    <w:bookmarkEnd w:id="210"/>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5, 2022</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Viper with a digital version of the original signed copy of this report letter. In the event there are any differences between the digital version included in filings made by Viper and the original signed report letter, the original signed report letter shall control and supersede the digital version.</w:t>
      </w:r>
    </w:p>
    <w:p>
      <w:pPr>
        <w:spacing w:after="0" w:line="233"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71"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Very truly yours,</w:t>
      </w:r>
    </w:p>
    <w:p>
      <w:pPr>
        <w:spacing w:after="0" w:line="246" w:lineRule="exact"/>
        <w:rPr>
          <w:sz w:val="20"/>
          <w:szCs w:val="20"/>
          <w:color w:val="auto"/>
        </w:rPr>
      </w:pPr>
    </w:p>
    <w:p>
      <w:pPr>
        <w:ind w:left="6260"/>
        <w:spacing w:after="0"/>
        <w:rPr>
          <w:sz w:val="20"/>
          <w:szCs w:val="20"/>
          <w:color w:val="auto"/>
        </w:rPr>
      </w:pPr>
      <w:r>
        <w:rPr>
          <w:rFonts w:ascii="Arial" w:cs="Arial" w:eastAsia="Arial" w:hAnsi="Arial"/>
          <w:sz w:val="20"/>
          <w:szCs w:val="20"/>
          <w:b w:val="1"/>
          <w:bCs w:val="1"/>
          <w:color w:val="auto"/>
        </w:rPr>
        <w:t>RYDER SCOTT COMPANY, L.P.</w:t>
      </w:r>
    </w:p>
    <w:p>
      <w:pPr>
        <w:spacing w:after="0" w:line="37"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86"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 Val Rick Robinson</w:t>
      </w:r>
    </w:p>
    <w:p>
      <w:pPr>
        <w:spacing w:after="0" w:line="28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Val Rick Robinson, P.E.</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TBPELS License No. 105137</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Managing Senior Vice President</w:t>
      </w:r>
    </w:p>
    <w:p>
      <w:pPr>
        <w:spacing w:after="0" w:line="7" w:lineRule="exact"/>
        <w:rPr>
          <w:sz w:val="20"/>
          <w:szCs w:val="20"/>
          <w:color w:val="auto"/>
        </w:rPr>
      </w:pPr>
    </w:p>
    <w:p>
      <w:pPr>
        <w:ind w:left="10560"/>
        <w:spacing w:after="0"/>
        <w:rPr>
          <w:sz w:val="20"/>
          <w:szCs w:val="20"/>
          <w:color w:val="auto"/>
        </w:rPr>
      </w:pPr>
      <w:r>
        <w:rPr>
          <w:rFonts w:ascii="Arial" w:cs="Arial" w:eastAsia="Arial" w:hAnsi="Arial"/>
          <w:sz w:val="20"/>
          <w:szCs w:val="20"/>
          <w:b w:val="1"/>
          <w:bCs w:val="1"/>
          <w:color w:val="auto"/>
        </w:rPr>
        <w:t>[SEAL]</w:t>
      </w:r>
    </w:p>
    <w:p>
      <w:pPr>
        <w:spacing w:after="0" w:line="275"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 Syed R. Rizvi</w:t>
      </w:r>
    </w:p>
    <w:p>
      <w:pPr>
        <w:spacing w:after="0" w:line="270"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Syed R. Rizvi</w:t>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Senior Petroleum Engineer</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VRR-SRR (LPC)/pl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11" w:name="page212"/>
    <w:bookmarkEnd w:id="2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www.ryderscott.com.</w:t>
      </w: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2021 continuing education hours, Mr. Robinson attended 30 hours of formalized training including the 2021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Based on his educational background, professional training and more than 18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June 2019.</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67"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3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13" w:name="page214"/>
    <w:bookmarkEnd w:id="213"/>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3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w:t>
      </w:r>
      <w:r>
        <w:rPr>
          <w:rFonts w:ascii="Arial" w:cs="Arial" w:eastAsia="Arial" w:hAnsi="Arial"/>
          <w:sz w:val="16"/>
          <w:szCs w:val="16"/>
          <w:color w:val="auto"/>
        </w:rPr>
        <w:t>—</w:t>
      </w:r>
      <w:r>
        <w:rPr>
          <w:rFonts w:ascii="Arial" w:cs="Arial" w:eastAsia="Arial" w:hAnsi="Arial"/>
          <w:sz w:val="19"/>
          <w:szCs w:val="19"/>
          <w:i w:val="1"/>
          <w:iCs w:val="1"/>
          <w:color w:val="auto"/>
        </w:rPr>
        <w:t>from a given date forward, from known reservoirs, and under existing economic conditions, operating methods, and government regulations</w:t>
      </w:r>
      <w:r>
        <w:rPr>
          <w:rFonts w:ascii="Arial" w:cs="Arial" w:eastAsia="Arial" w:hAnsi="Arial"/>
          <w:sz w:val="16"/>
          <w:szCs w:val="16"/>
          <w:color w:val="auto"/>
        </w:rPr>
        <w:t>—</w:t>
      </w:r>
      <w:r>
        <w:rPr>
          <w:rFonts w:ascii="Arial" w:cs="Arial" w:eastAsia="Arial" w:hAnsi="Arial"/>
          <w:sz w:val="19"/>
          <w:szCs w:val="19"/>
          <w:i w:val="1"/>
          <w:iCs w:val="1"/>
          <w:color w:val="auto"/>
        </w:rPr>
        <w:t>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8" w:lineRule="exact"/>
        <w:rPr>
          <w:sz w:val="20"/>
          <w:szCs w:val="20"/>
          <w:color w:val="auto"/>
        </w:rPr>
      </w:pPr>
    </w:p>
    <w:p>
      <w:pPr>
        <w:ind w:left="880" w:hanging="224"/>
        <w:spacing w:after="0"/>
        <w:tabs>
          <w:tab w:leader="none" w:pos="880" w:val="left"/>
        </w:tabs>
        <w:numPr>
          <w:ilvl w:val="0"/>
          <w:numId w:val="96"/>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42" w:lineRule="exact"/>
        <w:rPr>
          <w:rFonts w:ascii="Arial" w:cs="Arial" w:eastAsia="Arial" w:hAnsi="Arial"/>
          <w:sz w:val="20"/>
          <w:szCs w:val="20"/>
          <w:i w:val="1"/>
          <w:iCs w:val="1"/>
          <w:color w:val="auto"/>
        </w:rPr>
      </w:pPr>
    </w:p>
    <w:p>
      <w:pPr>
        <w:ind w:left="1620" w:hanging="316"/>
        <w:spacing w:after="0"/>
        <w:tabs>
          <w:tab w:leader="none" w:pos="1620" w:val="left"/>
        </w:tabs>
        <w:numPr>
          <w:ilvl w:val="1"/>
          <w:numId w:val="96"/>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42" w:lineRule="exact"/>
        <w:rPr>
          <w:rFonts w:ascii="Arial" w:cs="Arial" w:eastAsia="Arial" w:hAnsi="Arial"/>
          <w:sz w:val="20"/>
          <w:szCs w:val="20"/>
          <w:i w:val="1"/>
          <w:iCs w:val="1"/>
          <w:color w:val="auto"/>
        </w:rPr>
      </w:pPr>
    </w:p>
    <w:p>
      <w:pPr>
        <w:jc w:val="both"/>
        <w:ind w:left="1300" w:firstLine="4"/>
        <w:spacing w:after="0" w:line="253" w:lineRule="auto"/>
        <w:tabs>
          <w:tab w:leader="none" w:pos="1642" w:val="left"/>
        </w:tabs>
        <w:numPr>
          <w:ilvl w:val="1"/>
          <w:numId w:val="96"/>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14" w:name="page215"/>
    <w:bookmarkEnd w:id="214"/>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90" w:lineRule="exact"/>
        <w:rPr>
          <w:sz w:val="20"/>
          <w:szCs w:val="20"/>
          <w:color w:val="auto"/>
        </w:rPr>
      </w:pPr>
    </w:p>
    <w:p>
      <w:pPr>
        <w:jc w:val="both"/>
        <w:ind w:left="660" w:hanging="4"/>
        <w:spacing w:after="0" w:line="253" w:lineRule="auto"/>
        <w:tabs>
          <w:tab w:leader="none" w:pos="1000" w:val="left"/>
        </w:tabs>
        <w:numPr>
          <w:ilvl w:val="0"/>
          <w:numId w:val="97"/>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04" w:lineRule="exact"/>
        <w:rPr>
          <w:rFonts w:ascii="Arial" w:cs="Arial" w:eastAsia="Arial" w:hAnsi="Arial"/>
          <w:sz w:val="20"/>
          <w:szCs w:val="20"/>
          <w:i w:val="1"/>
          <w:iCs w:val="1"/>
          <w:color w:val="auto"/>
        </w:rPr>
      </w:pPr>
    </w:p>
    <w:p>
      <w:pPr>
        <w:jc w:val="both"/>
        <w:ind w:left="660" w:hanging="4"/>
        <w:spacing w:after="0" w:line="248" w:lineRule="auto"/>
        <w:tabs>
          <w:tab w:leader="none" w:pos="995" w:val="left"/>
        </w:tabs>
        <w:numPr>
          <w:ilvl w:val="0"/>
          <w:numId w:val="97"/>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10" w:lineRule="exact"/>
        <w:rPr>
          <w:rFonts w:ascii="Arial" w:cs="Arial" w:eastAsia="Arial" w:hAnsi="Arial"/>
          <w:sz w:val="20"/>
          <w:szCs w:val="20"/>
          <w:i w:val="1"/>
          <w:iCs w:val="1"/>
          <w:color w:val="auto"/>
        </w:rPr>
      </w:pPr>
    </w:p>
    <w:p>
      <w:pPr>
        <w:ind w:left="660" w:right="20" w:hanging="4"/>
        <w:spacing w:after="0" w:line="267" w:lineRule="auto"/>
        <w:tabs>
          <w:tab w:leader="none" w:pos="1003" w:val="left"/>
        </w:tabs>
        <w:numPr>
          <w:ilvl w:val="0"/>
          <w:numId w:val="97"/>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90" w:lineRule="exact"/>
        <w:rPr>
          <w:rFonts w:ascii="Arial" w:cs="Arial" w:eastAsia="Arial" w:hAnsi="Arial"/>
          <w:sz w:val="20"/>
          <w:szCs w:val="20"/>
          <w:i w:val="1"/>
          <w:iCs w:val="1"/>
          <w:color w:val="auto"/>
        </w:rPr>
      </w:pPr>
    </w:p>
    <w:p>
      <w:pPr>
        <w:jc w:val="both"/>
        <w:ind w:left="1300" w:firstLine="4"/>
        <w:spacing w:after="0" w:line="248" w:lineRule="auto"/>
        <w:tabs>
          <w:tab w:leader="none" w:pos="1631" w:val="left"/>
        </w:tabs>
        <w:numPr>
          <w:ilvl w:val="1"/>
          <w:numId w:val="97"/>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10" w:lineRule="exact"/>
        <w:rPr>
          <w:rFonts w:ascii="Arial" w:cs="Arial" w:eastAsia="Arial" w:hAnsi="Arial"/>
          <w:sz w:val="20"/>
          <w:szCs w:val="20"/>
          <w:i w:val="1"/>
          <w:iCs w:val="1"/>
          <w:color w:val="auto"/>
        </w:rPr>
      </w:pPr>
    </w:p>
    <w:p>
      <w:pPr>
        <w:ind w:left="1300" w:firstLine="4"/>
        <w:spacing w:after="0" w:line="267" w:lineRule="auto"/>
        <w:tabs>
          <w:tab w:leader="none" w:pos="1623" w:val="left"/>
        </w:tabs>
        <w:numPr>
          <w:ilvl w:val="1"/>
          <w:numId w:val="97"/>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90" w:lineRule="exact"/>
        <w:rPr>
          <w:rFonts w:ascii="Arial" w:cs="Arial" w:eastAsia="Arial" w:hAnsi="Arial"/>
          <w:sz w:val="20"/>
          <w:szCs w:val="20"/>
          <w:i w:val="1"/>
          <w:iCs w:val="1"/>
          <w:color w:val="auto"/>
        </w:rPr>
      </w:pPr>
    </w:p>
    <w:p>
      <w:pPr>
        <w:jc w:val="both"/>
        <w:ind w:left="660" w:hanging="4"/>
        <w:spacing w:after="0" w:line="246" w:lineRule="auto"/>
        <w:tabs>
          <w:tab w:leader="none" w:pos="985" w:val="left"/>
        </w:tabs>
        <w:numPr>
          <w:ilvl w:val="0"/>
          <w:numId w:val="97"/>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36" w:right="339" w:bottom="1440" w:gutter="0" w:footer="0" w:header="0"/>
        </w:sectPr>
      </w:pPr>
    </w:p>
    <w:bookmarkStart w:id="215" w:name="page216"/>
    <w:bookmarkEnd w:id="215"/>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35"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SOCIETY OF PETROLEUM ENGINEERS (SPE)</w:t>
      </w:r>
    </w:p>
    <w:p>
      <w:pPr>
        <w:spacing w:after="0" w:line="40"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WORLD PETROLEUM COUNCIL (WPC)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31"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35"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6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43" w:lineRule="exact"/>
        <w:rPr>
          <w:sz w:val="20"/>
          <w:szCs w:val="20"/>
          <w:color w:val="auto"/>
        </w:rPr>
      </w:pPr>
    </w:p>
    <w:p>
      <w:pPr>
        <w:ind w:left="1300" w:firstLine="4"/>
        <w:spacing w:after="0" w:line="267" w:lineRule="auto"/>
        <w:tabs>
          <w:tab w:leader="none" w:pos="1559" w:val="left"/>
        </w:tabs>
        <w:numPr>
          <w:ilvl w:val="0"/>
          <w:numId w:val="98"/>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90" w:lineRule="exact"/>
        <w:rPr>
          <w:rFonts w:ascii="Arial" w:cs="Arial" w:eastAsia="Arial" w:hAnsi="Arial"/>
          <w:sz w:val="20"/>
          <w:szCs w:val="20"/>
          <w:i w:val="1"/>
          <w:iCs w:val="1"/>
          <w:color w:val="auto"/>
        </w:rPr>
      </w:pPr>
    </w:p>
    <w:p>
      <w:pPr>
        <w:ind w:left="1300" w:firstLine="4"/>
        <w:spacing w:after="0" w:line="267" w:lineRule="auto"/>
        <w:tabs>
          <w:tab w:leader="none" w:pos="1596" w:val="left"/>
        </w:tabs>
        <w:numPr>
          <w:ilvl w:val="0"/>
          <w:numId w:val="98"/>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6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240"/>
          </w:cols>
          <w:pgMar w:left="320" w:top="1440" w:right="339" w:bottom="1440" w:gutter="0" w:footer="0" w:header="0"/>
          <w:type w:val="continuous"/>
        </w:sectPr>
      </w:pPr>
    </w:p>
    <w:bookmarkStart w:id="216" w:name="page217"/>
    <w:bookmarkEnd w:id="216"/>
    <w:p>
      <w:pPr>
        <w:ind w:right="504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400" w:hanging="420"/>
        <w:spacing w:after="0"/>
        <w:tabs>
          <w:tab w:leader="none" w:pos="1400" w:val="left"/>
        </w:tabs>
        <w:numPr>
          <w:ilvl w:val="0"/>
          <w:numId w:val="99"/>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400" w:hanging="420"/>
        <w:spacing w:after="0"/>
        <w:tabs>
          <w:tab w:leader="none" w:pos="1400" w:val="left"/>
        </w:tabs>
        <w:numPr>
          <w:ilvl w:val="0"/>
          <w:numId w:val="99"/>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400" w:hanging="420"/>
        <w:spacing w:after="0"/>
        <w:tabs>
          <w:tab w:leader="none" w:pos="1400" w:val="left"/>
        </w:tabs>
        <w:numPr>
          <w:ilvl w:val="0"/>
          <w:numId w:val="99"/>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211"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6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211"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90" w:lineRule="exact"/>
        <w:rPr>
          <w:sz w:val="20"/>
          <w:szCs w:val="20"/>
          <w:color w:val="auto"/>
        </w:rPr>
      </w:pPr>
    </w:p>
    <w:p>
      <w:pPr>
        <w:jc w:val="both"/>
        <w:ind w:left="1300" w:firstLine="44"/>
        <w:spacing w:after="0" w:line="253" w:lineRule="auto"/>
        <w:tabs>
          <w:tab w:leader="none" w:pos="1578" w:val="left"/>
        </w:tabs>
        <w:numPr>
          <w:ilvl w:val="0"/>
          <w:numId w:val="100"/>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204" w:lineRule="exact"/>
        <w:rPr>
          <w:rFonts w:ascii="Arial" w:cs="Arial" w:eastAsia="Arial" w:hAnsi="Arial"/>
          <w:sz w:val="20"/>
          <w:szCs w:val="20"/>
          <w:i w:val="1"/>
          <w:iCs w:val="1"/>
          <w:color w:val="auto"/>
        </w:rPr>
      </w:pPr>
    </w:p>
    <w:p>
      <w:pPr>
        <w:jc w:val="both"/>
        <w:ind w:left="1300" w:firstLine="4"/>
        <w:spacing w:after="0" w:line="253" w:lineRule="auto"/>
        <w:tabs>
          <w:tab w:leader="none" w:pos="1599" w:val="left"/>
        </w:tabs>
        <w:numPr>
          <w:ilvl w:val="0"/>
          <w:numId w:val="100"/>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04" w:lineRule="exact"/>
        <w:rPr>
          <w:rFonts w:ascii="Arial" w:cs="Arial" w:eastAsia="Arial" w:hAnsi="Arial"/>
          <w:sz w:val="20"/>
          <w:szCs w:val="20"/>
          <w:i w:val="1"/>
          <w:iCs w:val="1"/>
          <w:color w:val="auto"/>
        </w:rPr>
      </w:pPr>
    </w:p>
    <w:p>
      <w:pPr>
        <w:jc w:val="both"/>
        <w:ind w:left="1300" w:firstLine="4"/>
        <w:spacing w:after="0" w:line="248" w:lineRule="auto"/>
        <w:tabs>
          <w:tab w:leader="none" w:pos="1620" w:val="left"/>
        </w:tabs>
        <w:numPr>
          <w:ilvl w:val="1"/>
          <w:numId w:val="100"/>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sectPr>
      <w:pgSz w:w="11900" w:h="16838" w:orient="portrait"/>
      <w:cols w:equalWidth="0" w:num="1">
        <w:col w:w="11240"/>
      </w:cols>
      <w:pgMar w:left="320" w:top="1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1)"/>
      <w:numFmt w:val="decimal"/>
      <w:start w:val="2"/>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1)"/>
      <w:numFmt w:val="decimal"/>
      <w:start w:val="1"/>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1)"/>
      <w:numFmt w:val="decimal"/>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lowerRoman"/>
      <w:start w:val="3"/>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lowerRoman"/>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lvl w:ilvl="1">
      <w:lvlJc w:val="left"/>
      <w:lvlText w:val="\endash "/>
      <w:numFmt w:val="bullet"/>
      <w:start w:val="1"/>
    </w:lvl>
  </w:abstractNum>
  <w:abstractNum w:abstractNumId="36">
    <w:nsid w:val="100F8FCA"/>
    <w:multiLevelType w:val="hybridMultilevel"/>
    <w:lvl w:ilvl="0">
      <w:lvlJc w:val="left"/>
      <w:lvlText w:val="\endash "/>
      <w:numFmt w:val="bullet"/>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3"/>
    </w:lvl>
  </w:abstractNum>
  <w:abstractNum w:abstractNumId="39">
    <w:nsid w:val="5F5E7FD0"/>
    <w:multiLevelType w:val="hybridMultilevel"/>
    <w:lvl w:ilvl="0">
      <w:lvlJc w:val="left"/>
      <w:lvlText w:val="%1."/>
      <w:numFmt w:val="decimal"/>
      <w:start w:val="4"/>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1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lowerRoman"/>
      <w:start w:val="2"/>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3"/>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1."/>
      <w:numFmt w:val="decimal"/>
      <w:start w:val="4"/>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4"/>
    </w:lvl>
  </w:abstractNum>
  <w:abstractNum w:abstractNumId="55">
    <w:nsid w:val="A0382C5"/>
    <w:multiLevelType w:val="hybridMultilevel"/>
    <w:lvl w:ilvl="0">
      <w:lvlJc w:val="left"/>
      <w:lvlText w:val="(%1)"/>
      <w:numFmt w:val="lowerLetter"/>
      <w:start w:val="1"/>
    </w:lvl>
  </w:abstractNum>
  <w:abstractNum w:abstractNumId="56">
    <w:nsid w:val="8F2B15E"/>
    <w:multiLevelType w:val="hybridMultilevel"/>
    <w:lvl w:ilvl="0">
      <w:lvlJc w:val="left"/>
      <w:lvlText w:val="%1"/>
      <w:numFmt w:val="lowerLetter"/>
      <w:start w:val="1"/>
    </w:lvl>
    <w:lvl w:ilvl="1">
      <w:lvlJc w:val="left"/>
      <w:lvlText w:val="(%2)"/>
      <w:numFmt w:val="lowerLetter"/>
      <w:start w:val="3"/>
    </w:lvl>
  </w:abstractNum>
  <w:abstractNum w:abstractNumId="57">
    <w:nsid w:val="1A32234B"/>
    <w:multiLevelType w:val="hybridMultilevel"/>
    <w:lvl w:ilvl="0">
      <w:lvlJc w:val="left"/>
      <w:lvlText w:val="(%1)"/>
      <w:numFmt w:val="lowerLetter"/>
      <w:start w:val="9"/>
    </w:lvl>
    <w:lvl w:ilvl="1">
      <w:lvlJc w:val="left"/>
      <w:lvlText w:val="(%2)"/>
      <w:numFmt w:val="lowerLetter"/>
      <w:start w:val="4"/>
    </w:lvl>
  </w:abstractNum>
  <w:abstractNum w:abstractNumId="58">
    <w:nsid w:val="3B0FD379"/>
    <w:multiLevelType w:val="hybridMultilevel"/>
    <w:lvl w:ilvl="0">
      <w:lvlJc w:val="left"/>
      <w:lvlText w:val="(%1)"/>
      <w:numFmt w:val="lowerLetter"/>
      <w:start w:val="1"/>
    </w:lvl>
    <w:lvl w:ilvl="1">
      <w:lvlJc w:val="left"/>
      <w:lvlText w:val="(%2)"/>
      <w:numFmt w:val="lowerRoman"/>
      <w:start w:val="1"/>
    </w:lvl>
  </w:abstractNum>
  <w:abstractNum w:abstractNumId="59">
    <w:nsid w:val="68EB2F63"/>
    <w:multiLevelType w:val="hybridMultilevel"/>
    <w:lvl w:ilvl="0">
      <w:lvlJc w:val="left"/>
      <w:lvlText w:val="(%1)"/>
      <w:numFmt w:val="lowerLetter"/>
      <w:start w:val="2"/>
    </w:lvl>
  </w:abstractNum>
  <w:abstractNum w:abstractNumId="60">
    <w:nsid w:val="4962813B"/>
    <w:multiLevelType w:val="hybridMultilevel"/>
    <w:lvl w:ilvl="0">
      <w:lvlJc w:val="left"/>
      <w:lvlText w:val="(%1)"/>
      <w:numFmt w:val="lowerLetter"/>
      <w:start w:val="1"/>
    </w:lvl>
  </w:abstractNum>
  <w:abstractNum w:abstractNumId="61">
    <w:nsid w:val="60B6DF70"/>
    <w:multiLevelType w:val="hybridMultilevel"/>
    <w:lvl w:ilvl="0">
      <w:lvlJc w:val="left"/>
      <w:lvlText w:val="(%1)"/>
      <w:numFmt w:val="lowerLetter"/>
      <w:start w:val="1"/>
    </w:lvl>
  </w:abstractNum>
  <w:abstractNum w:abstractNumId="62">
    <w:nsid w:val="6A5EE64"/>
    <w:multiLevelType w:val="hybridMultilevel"/>
    <w:lvl w:ilvl="0">
      <w:lvlJc w:val="left"/>
      <w:lvlText w:val="(%1)"/>
      <w:numFmt w:val="lowerLetter"/>
      <w:start w:val="2"/>
    </w:lvl>
  </w:abstractNum>
  <w:abstractNum w:abstractNumId="63">
    <w:nsid w:val="14330624"/>
    <w:multiLevelType w:val="hybridMultilevel"/>
    <w:lvl w:ilvl="0">
      <w:lvlJc w:val="left"/>
      <w:lvlText w:val="(%1)"/>
      <w:numFmt w:val="lowerLetter"/>
      <w:start w:val="1"/>
    </w:lvl>
  </w:abstractNum>
  <w:abstractNum w:abstractNumId="64">
    <w:nsid w:val="7FFFCA11"/>
    <w:multiLevelType w:val="hybridMultilevel"/>
    <w:lvl w:ilvl="0">
      <w:lvlJc w:val="left"/>
      <w:lvlText w:val="(%1)"/>
      <w:numFmt w:val="lowerLetter"/>
      <w:start w:val="2"/>
    </w:lvl>
  </w:abstractNum>
  <w:abstractNum w:abstractNumId="65">
    <w:nsid w:val="1A27709E"/>
    <w:multiLevelType w:val="hybridMultilevel"/>
    <w:lvl w:ilvl="0">
      <w:lvlJc w:val="left"/>
      <w:lvlText w:val="(%1)"/>
      <w:numFmt w:val="lowerLetter"/>
      <w:start w:val="2"/>
    </w:lvl>
  </w:abstractNum>
  <w:abstractNum w:abstractNumId="66">
    <w:nsid w:val="71EA1109"/>
    <w:multiLevelType w:val="hybridMultilevel"/>
    <w:lvl w:ilvl="0">
      <w:lvlJc w:val="left"/>
      <w:lvlText w:val="(%1)"/>
      <w:numFmt w:val="lowerLetter"/>
      <w:start w:val="3"/>
    </w:lvl>
  </w:abstractNum>
  <w:abstractNum w:abstractNumId="67">
    <w:nsid w:val="100F59DC"/>
    <w:multiLevelType w:val="hybridMultilevel"/>
    <w:lvl w:ilvl="0">
      <w:lvlJc w:val="left"/>
      <w:lvlText w:val="(%1)"/>
      <w:numFmt w:val="lowerLetter"/>
      <w:start w:val="1"/>
    </w:lvl>
  </w:abstractNum>
  <w:abstractNum w:abstractNumId="68">
    <w:nsid w:val="7FB7E0AA"/>
    <w:multiLevelType w:val="hybridMultilevel"/>
    <w:lvl w:ilvl="0">
      <w:lvlJc w:val="left"/>
      <w:lvlText w:val="(%1)"/>
      <w:numFmt w:val="lowerLetter"/>
      <w:start w:val="3"/>
    </w:lvl>
  </w:abstractNum>
  <w:abstractNum w:abstractNumId="69">
    <w:nsid w:val="6EB5BD4"/>
    <w:multiLevelType w:val="hybridMultilevel"/>
    <w:lvl w:ilvl="0">
      <w:lvlJc w:val="left"/>
      <w:lvlText w:val="(%1)"/>
      <w:numFmt w:val="lowerLetter"/>
      <w:start w:val="1"/>
    </w:lvl>
  </w:abstractNum>
  <w:abstractNum w:abstractNumId="70">
    <w:nsid w:val="6F6DD9AC"/>
    <w:multiLevelType w:val="hybridMultilevel"/>
    <w:lvl w:ilvl="0">
      <w:lvlJc w:val="left"/>
      <w:lvlText w:val="(%1)"/>
      <w:numFmt w:val="lowerLetter"/>
      <w:start w:val="1"/>
    </w:lvl>
  </w:abstractNum>
  <w:abstractNum w:abstractNumId="71">
    <w:nsid w:val="94211F2"/>
    <w:multiLevelType w:val="hybridMultilevel"/>
    <w:lvl w:ilvl="0">
      <w:lvlJc w:val="left"/>
      <w:lvlText w:val="(%1)"/>
      <w:numFmt w:val="lowerLetter"/>
      <w:start w:val="3"/>
    </w:lvl>
  </w:abstractNum>
  <w:abstractNum w:abstractNumId="72">
    <w:nsid w:val="885E1B"/>
    <w:multiLevelType w:val="hybridMultilevel"/>
    <w:lvl w:ilvl="0">
      <w:lvlJc w:val="left"/>
      <w:lvlText w:val="(%1)"/>
      <w:numFmt w:val="lowerRoman"/>
      <w:start w:val="1"/>
    </w:lvl>
  </w:abstractNum>
  <w:abstractNum w:abstractNumId="73">
    <w:nsid w:val="7627211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4">
    <w:nsid w:val="4C04A8AF"/>
    <w:multiLevelType w:val="hybridMultilevel"/>
    <w:lvl w:ilvl="0">
      <w:lvlJc w:val="left"/>
      <w:lvlText w:val="(%1)"/>
      <w:numFmt w:val="lowerRoman"/>
      <w:start w:val="4"/>
    </w:lvl>
  </w:abstractNum>
  <w:abstractNum w:abstractNumId="75">
    <w:nsid w:val="1716703B"/>
    <w:multiLevelType w:val="hybridMultilevel"/>
    <w:lvl w:ilvl="0">
      <w:lvlJc w:val="left"/>
      <w:lvlText w:val="(%1)"/>
      <w:numFmt w:val="lowerLetter"/>
      <w:start w:val="1"/>
    </w:lvl>
  </w:abstractNum>
  <w:abstractNum w:abstractNumId="76">
    <w:nsid w:val="14E17E33"/>
    <w:multiLevelType w:val="hybridMultilevel"/>
    <w:lvl w:ilvl="0">
      <w:lvlJc w:val="left"/>
      <w:lvlText w:val="(%1)"/>
      <w:numFmt w:val="lowerLetter"/>
      <w:start w:val="1"/>
    </w:lvl>
  </w:abstractNum>
  <w:abstractNum w:abstractNumId="77">
    <w:nsid w:val="3222E7CD"/>
    <w:multiLevelType w:val="hybridMultilevel"/>
    <w:lvl w:ilvl="0">
      <w:lvlJc w:val="left"/>
      <w:lvlText w:val="(%1)"/>
      <w:numFmt w:val="lowerLetter"/>
      <w:start w:val="3"/>
    </w:lvl>
  </w:abstractNum>
  <w:abstractNum w:abstractNumId="78">
    <w:nsid w:val="74DE0EE3"/>
    <w:multiLevelType w:val="hybridMultilevel"/>
    <w:lvl w:ilvl="0">
      <w:lvlJc w:val="left"/>
      <w:lvlText w:val="(%1)"/>
      <w:numFmt w:val="lowerLetter"/>
      <w:start w:val="1"/>
    </w:lvl>
  </w:abstractNum>
  <w:abstractNum w:abstractNumId="79">
    <w:nsid w:val="68EBC550"/>
    <w:multiLevelType w:val="hybridMultilevel"/>
    <w:lvl w:ilvl="0">
      <w:lvlJc w:val="left"/>
      <w:lvlText w:val="(%1)"/>
      <w:numFmt w:val="lowerLetter"/>
      <w:start w:val="5"/>
    </w:lvl>
    <w:lvl w:ilvl="1">
      <w:lvlJc w:val="left"/>
      <w:lvlText w:val="(%2)"/>
      <w:numFmt w:val="lowerRoman"/>
      <w:start w:val="1"/>
    </w:lvl>
  </w:abstractNum>
  <w:abstractNum w:abstractNumId="80">
    <w:nsid w:val="2DF6D648"/>
    <w:multiLevelType w:val="hybridMultilevel"/>
    <w:lvl w:ilvl="0">
      <w:lvlJc w:val="left"/>
      <w:lvlText w:val="%1"/>
      <w:numFmt w:val="lowerLetter"/>
      <w:start w:val="1"/>
    </w:lvl>
    <w:lvl w:ilvl="1">
      <w:lvlJc w:val="left"/>
      <w:lvlText w:val="(%2)"/>
      <w:numFmt w:val="lowerRoman"/>
      <w:start w:val="6"/>
    </w:lvl>
  </w:abstractNum>
  <w:abstractNum w:abstractNumId="81">
    <w:nsid w:val="46B7D447"/>
    <w:multiLevelType w:val="hybridMultilevel"/>
    <w:lvl w:ilvl="0">
      <w:lvlJc w:val="left"/>
      <w:lvlText w:val="(%1)"/>
      <w:numFmt w:val="lowerLetter"/>
      <w:start w:val="10"/>
    </w:lvl>
    <w:lvl w:ilvl="1">
      <w:lvlJc w:val="left"/>
      <w:lvlText w:val="%2"/>
      <w:numFmt w:val="lowerRoman"/>
      <w:start w:val="1"/>
    </w:lvl>
  </w:abstractNum>
  <w:abstractNum w:abstractNumId="82">
    <w:nsid w:val="4A2AC315"/>
    <w:multiLevelType w:val="hybridMultilevel"/>
    <w:lvl w:ilvl="0">
      <w:lvlJc w:val="left"/>
      <w:lvlText w:val="(%1)"/>
      <w:numFmt w:val="lowerLetter"/>
      <w:start w:val="19"/>
    </w:lvl>
  </w:abstractNum>
  <w:abstractNum w:abstractNumId="83">
    <w:nsid w:val="39EE015C"/>
    <w:multiLevelType w:val="hybridMultilevel"/>
    <w:lvl w:ilvl="0">
      <w:lvlJc w:val="left"/>
      <w:lvlText w:val="(%1)"/>
      <w:numFmt w:val="lowerLetter"/>
      <w:start w:val="26"/>
    </w:lvl>
  </w:abstractNum>
  <w:abstractNum w:abstractNumId="84">
    <w:nsid w:val="57FC4FBB"/>
    <w:multiLevelType w:val="hybridMultilevel"/>
    <w:lvl w:ilvl="0">
      <w:lvlJc w:val="left"/>
      <w:lvlText w:val="(%1)"/>
      <w:numFmt w:val="lowerLetter"/>
      <w:start w:val="27"/>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decimal"/>
      <w:start w:val="1"/>
    </w:lvl>
    <w:lvl w:ilvl="1">
      <w:lvlJc w:val="left"/>
      <w:lvlText w:val="(%2)"/>
      <w:numFmt w:val="lowerLetter"/>
      <w:start w:val="1"/>
    </w:lvl>
  </w:abstractNum>
  <w:abstractNum w:abstractNumId="87">
    <w:nsid w:val="60EF0119"/>
    <w:multiLevelType w:val="hybridMultilevel"/>
    <w:lvl w:ilvl="0">
      <w:lvlJc w:val="left"/>
      <w:lvlText w:val="%1."/>
      <w:numFmt w:val="decimal"/>
      <w:start w:val="1"/>
    </w:lvl>
    <w:lvl w:ilvl="1">
      <w:lvlJc w:val="left"/>
      <w:lvlText w:val="(%2)"/>
      <w:numFmt w:val="lowerLetter"/>
      <w:start w:val="1"/>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1)"/>
      <w:numFmt w:val="decimal"/>
      <w:start w:val="1"/>
    </w:lvl>
  </w:abstractNum>
  <w:abstractNum w:abstractNumId="90">
    <w:nsid w:val="49DA307D"/>
    <w:multiLevelType w:val="hybridMultilevel"/>
    <w:lvl w:ilvl="0">
      <w:lvlJc w:val="left"/>
      <w:lvlText w:val="(%1)"/>
      <w:numFmt w:val="lowerRoman"/>
      <w:start w:val="1"/>
    </w:lvl>
    <w:lvl w:ilvl="1">
      <w:lvlJc w:val="left"/>
      <w:lvlText w:val="(%2)"/>
      <w:numFmt w:val="upperLetter"/>
      <w:start w:val="1"/>
    </w:lvl>
  </w:abstractNum>
  <w:abstractNum w:abstractNumId="91">
    <w:nsid w:val="7055A5F5"/>
    <w:multiLevelType w:val="hybridMultilevel"/>
    <w:lvl w:ilvl="0">
      <w:lvlJc w:val="left"/>
      <w:lvlText w:val="(%1)"/>
      <w:numFmt w:val="lowerRoman"/>
      <w:start w:val="1"/>
    </w:lvl>
  </w:abstractNum>
  <w:abstractNum w:abstractNumId="92">
    <w:nsid w:val="5FB8370B"/>
    <w:multiLevelType w:val="hybridMultilevel"/>
    <w:lvl w:ilvl="0">
      <w:lvlJc w:val="left"/>
      <w:lvlText w:val="(%1)"/>
      <w:numFmt w:val="decimal"/>
      <w:start w:val="1"/>
    </w:lvl>
  </w:abstractNum>
  <w:abstractNum w:abstractNumId="93">
    <w:nsid w:val="50801EE1"/>
    <w:multiLevelType w:val="hybridMultilevel"/>
    <w:lvl w:ilvl="0">
      <w:lvlJc w:val="left"/>
      <w:lvlText w:val="(%1)"/>
      <w:numFmt w:val="lowerRoman"/>
      <w:start w:val="1"/>
    </w:lvl>
  </w:abstractNum>
  <w:abstractNum w:abstractNumId="94">
    <w:nsid w:val="488AC1A"/>
    <w:multiLevelType w:val="hybridMultilevel"/>
    <w:lvl w:ilvl="0">
      <w:lvlJc w:val="left"/>
      <w:lvlText w:val="(%1)"/>
      <w:numFmt w:val="lowerRoman"/>
      <w:start w:val="3"/>
    </w:lvl>
  </w:abstractNum>
  <w:abstractNum w:abstractNumId="95">
    <w:nsid w:val="5FB8011C"/>
    <w:multiLevelType w:val="hybridMultilevel"/>
    <w:lvl w:ilvl="0">
      <w:lvlJc w:val="left"/>
      <w:lvlText w:val="(%1)"/>
      <w:numFmt w:val="lowerRoman"/>
      <w:start w:val="1"/>
    </w:lvl>
    <w:lvl w:ilvl="1">
      <w:lvlJc w:val="left"/>
      <w:lvlText w:val="(%2)"/>
      <w:numFmt w:val="upperLetter"/>
      <w:start w:val="1"/>
    </w:lvl>
  </w:abstractNum>
  <w:abstractNum w:abstractNumId="96">
    <w:nsid w:val="6AA78F7F"/>
    <w:multiLevelType w:val="hybridMultilevel"/>
    <w:lvl w:ilvl="0">
      <w:lvlJc w:val="left"/>
      <w:lvlText w:val="(%1)"/>
      <w:numFmt w:val="lowerRoman"/>
      <w:start w:val="2"/>
    </w:lvl>
    <w:lvl w:ilvl="1">
      <w:lvlJc w:val="left"/>
      <w:lvlText w:val="(%2)"/>
      <w:numFmt w:val="upperLetter"/>
      <w:start w:val="1"/>
    </w:lvl>
  </w:abstractNum>
  <w:abstractNum w:abstractNumId="97">
    <w:nsid w:val="7672BD23"/>
    <w:multiLevelType w:val="hybridMultilevel"/>
    <w:lvl w:ilvl="0">
      <w:lvlJc w:val="left"/>
      <w:lvlText w:val="(%1)"/>
      <w:numFmt w:val="lowerRoman"/>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lowerRoman"/>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34" Type="http://schemas.openxmlformats.org/officeDocument/2006/relationships/image" Target="media/image95.png"/><Relationship Id="rId148"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png"/><Relationship Id="rId213" Type="http://schemas.openxmlformats.org/officeDocument/2006/relationships/image" Target="media/image147.png"/><Relationship Id="rId214" Type="http://schemas.openxmlformats.org/officeDocument/2006/relationships/image" Target="media/image148.png"/><Relationship Id="rId215" Type="http://schemas.openxmlformats.org/officeDocument/2006/relationships/image" Target="media/image149.png"/><Relationship Id="rId216" Type="http://schemas.openxmlformats.org/officeDocument/2006/relationships/image" Target="media/image150.png"/><Relationship Id="rId217" Type="http://schemas.openxmlformats.org/officeDocument/2006/relationships/image" Target="media/image151.png"/><Relationship Id="rId218" Type="http://schemas.openxmlformats.org/officeDocument/2006/relationships/image" Target="media/image152.png"/><Relationship Id="rId219" Type="http://schemas.openxmlformats.org/officeDocument/2006/relationships/image" Target="media/image153.png"/><Relationship Id="rId220" Type="http://schemas.openxmlformats.org/officeDocument/2006/relationships/image" Target="media/image154.png"/><Relationship Id="rId221" Type="http://schemas.openxmlformats.org/officeDocument/2006/relationships/image" Target="media/image155.png"/><Relationship Id="rId222" Type="http://schemas.openxmlformats.org/officeDocument/2006/relationships/image" Target="media/image156.png"/><Relationship Id="rId223" Type="http://schemas.openxmlformats.org/officeDocument/2006/relationships/image" Target="media/image157.png"/><Relationship Id="rId224" Type="http://schemas.openxmlformats.org/officeDocument/2006/relationships/image" Target="media/image158.png"/><Relationship Id="rId225" Type="http://schemas.openxmlformats.org/officeDocument/2006/relationships/image" Target="media/image159.png"/><Relationship Id="rId226" Type="http://schemas.openxmlformats.org/officeDocument/2006/relationships/image" Target="media/image160.png"/><Relationship Id="rId227" Type="http://schemas.openxmlformats.org/officeDocument/2006/relationships/image" Target="media/image161.png"/><Relationship Id="rId228" Type="http://schemas.openxmlformats.org/officeDocument/2006/relationships/image" Target="media/image162.png"/><Relationship Id="rId229" Type="http://schemas.openxmlformats.org/officeDocument/2006/relationships/image" Target="media/image163.png"/><Relationship Id="rId230" Type="http://schemas.openxmlformats.org/officeDocument/2006/relationships/image" Target="media/image164.png"/><Relationship Id="rId231" Type="http://schemas.openxmlformats.org/officeDocument/2006/relationships/image" Target="media/image165.png"/><Relationship Id="rId232" Type="http://schemas.openxmlformats.org/officeDocument/2006/relationships/image" Target="media/image166.png"/><Relationship Id="rId233" Type="http://schemas.openxmlformats.org/officeDocument/2006/relationships/image" Target="media/image167.png"/><Relationship Id="rId234" Type="http://schemas.openxmlformats.org/officeDocument/2006/relationships/image" Target="media/image168.png"/><Relationship Id="rId235" Type="http://schemas.openxmlformats.org/officeDocument/2006/relationships/image" Target="media/image169.png"/><Relationship Id="rId236" Type="http://schemas.openxmlformats.org/officeDocument/2006/relationships/image" Target="media/image170.png"/><Relationship Id="rId237" Type="http://schemas.openxmlformats.org/officeDocument/2006/relationships/image" Target="media/image171.png"/><Relationship Id="rId238" Type="http://schemas.openxmlformats.org/officeDocument/2006/relationships/image" Target="media/image172.png"/><Relationship Id="rId239" Type="http://schemas.openxmlformats.org/officeDocument/2006/relationships/image" Target="media/image173.png"/><Relationship Id="rId240" Type="http://schemas.openxmlformats.org/officeDocument/2006/relationships/image" Target="media/image174.png"/><Relationship Id="rId241" Type="http://schemas.openxmlformats.org/officeDocument/2006/relationships/image" Target="media/image175.png"/><Relationship Id="rId242" Type="http://schemas.openxmlformats.org/officeDocument/2006/relationships/image" Target="media/image176.png"/><Relationship Id="rId73" Type="http://schemas.openxmlformats.org/officeDocument/2006/relationships/hyperlink" Target="https://www.sec.gov/ix?doc=/Archives/edgar/data/1539838/000153983821000015/fang-20201231.htm#i4b770a66acfe418cb1b377f3d113fa9f_46" TargetMode="External"/><Relationship Id="rId101" Type="http://schemas.openxmlformats.org/officeDocument/2006/relationships/hyperlink" Target="https://www.sec.gov/Archives/edgar/data/1539838/000119312520322296/d93715dex21.htm" TargetMode="External"/><Relationship Id="rId102" Type="http://schemas.openxmlformats.org/officeDocument/2006/relationships/hyperlink" Target="http://www.sec.gov/Archives/edgar/data/1539838/000153983812000004/exhibit31amendcertofincorp.htm" TargetMode="External"/><Relationship Id="rId103" Type="http://schemas.openxmlformats.org/officeDocument/2006/relationships/hyperlink" Target="http://www.sec.gov/Archives/edgar/data/1539838/000153983816000266/diamondbackex31-12x12x16.htm" TargetMode="External"/><Relationship Id="rId104" Type="http://schemas.openxmlformats.org/officeDocument/2006/relationships/hyperlink" Target="https://www.sec.gov/Archives/edgar/data/1539838/000153983821000095/diamondbackex31-6x2x21.htm" TargetMode="External"/><Relationship Id="rId105" Type="http://schemas.openxmlformats.org/officeDocument/2006/relationships/hyperlink" Target="https://www.sec.gov/Archives/edgar/data/1539838/000153983819000122/diamondbackex31-11x19x.htm" TargetMode="External"/><Relationship Id="rId106" Type="http://schemas.openxmlformats.org/officeDocument/2006/relationships/hyperlink" Target="https://www.sec.gov/Archives/edgar/data/1539838/000153983821000105/diamondbackex46-6x30x21.htm" TargetMode="External"/><Relationship Id="rId107" Type="http://schemas.openxmlformats.org/officeDocument/2006/relationships/hyperlink" Target="http://www.sec.gov/Archives/edgar/data/1539838/000119312512360997/d295327dex41.htm" TargetMode="External"/><Relationship Id="rId108" Type="http://schemas.openxmlformats.org/officeDocument/2006/relationships/hyperlink" Target="https://www.sec.gov/Archives/edgar/data/1539838/000119312521148164/d301323dex43.htm" TargetMode="External"/><Relationship Id="rId109" Type="http://schemas.openxmlformats.org/officeDocument/2006/relationships/hyperlink" Target="https://www.sec.gov/Archives/edgar/data/1539838/000119312521148164/d301323dex44.htm" TargetMode="External"/><Relationship Id="rId110" Type="http://schemas.openxmlformats.org/officeDocument/2006/relationships/hyperlink" Target="http://www.sec.gov/Archives/edgar/data/1539838/000153983819000127/diamondbackex41-12x5x19.htm" TargetMode="External"/><Relationship Id="rId111" Type="http://schemas.openxmlformats.org/officeDocument/2006/relationships/hyperlink" Target="http://www.sec.gov/Archives/edgar/data/1539838/000153983819000127/diamondbackex42-12x5x19.htm" TargetMode="External"/><Relationship Id="rId112" Type="http://schemas.openxmlformats.org/officeDocument/2006/relationships/hyperlink" Target="https://www.sec.gov/Archives/edgar/data/1539838/000153983820000061/diamondbackex42-5x26x20.htm" TargetMode="External"/><Relationship Id="rId113" Type="http://schemas.openxmlformats.org/officeDocument/2006/relationships/hyperlink" Target="https://www.sec.gov/Archives/edgar/data/1539838/000110465921040981/tm218746d8_ex4-2.htm" TargetMode="External"/><Relationship Id="rId116" Type="http://schemas.openxmlformats.org/officeDocument/2006/relationships/hyperlink" Target="http://www.sec.gov/Archives/edgar/data/1602065/000110465919054635/tm19193893_ex4-1.htm" TargetMode="External"/><Relationship Id="rId117" Type="http://schemas.openxmlformats.org/officeDocument/2006/relationships/hyperlink" Target="http://www.sec.gov/Archives/edgar/data/1539838/000153983819000103/diamondbackex101-9x4x19.htm" TargetMode="External"/><Relationship Id="rId118" Type="http://schemas.openxmlformats.org/officeDocument/2006/relationships/hyperlink" Target="http://www.sec.gov/Archives/edgar/data/1602065/000110465919054635/tm19193893_ex10-2.htm" TargetMode="External"/><Relationship Id="rId119" Type="http://schemas.openxmlformats.org/officeDocument/2006/relationships/hyperlink" Target="https://www.sec.gov/Archives/edgar/data/1748773/000119312520192623/d939793dex41.htm" TargetMode="External"/><Relationship Id="rId120" Type="http://schemas.openxmlformats.org/officeDocument/2006/relationships/hyperlink" Target="http://www.sec.gov/Archives/edgar/data/277595/0000950109-96-005681.txt" TargetMode="External"/><Relationship Id="rId121" Type="http://schemas.openxmlformats.org/officeDocument/2006/relationships/hyperlink" Target="http://www.sec.gov/Archives/edgar/data/1108827/000119312512091528/d310241dex41.htm" TargetMode="External"/><Relationship Id="rId122" Type="http://schemas.openxmlformats.org/officeDocument/2006/relationships/hyperlink" Target="https://www.sec.gov/Archives/edgar/data/1108827/000119312512091528/d310241dex42.htm" TargetMode="External"/><Relationship Id="rId123" Type="http://schemas.openxmlformats.org/officeDocument/2006/relationships/hyperlink" Target="https://www.sec.gov/Archives/edgar/data/1108827/000114036112040365/ex4_1.htm" TargetMode="External"/><Relationship Id="rId124" Type="http://schemas.openxmlformats.org/officeDocument/2006/relationships/hyperlink" Target="https://www.sec.gov/Archives/edgar/data/1108827/000119312517349375/d485967dex42.htm" TargetMode="External"/><Relationship Id="rId125" Type="http://schemas.openxmlformats.org/officeDocument/2006/relationships/hyperlink" Target="https://www.sec.gov/Archives/edgar/data/1539838/000110465921040981/tm218746d8_ex4-3.htm" TargetMode="External"/><Relationship Id="rId126" Type="http://schemas.openxmlformats.org/officeDocument/2006/relationships/hyperlink" Target="https://www.sec.gov/Archives/edgar/data/1539838/000153983820000021/diamondback201910-kxex102.htm" TargetMode="External"/><Relationship Id="rId127" Type="http://schemas.openxmlformats.org/officeDocument/2006/relationships/hyperlink" Target="https://www.sec.gov/Archives/edgar/data/1539838/000153983820000021/diamondback201910-kxex103.htm" TargetMode="External"/><Relationship Id="rId128" Type="http://schemas.openxmlformats.org/officeDocument/2006/relationships/hyperlink" Target="https://www.sec.gov/Archives/edgar/data/1539838/000130817921000252/lfang2021_def14a.htm" TargetMode="External"/><Relationship Id="rId129" Type="http://schemas.openxmlformats.org/officeDocument/2006/relationships/hyperlink" Target="https://www.sec.gov/Archives/edgar/data/1539838/000153983821000015/diamondback202010-kxex104.htm" TargetMode="External"/><Relationship Id="rId130" Type="http://schemas.openxmlformats.org/officeDocument/2006/relationships/hyperlink" Target="https://www.sec.gov/Archives/edgar/data/1539838/000153983821000015/diamondback202010-kxex105.htm" TargetMode="External"/><Relationship Id="rId131" Type="http://schemas.openxmlformats.org/officeDocument/2006/relationships/hyperlink" Target="https://www.sec.gov/Archives/edgar/data/1539838/000153983814000018/ex10_1db2014awardstimebase.htm" TargetMode="External"/><Relationship Id="rId132" Type="http://schemas.openxmlformats.org/officeDocument/2006/relationships/hyperlink" Target="https://www.sec.gov/Archives/edgar/data/1539838/000153983814000018/ex10_2db2014tsrperformance.htm" TargetMode="External"/><Relationship Id="rId133" Type="http://schemas.openxmlformats.org/officeDocument/2006/relationships/hyperlink" Target="http://www.sec.gov/Archives/edgar/data/1539838/000119312512360997/d295327dex1015.htm" TargetMode="External"/><Relationship Id="rId135" Type="http://schemas.openxmlformats.org/officeDocument/2006/relationships/hyperlink" Target="https://www.sec.gov/Archives/edgar/data/1539838/000153983820000021/diamondback201910-kxex105.htm" TargetMode="External"/><Relationship Id="rId136" Type="http://schemas.openxmlformats.org/officeDocument/2006/relationships/hyperlink" Target="http://www.sec.gov/Archives/edgar/data/1539838/000153983814000043/ex10_1diamondback2014ex.htm" TargetMode="External"/><Relationship Id="rId137" Type="http://schemas.openxmlformats.org/officeDocument/2006/relationships/hyperlink" Target="https://www.sec.gov/Archives/edgar/data/1539838/000153983821000015/diamondback202010-kxex1011.htm" TargetMode="External"/><Relationship Id="rId138" Type="http://schemas.openxmlformats.org/officeDocument/2006/relationships/hyperlink" Target="http://www.sec.gov/Archives/edgar/data/1539838/000153983813000093/ex10_3diamondbacksecondame.htm" TargetMode="External"/><Relationship Id="rId139" Type="http://schemas.openxmlformats.org/officeDocument/2006/relationships/hyperlink" Target="http://www.sec.gov/Archives/edgar/data/1539838/000153983814000081/ex10_4firstamendmenttoseco.htm" TargetMode="External"/><Relationship Id="rId140" Type="http://schemas.openxmlformats.org/officeDocument/2006/relationships/hyperlink" Target="http://www.sec.gov/Archives/edgar/data/1539838/000119312514416704/d822128dex102.htm" TargetMode="External"/><Relationship Id="rId141" Type="http://schemas.openxmlformats.org/officeDocument/2006/relationships/hyperlink" Target="http://www.sec.gov/Archives/edgar/data/1539838/000153983816000195/diamondbackexhibit101-6x27.htm" TargetMode="External"/><Relationship Id="rId142" Type="http://schemas.openxmlformats.org/officeDocument/2006/relationships/hyperlink" Target="http://www.sec.gov/Archives/edgar/data/1539838/000153983816000270/diamondbackex102-12x20x16.htm" TargetMode="External"/><Relationship Id="rId143" Type="http://schemas.openxmlformats.org/officeDocument/2006/relationships/hyperlink" Target="http://www.sec.gov/Archives/edgar/data/1539838/000153983817000135/diamondbackex101-12x4x17.htm" TargetMode="External"/><Relationship Id="rId144" Type="http://schemas.openxmlformats.org/officeDocument/2006/relationships/hyperlink" Target="http://www.sec.gov/Archives/edgar/data/1539838/000153983818000111/diamondbackex101-11x1x18.htm" TargetMode="External"/><Relationship Id="rId145" Type="http://schemas.openxmlformats.org/officeDocument/2006/relationships/hyperlink" Target="http://www.sec.gov/Archives/edgar/data/1539838/000119312518343869/d661873dex101.htm" TargetMode="External"/><Relationship Id="rId146" Type="http://schemas.openxmlformats.org/officeDocument/2006/relationships/hyperlink" Target="http://www.sec.gov/Archives/edgar/data/1539838/000153983819000043/diamondbackex101-3x29x19.htm" TargetMode="External"/><Relationship Id="rId147" Type="http://schemas.openxmlformats.org/officeDocument/2006/relationships/hyperlink" Target="http://www.sec.gov/Archives/edgar/data/1539838/000153983819000082/diamondbackex10-1x7x3x19.htm" TargetMode="External"/><Relationship Id="rId149" Type="http://schemas.openxmlformats.org/officeDocument/2006/relationships/hyperlink" Target="https://www.sec.gov/Archives/edgar/data/1539838/000153983821000095/diamondback-ex101x6x2x21.htm" TargetMode="External"/><Relationship Id="rId150" Type="http://schemas.openxmlformats.org/officeDocument/2006/relationships/hyperlink" Target="http://www.sec.gov/Archives/edgar/data/1602065/000160206518000027/viperex101-7x26x18.htm" TargetMode="External"/><Relationship Id="rId151" Type="http://schemas.openxmlformats.org/officeDocument/2006/relationships/hyperlink" Target="http://www.sec.gov/Archives/edgar/data/1602065/000160206519000040/viperex101-9x30x19.htm" TargetMode="External"/><Relationship Id="rId152" Type="http://schemas.openxmlformats.org/officeDocument/2006/relationships/hyperlink" Target="http://www.sec.gov/Archives/edgar/data/1602065/000160206519000042/viperex101-10x10x19.htm" TargetMode="External"/><Relationship Id="rId153" Type="http://schemas.openxmlformats.org/officeDocument/2006/relationships/hyperlink" Target="https://www.sec.gov/Archives/edgar/data/1602065/000160206519000051/viperex101-12519.htm" TargetMode="External"/><Relationship Id="rId154" Type="http://schemas.openxmlformats.org/officeDocument/2006/relationships/hyperlink" Target="https://www.sec.gov/Archives/edgar/data/1602065/000160206520000024/viperex101-51520.htm" TargetMode="External"/><Relationship Id="rId155" Type="http://schemas.openxmlformats.org/officeDocument/2006/relationships/hyperlink" Target="https://www.sec.gov/Archives/edgar/data/1602065/000160206520000056/viperex101-11x12x20.htm" TargetMode="External"/><Relationship Id="rId156" Type="http://schemas.openxmlformats.org/officeDocument/2006/relationships/hyperlink" Target="https://www.sec.gov/Archives/edgar/data/1602065/000160206521000061/viperex101-11x19x21.htm" TargetMode="External"/><Relationship Id="rId157" Type="http://schemas.openxmlformats.org/officeDocument/2006/relationships/hyperlink" Target="http://www.sec.gov/Archives/edgar/data/1748773/000119312519159754/d751257dex102.htm" TargetMode="External"/><Relationship Id="rId158" Type="http://schemas.openxmlformats.org/officeDocument/2006/relationships/hyperlink" Target="http://www.sec.gov/Archives/edgar/data/1748773/000174877319000010/rattlerex101-10x28x19.htm" TargetMode="External"/><Relationship Id="rId159" Type="http://schemas.openxmlformats.org/officeDocument/2006/relationships/hyperlink" Target="https://www.sec.gov/Archives/edgar/data/1748773/000174877320000046/rattlerex103-11x5x20.htm" TargetMode="External"/><Relationship Id="rId160" Type="http://schemas.openxmlformats.org/officeDocument/2006/relationships/hyperlink" Target="https://www.sec.gov/Archives/edgar/data/1748773/000119312521367004/d242121dex101.htm" TargetMode="External"/><Relationship Id="rId161" Type="http://schemas.openxmlformats.org/officeDocument/2006/relationships/hyperlink" Target="https://www.sec.gov/Archives/edgar/data/1539838/000119312521343714/d246321dex101.htm" TargetMode="External"/><Relationship Id="rId162" Type="http://schemas.openxmlformats.org/officeDocument/2006/relationships/hyperlink" Target="https://www.sec.gov/Archives/edgar/data/1539838/000153983821000117/diamondback-ex211x8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2022-02-24T16:54:22Z</dcterms:created>
  <dcterms:modified xsi:type="dcterms:W3CDTF">2022-02-24T16:54:22Z</dcterms:modified>
</cp:coreProperties>
</file>