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Hillary H. Holmes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Gibson, Dunn &amp; Crutcher LLP, 811 Main Street, Suite 3000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Houston, TX, 77002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(346) 718-6600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SGF FANG Holdings,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74,036,722.00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74,036,722.00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74,036,722.00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Note to Row 13: Based upon 281,313,297 shares of Company Common Stock outstanding as of May 1, 2026, as disclosed by the Company in its Form 10-Q filed with the Securities and Exchange Commission (the "SEC") on May 6, 2026.</w:t>
      </w:r>
    </w:p>
    <w:p>
      <w:pPr>
        <w:spacing w:after="0" w:line="200" w:lineRule="exact"/>
        <w:rPr>
          <w:sz w:val="20"/>
          <w:szCs w:val="20"/>
          <w:color w:val="auto"/>
        </w:rPr>
      </w:pPr>
    </w:p>
    <w:p>
      <w:pPr>
        <w:sectPr>
          <w:pgSz w:w="11900" w:h="16838" w:orient="portrait"/>
          <w:cols w:equalWidth="0" w:num="2">
            <w:col w:w="1520" w:space="120"/>
            <w:col w:w="9600"/>
          </w:cols>
          <w:pgMar w:left="320" w:top="126"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Greth Lyndal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74,036,722.00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74,036,722.00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74,036,722.00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61" w:orient="portrait"/>
          <w:cols w:equalWidth="0" w:num="2">
            <w:col w:w="1100" w:space="60"/>
            <w:col w:w="10080"/>
          </w:cols>
          <w:pgMar w:left="320" w:top="355" w:right="339"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w:t>
      </w:r>
      <w:r>
        <w:rPr>
          <w:rFonts w:ascii="Times New Roman" w:cs="Times New Roman" w:eastAsia="Times New Roman" w:hAnsi="Times New Roman"/>
          <w:sz w:val="21"/>
          <w:szCs w:val="21"/>
          <w:color w:val="auto"/>
        </w:rPr>
        <w:t>Note to Row 13: Based upon 281,313,297 shares of Company Common Stock outstanding as of May 1,</w:t>
      </w:r>
    </w:p>
    <w:p>
      <w:pPr>
        <w:spacing w:after="0" w:line="18"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9"/>
          <w:szCs w:val="19"/>
          <w:b w:val="1"/>
          <w:bCs w:val="1"/>
          <w:color w:val="auto"/>
        </w:rPr>
        <w:t>Reporting Person:</w:t>
      </w:r>
      <w:r>
        <w:rPr>
          <w:sz w:val="20"/>
          <w:szCs w:val="20"/>
          <w:color w:val="auto"/>
        </w:rPr>
        <w:tab/>
      </w:r>
      <w:r>
        <w:rPr>
          <w:rFonts w:ascii="Times New Roman" w:cs="Times New Roman" w:eastAsia="Times New Roman" w:hAnsi="Times New Roman"/>
          <w:sz w:val="21"/>
          <w:szCs w:val="21"/>
          <w:color w:val="auto"/>
        </w:rPr>
        <w:t>2026, as disclosed by the Company in its Form 10-Q filed with the SEC on May 6, 2026.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Diamondback Energy,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500 WEST TEXAS AVE., SUITE 1200, MIDLAND, TEXAS , 79701.</w:t>
      </w:r>
    </w:p>
    <w:p>
      <w:pPr>
        <w:spacing w:after="0" w:line="20" w:lineRule="exact"/>
        <w:rPr>
          <w:sz w:val="20"/>
          <w:szCs w:val="20"/>
          <w:color w:val="auto"/>
        </w:rPr>
      </w:pPr>
    </w:p>
    <w:p>
      <w:pPr>
        <w:jc w:val="right"/>
        <w:ind w:left="40" w:right="40"/>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amends and supplements the statement on Schedule 13D originally filed with the SEC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September 13, 2024, as amended on September 24, 2024, August 15, 2025, December 2, 2025, February 5, 2026,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March 16, 2026 (the "Schedule 13D"), by the Reporting Persons with respect to shares of Company Common Stock.</w:t>
      </w:r>
    </w:p>
    <w:p>
      <w:pPr>
        <w:spacing w:after="0" w:line="1" w:lineRule="exact"/>
        <w:rPr>
          <w:sz w:val="20"/>
          <w:szCs w:val="20"/>
          <w:color w:val="auto"/>
        </w:rPr>
      </w:pPr>
    </w:p>
    <w:p>
      <w:pPr>
        <w:jc w:val="both"/>
        <w:ind w:left="1000" w:right="40"/>
        <w:spacing w:after="0" w:line="235"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Amendment No. 6 shall have the meanings ascribed to them in the Schedule 13D. Unless amended or supplemented below, the information in the Schedule 13D remains unchanged.</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60"/>
        <w:spacing w:after="0" w:line="251" w:lineRule="auto"/>
        <w:rPr>
          <w:sz w:val="20"/>
          <w:szCs w:val="20"/>
          <w:color w:val="auto"/>
        </w:rPr>
      </w:pPr>
      <w:r>
        <w:rPr>
          <w:rFonts w:ascii="Times New Roman" w:cs="Times New Roman" w:eastAsia="Times New Roman" w:hAnsi="Times New Roman"/>
          <w:sz w:val="21"/>
          <w:szCs w:val="21"/>
          <w:color w:val="auto"/>
        </w:rPr>
        <w:t>Item 4 is hereby amended and supplemented to add the following: On June 4, 2026, SGF FANG sold an aggregate of 10,000,000 shares of Common Stock at a price of $204.25 per share pursuant to Rule 144 under the Securities Act of 1933, as amended (the "June 4, 2026 Sale"). In connection with the June 4, 2026 Sale, SGF FANG is subject to a lock-up period from June 4, 2026 through the date 30 days after June 4, 2026, during which SGF FANG may not sell any shares of Common Stock without the mutual agreement of SGF FANG and J.P. Morgan Securities LLC.</w:t>
      </w:r>
    </w:p>
    <w:p>
      <w:pPr>
        <w:spacing w:after="0" w:line="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48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5(a) is hereby amended and restated in full. The information contained on the cover pages and Item 2 to this Schedule 13D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60" w:right="48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is hereby amended and restated in full. The information contained on the cover pages and Item 2 to this Schedule 13D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40" w:right="680" w:firstLine="8"/>
        <w:spacing w:after="0" w:line="309" w:lineRule="auto"/>
        <w:tabs>
          <w:tab w:leader="none" w:pos="9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5(c) is hereby amended and supplemented to add the information set forth in Item 4 of this Schedule 13D. Item 6. Contracts, Arrangements, Understandings or Relationships With Respect to Securities of the Issuer</w:t>
      </w:r>
    </w:p>
    <w:p>
      <w:pPr>
        <w:sectPr>
          <w:pgSz w:w="11900" w:h="16961" w:orient="portrait"/>
          <w:cols w:equalWidth="0" w:num="1">
            <w:col w:w="11240"/>
          </w:cols>
          <w:pgMar w:left="320" w:top="355" w:right="339" w:bottom="0" w:gutter="0" w:footer="0" w:header="0"/>
          <w:type w:val="continuous"/>
        </w:sectPr>
      </w:pPr>
    </w:p>
    <w:bookmarkStart w:id="3" w:name="page4"/>
    <w:bookmarkEnd w:id="3"/>
    <w:p>
      <w:pPr>
        <w:ind w:left="700"/>
        <w:spacing w:after="0"/>
        <w:rPr>
          <w:sz w:val="20"/>
          <w:szCs w:val="20"/>
          <w:color w:val="auto"/>
        </w:rPr>
      </w:pPr>
      <w:r>
        <w:rPr>
          <w:rFonts w:ascii="Times New Roman" w:cs="Times New Roman" w:eastAsia="Times New Roman" w:hAnsi="Times New Roman"/>
          <w:sz w:val="22"/>
          <w:szCs w:val="22"/>
          <w:color w:val="auto"/>
        </w:rPr>
        <w:t>Item 6 is hereby amended and supplemented to add the information set forth in Item 4 of this Schedule 13D.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SGF FANG Holdings, LP</w:t>
      </w:r>
    </w:p>
    <w:p>
      <w:pPr>
        <w:spacing w:after="0" w:line="152" w:lineRule="exact"/>
        <w:rPr>
          <w:sz w:val="20"/>
          <w:szCs w:val="20"/>
          <w:color w:val="auto"/>
        </w:rPr>
      </w:pPr>
    </w:p>
    <w:p>
      <w:pPr>
        <w:ind w:left="3780"/>
        <w:spacing w:after="0"/>
        <w:tabs>
          <w:tab w:leader="none" w:pos="4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 Keen</w:t>
      </w:r>
    </w:p>
    <w:p>
      <w:pPr>
        <w:spacing w:after="0" w:line="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Name/Title: Kevin T. Keen/Attorney-in-fact</w:t>
      </w:r>
    </w:p>
    <w:p>
      <w:pPr>
        <w:spacing w:after="0" w:line="44" w:lineRule="exact"/>
        <w:rPr>
          <w:sz w:val="20"/>
          <w:szCs w:val="20"/>
          <w:color w:val="auto"/>
        </w:rPr>
      </w:pPr>
    </w:p>
    <w:p>
      <w:pPr>
        <w:ind w:left="3780"/>
        <w:spacing w:after="0"/>
        <w:tabs>
          <w:tab w:leader="none" w:pos="4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Greth Lyndal</w:t>
      </w:r>
    </w:p>
    <w:p>
      <w:pPr>
        <w:spacing w:after="0" w:line="152" w:lineRule="exact"/>
        <w:rPr>
          <w:sz w:val="20"/>
          <w:szCs w:val="20"/>
          <w:color w:val="auto"/>
        </w:rPr>
      </w:pPr>
    </w:p>
    <w:p>
      <w:pPr>
        <w:ind w:left="3780"/>
        <w:spacing w:after="0"/>
        <w:tabs>
          <w:tab w:leader="none" w:pos="4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 Keen</w:t>
      </w:r>
    </w:p>
    <w:p>
      <w:pPr>
        <w:spacing w:after="0" w:line="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Name/Title: Kevin T. Keen/Attorney-in-fact</w:t>
      </w:r>
    </w:p>
    <w:p>
      <w:pPr>
        <w:spacing w:after="0" w:line="44" w:lineRule="exact"/>
        <w:rPr>
          <w:sz w:val="20"/>
          <w:szCs w:val="20"/>
          <w:color w:val="auto"/>
        </w:rPr>
      </w:pPr>
    </w:p>
    <w:p>
      <w:pPr>
        <w:ind w:left="3780"/>
        <w:spacing w:after="0"/>
        <w:tabs>
          <w:tab w:leader="none" w:pos="4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sectPr>
      <w:pgSz w:w="11900" w:h="16838" w:orient="portrait"/>
      <w:cols w:equalWidth="0" w:num="1">
        <w:col w:w="10920"/>
      </w:cols>
      <w:pgMar w:left="58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6"/>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2026-06-05T15:09:20Z</dcterms:created>
  <dcterms:modified xsi:type="dcterms:W3CDTF">2026-06-05T15:09:20Z</dcterms:modified>
</cp:coreProperties>
</file>