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Diamondback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2, 2024, the registrant had 178,394,452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JUNE 30, 2024</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545" w:type="dxa"/>
        <w:jc w:val="left"/>
        <w:tblInd w:w="0" w:type="dxa"/>
        <w:tblLayout w:type="fixed"/>
        <w:tblCellMar>
          <w:top w:w="28" w:type="dxa"/>
          <w:left w:w="28" w:type="dxa"/>
          <w:bottom w:w="28" w:type="dxa"/>
          <w:right w:w="28" w:type="dxa"/>
        </w:tblCellMar>
      </w:tblPr>
      <w:tblGrid>
        <w:gridCol w:w="2550"/>
        <w:gridCol w:w="2246"/>
        <w:gridCol w:w="2253"/>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0">
              <w:r>
                <w:rPr>
                  <w:rStyle w:val="InternetLink"/>
                  <w:rFonts w:ascii="Times New Roman;sans-serif" w:hAnsi="Times New Roman;sans-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fd673ca5314e499dbfcbf4ce977879cb_10">
              <w:r>
                <w:rPr>
                  <w:rStyle w:val="InternetLink"/>
                  <w:rFonts w:ascii="Times New Roman;sans-serif" w:hAnsi="Times New Roman;sans-serif"/>
                  <w:b w:val="false"/>
                  <w:color w:val="0000FF"/>
                  <w:sz w:val="18"/>
                  <w:u w:val="single"/>
                </w:rPr>
                <w:t>ii</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3">
              <w:r>
                <w:rPr>
                  <w:rStyle w:val="InternetLink"/>
                  <w:rFonts w:ascii="Times New Roman;sans-serif" w:hAnsi="Times New Roman;sans-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3">
              <w:r>
                <w:rPr>
                  <w:rStyle w:val="InternetLink"/>
                  <w:rFonts w:ascii="Times New Roman;sans-serif" w:hAnsi="Times New Roman;sans-serif"/>
                  <w:b w:val="false"/>
                  <w:color w:val="0000FF"/>
                  <w:sz w:val="18"/>
                  <w:u w:val="single"/>
                </w:rPr>
                <w:t>iii</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6">
              <w:r>
                <w:rPr>
                  <w:rStyle w:val="InternetLink"/>
                  <w:rFonts w:ascii="Times New Roman;sans-serif" w:hAnsi="Times New Roman;sans-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6">
              <w:r>
                <w:rPr>
                  <w:rStyle w:val="InternetLink"/>
                  <w:rFonts w:ascii="Times New Roman;sans-serif" w:hAnsi="Times New Roman;sans-serif"/>
                  <w:b w:val="false"/>
                  <w:color w:val="0000FF"/>
                  <w:sz w:val="18"/>
                  <w:u w:val="single"/>
                </w:rPr>
                <w:t>iv</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9">
              <w:r>
                <w:rPr>
                  <w:rStyle w:val="InternetLink"/>
                  <w:rFonts w:ascii="Times New Roman;sans-serif" w:hAnsi="Times New Roman;sans-serif"/>
                  <w:b/>
                  <w:color w:val="0000FF"/>
                  <w:sz w:val="17"/>
                  <w:u w:val="single"/>
                </w:rPr>
                <w:t>PART I. FINANCIAL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9">
              <w:r>
                <w:rPr>
                  <w:rStyle w:val="InternetLink"/>
                  <w:rFonts w:ascii="Times New Roman;sans-serif" w:hAnsi="Times New Roman;sans-serif"/>
                  <w:b w:val="false"/>
                  <w:color w:val="0000FF"/>
                  <w:sz w:val="18"/>
                  <w:u w:val="single"/>
                </w:rPr>
                <w:t>Item 1. Condensed Consolidated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25">
              <w:r>
                <w:rPr>
                  <w:rStyle w:val="InternetLink"/>
                  <w:rFonts w:ascii="Times New Roman;sans-serif" w:hAnsi="Times New Roman;sans-serif"/>
                  <w:b w:val="false"/>
                  <w:color w:val="0000FF"/>
                  <w:sz w:val="18"/>
                  <w:u w:val="single"/>
                </w:rPr>
                <w:t>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25">
              <w:r>
                <w:rPr>
                  <w:rStyle w:val="InternetLink"/>
                  <w:rFonts w:ascii="Times New Roman;sans-serif" w:hAnsi="Times New Roman;sans-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25">
              <w:r>
                <w:rPr>
                  <w:rStyle w:val="InternetLink"/>
                  <w:rFonts w:ascii="Times New Roman;sans-serif" w:hAnsi="Times New Roman;sans-serif"/>
                  <w:b w:val="false"/>
                  <w:color w:val="0000FF"/>
                  <w:sz w:val="18"/>
                  <w:u w:val="single"/>
                </w:rPr>
                <w:t>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28">
              <w:r>
                <w:rPr>
                  <w:rStyle w:val="InternetLink"/>
                  <w:rFonts w:ascii="Times New Roman;sans-serif" w:hAnsi="Times New Roman;sans-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28">
              <w:r>
                <w:rPr>
                  <w:rStyle w:val="InternetLink"/>
                  <w:rFonts w:ascii="Times New Roman;sans-serif" w:hAnsi="Times New Roman;sans-serif"/>
                  <w:b w:val="false"/>
                  <w:color w:val="0000FF"/>
                  <w:sz w:val="18"/>
                  <w:u w:val="single"/>
                </w:rPr>
                <w:t>2</w:t>
              </w:r>
            </w:hyperlink>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31">
              <w:r>
                <w:rPr>
                  <w:rStyle w:val="InternetLink"/>
                  <w:rFonts w:ascii="Times New Roman;sans-serif" w:hAnsi="Times New Roman;sans-serif"/>
                  <w:b w:val="false"/>
                  <w:color w:val="0000FF"/>
                  <w:sz w:val="18"/>
                  <w:u w:val="single"/>
                </w:rPr>
                <w:t>Condensed Consolidated Statements of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31">
              <w:r>
                <w:rPr>
                  <w:rStyle w:val="InternetLink"/>
                  <w:rFonts w:ascii="Times New Roman;sans-serif" w:hAnsi="Times New Roman;sans-serif"/>
                  <w:b w:val="false"/>
                  <w:color w:val="0000FF"/>
                  <w:sz w:val="18"/>
                  <w:u w:val="single"/>
                </w:rPr>
                <w:t>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34">
              <w:r>
                <w:rPr>
                  <w:rStyle w:val="InternetLink"/>
                  <w:rFonts w:ascii="Times New Roman;sans-serif" w:hAnsi="Times New Roman;sans-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34">
              <w:r>
                <w:rPr>
                  <w:rStyle w:val="InternetLink"/>
                  <w:rFonts w:ascii="Times New Roman;sans-serif" w:hAnsi="Times New Roman;sans-serif"/>
                  <w:b w:val="false"/>
                  <w:color w:val="0000FF"/>
                  <w:sz w:val="18"/>
                  <w:u w:val="single"/>
                </w:rPr>
                <w:t>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37">
              <w:r>
                <w:rPr>
                  <w:rStyle w:val="InternetLink"/>
                  <w:rFonts w:ascii="Times New Roman;sans-serif" w:hAnsi="Times New Roman;sans-serif"/>
                  <w:b w:val="false"/>
                  <w:color w:val="0000FF"/>
                  <w:sz w:val="18"/>
                  <w:u w:val="single"/>
                </w:rPr>
                <w:t>Condensed Notes to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37">
              <w:r>
                <w:rPr>
                  <w:rStyle w:val="InternetLink"/>
                  <w:rFonts w:ascii="Times New Roman;sans-serif" w:hAnsi="Times New Roman;sans-serif"/>
                  <w:b w:val="false"/>
                  <w:color w:val="0000FF"/>
                  <w:sz w:val="18"/>
                  <w:u w:val="single"/>
                </w:rPr>
                <w:t>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40">
              <w:r>
                <w:rPr>
                  <w:rStyle w:val="InternetLink"/>
                  <w:rFonts w:ascii="Times New Roman;sans-serif" w:hAnsi="Times New Roman;sans-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40">
              <w:r>
                <w:rPr>
                  <w:rStyle w:val="InternetLink"/>
                  <w:rFonts w:ascii="Times New Roman;sans-serif" w:hAnsi="Times New Roman;sans-serif"/>
                  <w:b w:val="false"/>
                  <w:color w:val="0000FF"/>
                  <w:sz w:val="18"/>
                  <w:u w:val="single"/>
                </w:rPr>
                <w:t>6</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43">
              <w:r>
                <w:rPr>
                  <w:rStyle w:val="InternetLink"/>
                  <w:rFonts w:ascii="Times New Roman;sans-serif" w:hAnsi="Times New Roman;sans-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43">
              <w:r>
                <w:rPr>
                  <w:rStyle w:val="InternetLink"/>
                  <w:rFonts w:ascii="Times New Roman;sans-serif" w:hAnsi="Times New Roman;sans-serif"/>
                  <w:b w:val="false"/>
                  <w:color w:val="0000FF"/>
                  <w:sz w:val="18"/>
                  <w:u w:val="single"/>
                </w:rPr>
                <w:t>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46">
              <w:r>
                <w:rPr>
                  <w:rStyle w:val="InternetLink"/>
                  <w:rFonts w:ascii="Times New Roman;sans-serif" w:hAnsi="Times New Roman;sans-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46">
              <w:r>
                <w:rPr>
                  <w:rStyle w:val="InternetLink"/>
                  <w:rFonts w:ascii="Times New Roman;sans-serif" w:hAnsi="Times New Roman;sans-serif"/>
                  <w:b w:val="false"/>
                  <w:color w:val="0000FF"/>
                  <w:sz w:val="18"/>
                  <w:u w:val="single"/>
                </w:rPr>
                <w:t>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49">
              <w:r>
                <w:rPr>
                  <w:rStyle w:val="InternetLink"/>
                  <w:rFonts w:ascii="Times New Roman;sans-serif" w:hAnsi="Times New Roman;sans-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49">
              <w:r>
                <w:rPr>
                  <w:rStyle w:val="InternetLink"/>
                  <w:rFonts w:ascii="Times New Roman;sans-serif" w:hAnsi="Times New Roman;sans-serif"/>
                  <w:b w:val="false"/>
                  <w:color w:val="0000FF"/>
                  <w:sz w:val="18"/>
                  <w:u w:val="single"/>
                </w:rPr>
                <w:t>9</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55">
              <w:r>
                <w:rPr>
                  <w:rStyle w:val="InternetLink"/>
                  <w:rFonts w:ascii="Times New Roman;sans-serif" w:hAnsi="Times New Roman;sans-serif"/>
                  <w:b w:val="false"/>
                  <w:color w:val="0000FF"/>
                  <w:sz w:val="18"/>
                  <w:u w:val="single"/>
                </w:rPr>
                <w:t>5. Property and Equipment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55">
              <w:r>
                <w:rPr>
                  <w:rStyle w:val="InternetLink"/>
                  <w:rFonts w:ascii="Times New Roman;sans-serif" w:hAnsi="Times New Roman;sans-serif"/>
                  <w:b w:val="false"/>
                  <w:color w:val="0000FF"/>
                  <w:sz w:val="18"/>
                  <w:u w:val="single"/>
                </w:rPr>
                <w:t>12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58">
              <w:r>
                <w:rPr>
                  <w:rStyle w:val="InternetLink"/>
                  <w:rFonts w:ascii="Times New Roman;sans-serif" w:hAnsi="Times New Roman;sans-serif"/>
                  <w:b w:val="false"/>
                  <w:color w:val="0000FF"/>
                  <w:sz w:val="18"/>
                  <w:u w:val="single"/>
                </w:rPr>
                <w:t>6. Asset Retirement Obligations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58">
              <w:r>
                <w:rPr>
                  <w:rStyle w:val="InternetLink"/>
                  <w:rFonts w:ascii="Times New Roman;sans-serif" w:hAnsi="Times New Roman;sans-serif"/>
                  <w:b w:val="false"/>
                  <w:color w:val="0000FF"/>
                  <w:sz w:val="18"/>
                  <w:u w:val="single"/>
                </w:rPr>
                <w:t>12</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61">
              <w:r>
                <w:rPr>
                  <w:rStyle w:val="InternetLink"/>
                  <w:rFonts w:ascii="Times New Roman;sans-serif" w:hAnsi="Times New Roman;sans-serif"/>
                  <w:b w:val="false"/>
                  <w:color w:val="0000FF"/>
                  <w:sz w:val="18"/>
                  <w:u w:val="single"/>
                </w:rPr>
                <w:t>7. Related Party Transactions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61">
              <w:r>
                <w:rPr>
                  <w:rStyle w:val="InternetLink"/>
                  <w:rFonts w:ascii="Times New Roman;sans-serif" w:hAnsi="Times New Roman;sans-serif"/>
                  <w:b w:val="false"/>
                  <w:color w:val="0000FF"/>
                  <w:sz w:val="18"/>
                  <w:u w:val="single"/>
                </w:rPr>
                <w:t>13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64">
              <w:r>
                <w:rPr>
                  <w:rStyle w:val="InternetLink"/>
                  <w:rFonts w:ascii="Times New Roman;sans-serif" w:hAnsi="Times New Roman;sans-serif"/>
                  <w:b w:val="false"/>
                  <w:color w:val="0000FF"/>
                  <w:sz w:val="18"/>
                  <w:u w:val="single"/>
                </w:rPr>
                <w:t>8.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64">
              <w:r>
                <w:rPr>
                  <w:rStyle w:val="InternetLink"/>
                  <w:rFonts w:ascii="Times New Roman;sans-serif" w:hAnsi="Times New Roman;sans-serif"/>
                  <w:b w:val="false"/>
                  <w:color w:val="0000FF"/>
                  <w:sz w:val="18"/>
                  <w:u w:val="single"/>
                </w:rPr>
                <w:t>14</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67">
              <w:r>
                <w:rPr>
                  <w:rStyle w:val="InternetLink"/>
                  <w:rFonts w:ascii="Times New Roman;sans-serif" w:hAnsi="Times New Roman;sans-serif"/>
                  <w:b w:val="false"/>
                  <w:color w:val="0000FF"/>
                  <w:sz w:val="18"/>
                  <w:u w:val="single"/>
                </w:rPr>
                <w:t>9. Stockholders' Equity and Earnings Per Share</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67">
              <w:r>
                <w:rPr>
                  <w:rStyle w:val="InternetLink"/>
                  <w:rFonts w:ascii="Times New Roman;sans-serif" w:hAnsi="Times New Roman;sans-serif"/>
                  <w:b w:val="false"/>
                  <w:color w:val="0000FF"/>
                  <w:sz w:val="18"/>
                  <w:u w:val="single"/>
                </w:rPr>
                <w:t>16</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70">
              <w:r>
                <w:rPr>
                  <w:rStyle w:val="InternetLink"/>
                  <w:rFonts w:ascii="Times New Roman;sans-serif" w:hAnsi="Times New Roman;sans-serif"/>
                  <w:b w:val="false"/>
                  <w:color w:val="0000FF"/>
                  <w:sz w:val="18"/>
                  <w:u w:val="single"/>
                </w:rPr>
                <w:t>10. Equity-Based Compensation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70">
              <w:r>
                <w:rPr>
                  <w:rStyle w:val="InternetLink"/>
                  <w:rFonts w:ascii="Times New Roman;sans-serif" w:hAnsi="Times New Roman;sans-serif"/>
                  <w:b w:val="false"/>
                  <w:color w:val="0000FF"/>
                  <w:sz w:val="18"/>
                  <w:u w:val="single"/>
                </w:rPr>
                <w:t>18</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73">
              <w:r>
                <w:rPr>
                  <w:rStyle w:val="InternetLink"/>
                  <w:rFonts w:ascii="Times New Roman;sans-serif" w:hAnsi="Times New Roman;sans-serif"/>
                  <w:b w:val="false"/>
                  <w:color w:val="0000FF"/>
                  <w:sz w:val="18"/>
                  <w:u w:val="single"/>
                </w:rPr>
                <w:t>11.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73">
              <w:r>
                <w:rPr>
                  <w:rStyle w:val="InternetLink"/>
                  <w:rFonts w:ascii="Times New Roman;sans-serif" w:hAnsi="Times New Roman;sans-serif"/>
                  <w:b w:val="false"/>
                  <w:color w:val="0000FF"/>
                  <w:sz w:val="18"/>
                  <w:u w:val="single"/>
                </w:rPr>
                <w:t>19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76">
              <w:r>
                <w:rPr>
                  <w:rStyle w:val="InternetLink"/>
                  <w:rFonts w:ascii="Times New Roman;sans-serif" w:hAnsi="Times New Roman;sans-serif"/>
                  <w:b w:val="false"/>
                  <w:color w:val="0000FF"/>
                  <w:sz w:val="18"/>
                  <w:u w:val="single"/>
                </w:rPr>
                <w:t>12.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76">
              <w:r>
                <w:rPr>
                  <w:rStyle w:val="InternetLink"/>
                  <w:rFonts w:ascii="Times New Roman;sans-serif" w:hAnsi="Times New Roman;sans-serif"/>
                  <w:b w:val="false"/>
                  <w:color w:val="0000FF"/>
                  <w:sz w:val="18"/>
                  <w:u w:val="single"/>
                </w:rPr>
                <w:t>20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79">
              <w:r>
                <w:rPr>
                  <w:rStyle w:val="InternetLink"/>
                  <w:rFonts w:ascii="Times New Roman;sans-serif" w:hAnsi="Times New Roman;sans-serif"/>
                  <w:b w:val="false"/>
                  <w:color w:val="0000FF"/>
                  <w:sz w:val="18"/>
                  <w:u w:val="single"/>
                </w:rPr>
                <w:t>13.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79">
              <w:r>
                <w:rPr>
                  <w:rStyle w:val="InternetLink"/>
                  <w:rFonts w:ascii="Times New Roman;sans-serif" w:hAnsi="Times New Roman;sans-serif"/>
                  <w:b w:val="false"/>
                  <w:color w:val="0000FF"/>
                  <w:sz w:val="18"/>
                  <w:u w:val="single"/>
                </w:rPr>
                <w:t>22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82">
              <w:r>
                <w:rPr>
                  <w:rStyle w:val="InternetLink"/>
                  <w:rFonts w:ascii="Times New Roman;sans-serif" w:hAnsi="Times New Roman;sans-serif"/>
                  <w:b w:val="false"/>
                  <w:color w:val="0000FF"/>
                  <w:sz w:val="18"/>
                  <w:u w:val="single"/>
                </w:rPr>
                <w:t>14. Supplemental Information To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82">
              <w:r>
                <w:rPr>
                  <w:rStyle w:val="InternetLink"/>
                  <w:rFonts w:ascii="Times New Roman;sans-serif" w:hAnsi="Times New Roman;sans-serif"/>
                  <w:b w:val="false"/>
                  <w:color w:val="0000FF"/>
                  <w:sz w:val="18"/>
                  <w:u w:val="single"/>
                </w:rPr>
                <w:t>24</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85">
              <w:r>
                <w:rPr>
                  <w:rStyle w:val="InternetLink"/>
                  <w:rFonts w:ascii="Times New Roman;sans-serif" w:hAnsi="Times New Roman;sans-serif"/>
                  <w:b w:val="false"/>
                  <w:color w:val="0000FF"/>
                  <w:sz w:val="18"/>
                  <w:u w:val="single"/>
                </w:rPr>
                <w:t>15. Commitments and Contingencies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85">
              <w:r>
                <w:rPr>
                  <w:rStyle w:val="InternetLink"/>
                  <w:rFonts w:ascii="Times New Roman;sans-serif" w:hAnsi="Times New Roman;sans-serif"/>
                  <w:b w:val="false"/>
                  <w:color w:val="0000FF"/>
                  <w:sz w:val="18"/>
                  <w:u w:val="single"/>
                </w:rPr>
                <w:t>24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88">
              <w:r>
                <w:rPr>
                  <w:rStyle w:val="InternetLink"/>
                  <w:rFonts w:ascii="Times New Roman;sans-serif" w:hAnsi="Times New Roman;sans-serif"/>
                  <w:b w:val="false"/>
                  <w:color w:val="0000FF"/>
                  <w:sz w:val="18"/>
                  <w:u w:val="single"/>
                </w:rPr>
                <w:t>16. Endeavor Energy Resources, LP Acquisition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88">
              <w:r>
                <w:rPr>
                  <w:rStyle w:val="InternetLink"/>
                  <w:rFonts w:ascii="Times New Roman;sans-serif" w:hAnsi="Times New Roman;sans-serif"/>
                  <w:b w:val="false"/>
                  <w:color w:val="0000FF"/>
                  <w:sz w:val="18"/>
                  <w:u w:val="single"/>
                </w:rPr>
                <w:t>25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91">
              <w:r>
                <w:rPr>
                  <w:rStyle w:val="InternetLink"/>
                  <w:rFonts w:ascii="Times New Roman;sans-serif" w:hAnsi="Times New Roman;sans-serif"/>
                  <w:b w:val="false"/>
                  <w:color w:val="0000FF"/>
                  <w:sz w:val="18"/>
                  <w:u w:val="single"/>
                </w:rPr>
                <w:t>17.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91">
              <w:r>
                <w:rPr>
                  <w:rStyle w:val="InternetLink"/>
                  <w:rFonts w:ascii="Times New Roman;sans-serif" w:hAnsi="Times New Roman;sans-serif"/>
                  <w:b w:val="false"/>
                  <w:color w:val="0000FF"/>
                  <w:sz w:val="18"/>
                  <w:u w:val="single"/>
                </w:rPr>
                <w:t>25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97">
              <w:r>
                <w:rPr>
                  <w:rStyle w:val="InternetLink"/>
                  <w:rFonts w:ascii="Times New Roman;sans-serif" w:hAnsi="Times New Roman;sans-serif"/>
                  <w:b w:val="false"/>
                  <w:color w:val="0000FF"/>
                  <w:sz w:val="18"/>
                  <w:u w:val="single"/>
                </w:rPr>
                <w:t>18.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97">
              <w:r>
                <w:rPr>
                  <w:rStyle w:val="InternetLink"/>
                  <w:rFonts w:ascii="Times New Roman;sans-serif" w:hAnsi="Times New Roman;sans-serif"/>
                  <w:b w:val="false"/>
                  <w:color w:val="0000FF"/>
                  <w:sz w:val="18"/>
                  <w:u w:val="single"/>
                </w:rPr>
                <w:t>26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00">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00">
              <w:r>
                <w:rPr>
                  <w:rStyle w:val="InternetLink"/>
                  <w:rFonts w:ascii="Times New Roman;sans-serif" w:hAnsi="Times New Roman;sans-serif"/>
                  <w:b w:val="false"/>
                  <w:color w:val="0000FF"/>
                  <w:sz w:val="18"/>
                  <w:u w:val="single"/>
                </w:rPr>
                <w:t>28</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57">
              <w:r>
                <w:rPr>
                  <w:rStyle w:val="InternetLink"/>
                  <w:rFonts w:ascii="Times New Roman;sans-serif" w:hAnsi="Times New Roman;sans-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57">
              <w:r>
                <w:rPr>
                  <w:rStyle w:val="InternetLink"/>
                  <w:rFonts w:ascii="Times New Roman;sans-serif" w:hAnsi="Times New Roman;sans-serif"/>
                  <w:b w:val="false"/>
                  <w:color w:val="0000FF"/>
                  <w:sz w:val="18"/>
                  <w:u w:val="single"/>
                </w:rPr>
                <w:t>45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60">
              <w:r>
                <w:rPr>
                  <w:rStyle w:val="InternetLink"/>
                  <w:rFonts w:ascii="Times New Roman;sans-serif" w:hAnsi="Times New Roman;sans-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60">
              <w:r>
                <w:rPr>
                  <w:rStyle w:val="InternetLink"/>
                  <w:rFonts w:ascii="Times New Roman;sans-serif" w:hAnsi="Times New Roman;sans-serif"/>
                  <w:b w:val="false"/>
                  <w:color w:val="0000FF"/>
                  <w:sz w:val="18"/>
                  <w:u w:val="single"/>
                </w:rPr>
                <w:t>46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63">
              <w:r>
                <w:rPr>
                  <w:rStyle w:val="InternetLink"/>
                  <w:rFonts w:ascii="Times New Roman;sans-serif" w:hAnsi="Times New Roman;sans-serif"/>
                  <w:b/>
                  <w:color w:val="0000FF"/>
                  <w:sz w:val="17"/>
                  <w:u w:val="single"/>
                </w:rPr>
                <w:t>PART II. OTHER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66">
              <w:r>
                <w:rPr>
                  <w:rStyle w:val="InternetLink"/>
                  <w:rFonts w:ascii="Times New Roman;sans-serif" w:hAnsi="Times New Roman;sans-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66">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69">
              <w:r>
                <w:rPr>
                  <w:rStyle w:val="InternetLink"/>
                  <w:rFonts w:ascii="Times New Roman;sans-serif" w:hAnsi="Times New Roman;sans-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69">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72">
              <w:r>
                <w:rPr>
                  <w:rStyle w:val="InternetLink"/>
                  <w:rFonts w:ascii="Times New Roman;sans-serif" w:hAnsi="Times New Roman;sans-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72">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75">
              <w:r>
                <w:rPr>
                  <w:rStyle w:val="InternetLink"/>
                  <w:rFonts w:ascii="Times New Roman;sans-serif" w:hAnsi="Times New Roman;sans-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75">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81">
              <w:r>
                <w:rPr>
                  <w:rStyle w:val="InternetLink"/>
                  <w:rFonts w:ascii="Times New Roman;sans-serif" w:hAnsi="Times New Roman;sans-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81">
              <w:r>
                <w:rPr>
                  <w:rStyle w:val="InternetLink"/>
                  <w:rFonts w:ascii="Times New Roman;sans-serif" w:hAnsi="Times New Roman;sans-serif"/>
                  <w:b w:val="false"/>
                  <w:color w:val="0000FF"/>
                  <w:sz w:val="18"/>
                  <w:u w:val="single"/>
                </w:rPr>
                <w:t>48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d673ca5314e499dbfcbf4ce977879cb_184">
              <w:r>
                <w:rPr>
                  <w:rStyle w:val="InternetLink"/>
                  <w:rFonts w:ascii="Times New Roman;sans-serif" w:hAnsi="Times New Roman;sans-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d673ca5314e499dbfcbf4ce977879cb_184">
              <w:r>
                <w:rPr>
                  <w:rStyle w:val="InternetLink"/>
                  <w:rFonts w:ascii="Times New Roman;sans-serif" w:hAnsi="Times New Roman;sans-serif"/>
                  <w:b w:val="false"/>
                  <w:color w:val="0000FF"/>
                  <w:sz w:val="18"/>
                  <w:u w:val="single"/>
                </w:rPr>
                <w:t>49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609"/>
        <w:gridCol w:w="308"/>
        <w:gridCol w:w="309"/>
        <w:gridCol w:w="2871"/>
        <w:gridCol w:w="2518"/>
        <w:gridCol w:w="3590"/>
      </w:tblGrid>
      <w:tr>
        <w:trPr/>
        <w:tc>
          <w:tcPr>
            <w:tcW w:w="6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Houston</w:t>
            </w:r>
          </w:p>
        </w:tc>
        <w:tc>
          <w:tcPr>
            <w:tcW w:w="8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Grade of oil that serves as a benchmark price for oil at Houston, Texas.</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Midland</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Grade of oil that serves as a benchmark price for oil at Midland, Texas.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Basin</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large depression on the earth’s surface in which sediments accumulate.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Bbl or barrel</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stock tank barrel, or 42 U.S. gallons liquid volume, used in this report in reference to crude oil or other liquid hydrocarbons.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BO/d</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crude oil per day.</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oil equivalent, with six thousand cubic feet of natural gas being equivalent to one barrel of oil.</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BOE/d</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BOE per day.</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Brent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major trading classification of light sweet oil that serves as a benchmark price for oil worldwide.</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Completion</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process of treating a drilled well followed by the installation of permanent equipment for the production of natural gas or oil, or in the case of a dry hole, the reporting of abandonment to the appropriate agency.</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Henry Hub</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Natural gas gathering point that serves as a benchmark price for natural gas futures on the NYMEX.</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Horizontal wells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drilled directionally horizontal to allow for development of structures not reachable through traditional vertical drilling mechanisms.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MBbl</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barrels of crude oil and other liquid hydrocarbons.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MBOE/d</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 per day.</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Mcf</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cubic feet of natural gas.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Mineral interests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interests in ownership of the resource and mineral rights, giving an owner the right to profit from the extracted resources.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MMBtu</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million British Thermal Units.</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MMcf</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Million cubic feet of natural gas.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acres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sum of the fractional working interest owned in gross acres.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Tracts of land consisting of properties to be developed for oil and natural gas resource extraction.</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Proved reserves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Reservoir</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porous and permeable underground formation containing a natural accumulation of producible natural gas and/or crude oil that is confined by impermeable rock or water barriers and is separate from other reservoirs.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interest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interest that gives an owner the right to receive a portion of the resources or revenues without having to carry any costs of development, which may be subject to expiration.</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Natural gas gathering point that serves as a benchmark price for natural gas at western Texas and New Mexico.</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Working interest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WTI</w:t>
            </w:r>
          </w:p>
        </w:tc>
        <w:tc>
          <w:tcPr>
            <w:tcW w:w="8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Intermediate, a light sweet blend of oil produced from fields in western Texas and is a grade of oil that serves as a benchmark for oil on the NYMEX.</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509"/>
        <w:gridCol w:w="433"/>
        <w:gridCol w:w="302"/>
        <w:gridCol w:w="2725"/>
        <w:gridCol w:w="2578"/>
        <w:gridCol w:w="3658"/>
      </w:tblGrid>
      <w:tr>
        <w:trPr/>
        <w:tc>
          <w:tcPr>
            <w:tcW w:w="5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4.400% Senior Notes due 2051, 4.250% Senior Notes due 2052, 6.250% Senior Notes due 2053, 5.750% Senior Notes due 2054 and 5.900% Senior Notes due 2064.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w:t>
            </w:r>
          </w:p>
        </w:tc>
        <w:tc>
          <w:tcPr>
            <w:tcW w:w="8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fd673ca5314e499dbfcbf4ce977879cb_169">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for our oil, natural gas and natural gas liquids;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risks related to the pending Endeavor Acquisition (as defined below);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23"/>
        <w:gridCol w:w="2325"/>
        <w:gridCol w:w="2298"/>
        <w:gridCol w:w="229"/>
        <w:gridCol w:w="755"/>
        <w:gridCol w:w="127"/>
        <w:gridCol w:w="127"/>
        <w:gridCol w:w="127"/>
        <w:gridCol w:w="127"/>
        <w:gridCol w:w="229"/>
        <w:gridCol w:w="755"/>
        <w:gridCol w:w="183"/>
      </w:tblGrid>
      <w:tr>
        <w:trPr/>
        <w:tc>
          <w:tcPr>
            <w:tcW w:w="2923"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659"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Oil and natural gas sales, net ($132 million and $109 million related to Viper) </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($8,131 million and $8,659 million excluded from amortization at June 30, 2024 and December 31, 2023, respectively) ($4,568 million and $4,629 million and $1,581 million and $1,769 million excluded from amortization related to Viper)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 ($962 million and $866 million related to Viper)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(17,360)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26,674 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($998 million and $1,083 million related to Viper)</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15)</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178,394,239 and 178,723,871 shares issued and outstanding at June 30, 2024 and December 31, 2023, respectively</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55" w:type="dxa"/>
        <w:jc w:val="left"/>
        <w:tblInd w:w="0" w:type="dxa"/>
        <w:tblLayout w:type="fixed"/>
        <w:tblCellMar>
          <w:top w:w="28" w:type="dxa"/>
          <w:left w:w="28" w:type="dxa"/>
          <w:bottom w:w="28" w:type="dxa"/>
          <w:right w:w="28" w:type="dxa"/>
        </w:tblCellMar>
      </w:tblPr>
      <w:tblGrid>
        <w:gridCol w:w="1703"/>
        <w:gridCol w:w="1495"/>
        <w:gridCol w:w="151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processing and transportation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Purchased oil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178,360 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180,373 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180,373 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178,394 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179,219 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28" w:type="dxa"/>
        <w:jc w:val="left"/>
        <w:tblInd w:w="0" w:type="dxa"/>
        <w:tblLayout w:type="fixed"/>
        <w:tblCellMar>
          <w:top w:w="28" w:type="dxa"/>
          <w:left w:w="28" w:type="dxa"/>
          <w:bottom w:w="28" w:type="dxa"/>
          <w:right w:w="28" w:type="dxa"/>
        </w:tblCellMar>
      </w:tblPr>
      <w:tblGrid>
        <w:gridCol w:w="2505"/>
        <w:gridCol w:w="2196"/>
        <w:gridCol w:w="2214"/>
        <w:gridCol w:w="198"/>
        <w:gridCol w:w="561"/>
        <w:gridCol w:w="110"/>
        <w:gridCol w:w="110"/>
        <w:gridCol w:w="110"/>
        <w:gridCol w:w="110"/>
        <w:gridCol w:w="198"/>
        <w:gridCol w:w="561"/>
        <w:gridCol w:w="155"/>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completions and infrastructure additions to oil and natural gas properties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midstream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senior notes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shares/units under Viper's buyback program</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partial sale of investment in Viper Energy, Inc.</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wholly owned subsidiaries of Diamondback include Diamondback E&amp;P LLC (“Diamondback E&amp;P”), a Delaware limited liability company, Rattler Midstream GP LLC, a Delaware limited liability company, Rattler Midstream LP, a Delaware limited partnership and QEP Resources, Inc., a Delaware corporation.</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Viper Conversion to Corporate Structure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Energy, Inc., and each of the Company’s Class B units representing a limited partnership interest in Viper Energy Partners, LP was converted, on a unit-for-unit basis, into one issued and outstanding, fully paid and nonassessable share of Class B common stock of Viper. At the time of the Conversion, Viper was a “controlled company” under the Nasdaq rules as the Company owned more than 50% of the voting power of Viper’s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 However, the Company determined that it still controls the activities of Viper in accordance with the guidance for variable interest entities in Accounting Standards Codification Topic 810— “Consolidation” (“ASC 810”) and therefore continues to consolidate Viper in the Company’s financial statements at June 30, 2024. See further discussion of the Company’s determination that Viper is a variable interest entity (“VIE”) in Note 2—</w:t>
      </w:r>
      <w:hyperlink w:anchor="ifd673ca5314e499dbfcbf4ce977879cb_43">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The results of operations attributable to the non-controlling interest in Viper are presented within equity and net income and are shown separately from the equity and net income attributable to the Company. As of June 30, 2024, the Company owned approximately 48% of Viper’s combined outstanding Class A common stock and Class B common stock.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2023, which contains a summary of the Company’s significant accounting policies and other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and the Israel-Hamas war, higher interest rates, global supply chain disruptions,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Variable Interest Entity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2023-01, “Leases (Topic 842) – Common Control Arrangements.” This update (i) requires all lessees that are a party to a lease between entities under common control in which there are leasehold improvements to record amortization over the useful life of the leasehold improvements to the common control group, regardless of the lease term, and (ii) requires leasehold improvements to be accounted for as a transfer between entities under common control through an adjustment to equity if, and when, the lessee no longer controls the use of the underlying asset. The Company adopted this update effective January 1, 2024 by electing to apply the guidance in ASU 2023-01 prospectively to all new leasehold improvements recognized on or after January 1, 2024. As such, the adoption of this update did not have a material impact on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9426" w:type="dxa"/>
        <w:jc w:val="left"/>
        <w:tblInd w:w="0" w:type="dxa"/>
        <w:tblLayout w:type="fixed"/>
        <w:tblCellMar>
          <w:top w:w="28" w:type="dxa"/>
          <w:left w:w="28" w:type="dxa"/>
          <w:bottom w:w="28" w:type="dxa"/>
          <w:right w:w="28" w:type="dxa"/>
        </w:tblCellMar>
      </w:tblPr>
      <w:tblGrid>
        <w:gridCol w:w="1585"/>
        <w:gridCol w:w="1389"/>
        <w:gridCol w:w="1406"/>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and marketing services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81"/>
        <w:gridCol w:w="334"/>
        <w:gridCol w:w="267"/>
        <w:gridCol w:w="225"/>
        <w:gridCol w:w="657"/>
        <w:gridCol w:w="116"/>
        <w:gridCol w:w="109"/>
        <w:gridCol w:w="109"/>
        <w:gridCol w:w="109"/>
        <w:gridCol w:w="249"/>
        <w:gridCol w:w="552"/>
        <w:gridCol w:w="130"/>
        <w:gridCol w:w="109"/>
        <w:gridCol w:w="109"/>
        <w:gridCol w:w="109"/>
        <w:gridCol w:w="211"/>
        <w:gridCol w:w="256"/>
        <w:gridCol w:w="109"/>
        <w:gridCol w:w="109"/>
        <w:gridCol w:w="109"/>
        <w:gridCol w:w="109"/>
        <w:gridCol w:w="211"/>
        <w:gridCol w:w="616"/>
        <w:gridCol w:w="109"/>
        <w:gridCol w:w="109"/>
        <w:gridCol w:w="109"/>
        <w:gridCol w:w="109"/>
        <w:gridCol w:w="225"/>
        <w:gridCol w:w="657"/>
        <w:gridCol w:w="116"/>
        <w:gridCol w:w="109"/>
        <w:gridCol w:w="109"/>
        <w:gridCol w:w="109"/>
        <w:gridCol w:w="249"/>
        <w:gridCol w:w="552"/>
        <w:gridCol w:w="130"/>
        <w:gridCol w:w="109"/>
        <w:gridCol w:w="109"/>
        <w:gridCol w:w="109"/>
        <w:gridCol w:w="211"/>
        <w:gridCol w:w="256"/>
        <w:gridCol w:w="109"/>
        <w:gridCol w:w="109"/>
        <w:gridCol w:w="109"/>
        <w:gridCol w:w="109"/>
        <w:gridCol w:w="211"/>
        <w:gridCol w:w="616"/>
        <w:gridCol w:w="161"/>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color w:val="000000"/>
          <w:sz w:val="20"/>
        </w:rPr>
        <w:t>See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 xml:space="preserve">for details on the previously announced plan of merger. The Company had no other material acquisition or divestiture activity during the six months ended June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Viper and Viper LLC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$750 million in cash, including transactions costs and subject to customary post-closing adjustments (the “GRP Acquisition”). The mineral and royalty interests acquired in the GRP Acquisition represent 4,600 net royalty acres in the Permian Basin, plus an additional 2,700 net royalty acres in other major basins. The cash consideration for the GRP Acquisition was funded through a combination of cash on hand and held in escrow, borrowings under the Viper credit agreement, proceeds from Viper’s offering of $400 million in aggregate principal amount of its 7.375% Senior Notes due in 2031 and proceeds from the $200 million common unit issuance to the Company.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to be distributed upon satisfactory settlement of any potential title defects on the acquired properties. The Company released the full amount of the indemnity holdback to Lario during the first quarter of 2024. The cash portion of the consideration for the Lario Acquisition was funded through a combination of cash on hand,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 of the net proceeds from the Company’s offering of 6.250% Senior Notes due 2053 and borrowings under the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condensed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 of Deep Blue Water Assets and Deep Blue 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the Company closed on a joint venture agreement with Five Point Energy LLC (“Five Point”) to form Deep Blue Midland Basin LLC (“Deep Blue”). At closing, the Company contributed certain treated water, fresh water and saltwater disposal assets (the “Deep Blue Water Assets”) with a net carrying value of $702 million, including certain post-closing adjustments, and Five Point contributed $251 million in cash to Deep Blue. In exchange for these contributions, Deep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Blue issued the Company a one-time cash distribution of approximately $516 million and issued to the Company a 30% equity ownership and voting interest, and issued to Five Point a 70% equity ownership and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a separate agreement with Deep Blue, the Company continued to operate the Deep Blue Water Assets on a short-term basis. Five Point agreed to pay the Company approximately $47 million upon the successful transfer of operations to Deep Blue and the Company recorded approximately $43 million as a contingent consideration receivable on the closing date based on the assessed probability of earning the additional consideration. Upon the successful transfer of operations in June 2024, the Company received the full contingent consideration amount of $47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contributed by Five Point to Deep Blue in exchange for its 70% equity ownership and the estimated fair value of contingent consideration to be contributed by Five Point in future years. The Company’s equity method investment in Deep Blue had an initial fair value of $126 million. The Company’s proportionate share of the income or loss from Deep Blue will be recognized on a two-month lag. The Company has recognized an aggregate $13 million loss on the sale of its Deep Blue Water Assets, of which approximately $1 million was recognized during the six months ended June 30, 2024. The loss on the sale of Deep Blue Water Assets is included in the caption “Other operating expenses” in the condensed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part of the transaction, the Company also entered into a 15-year dedication with Deep Blue for its produced water and supply water within a 12-county area of mutual interest in the Midland Basin. See Note 7—</w:t>
      </w:r>
      <w:hyperlink w:anchor="ifd673ca5314e499dbfcbf4ce977879cb_61">
        <w:r>
          <w:rPr>
            <w:rStyle w:val="InternetLink"/>
            <w:rFonts w:ascii="Times New Roman;sans-serif" w:hAnsi="Times New Roman;sans-serif"/>
            <w:b w:val="false"/>
            <w:color w:val="0000FF"/>
            <w:sz w:val="20"/>
            <w:u w:val="single"/>
          </w:rPr>
          <w:t>Related Party Transactions</w:t>
        </w:r>
      </w:hyperlink>
      <w:r>
        <w:rPr>
          <w:color w:val="000000"/>
        </w:rPr>
        <w:t xml:space="preserve"> </w:t>
      </w:r>
      <w:r>
        <w:rPr>
          <w:rFonts w:ascii="Times New Roman;sans-serif" w:hAnsi="Times New Roman;sans-serif"/>
          <w:b w:val="false"/>
          <w:color w:val="000000"/>
          <w:sz w:val="20"/>
        </w:rPr>
        <w:t>for further discussion of transactions with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OMOG Divestiture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divested non-core assets consisting of approximately 4,900 net acres in Ward and Winkler counties to unrelated third-party buyers for $72 million in net cash proceeds, including customary post-closing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Gray Oak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the Company divested its 10% non-operating equity investment in Gray Oak Pipeline, LLC (“Gray Oak”) for $172 million in net cash proceeds and recorded a gain on the sale of equity method investments of approximately $53 million, which is included in the caption “Other income (expense), net” on the condensed consolidated statement of operations for the three and six months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and six months ended June 30, 2024 or 2023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384" w:type="dxa"/>
        <w:jc w:val="left"/>
        <w:tblInd w:w="0" w:type="dxa"/>
        <w:tblLayout w:type="fixed"/>
        <w:tblCellMar>
          <w:top w:w="28" w:type="dxa"/>
          <w:left w:w="28" w:type="dxa"/>
          <w:bottom w:w="28" w:type="dxa"/>
          <w:right w:w="28" w:type="dxa"/>
        </w:tblCellMar>
      </w:tblPr>
      <w:tblGrid>
        <w:gridCol w:w="1489"/>
        <w:gridCol w:w="1309"/>
        <w:gridCol w:w="1312"/>
        <w:gridCol w:w="247"/>
        <w:gridCol w:w="546"/>
        <w:gridCol w:w="127"/>
        <w:gridCol w:w="127"/>
        <w:gridCol w:w="127"/>
        <w:gridCol w:w="127"/>
        <w:gridCol w:w="247"/>
        <w:gridCol w:w="546"/>
        <w:gridCol w:w="180"/>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the Deep Blue transaction discussed in Note 4—</w:t>
      </w:r>
      <w:hyperlink w:anchor="ifd673ca5314e499dbfcbf4ce977879cb_49">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the Company has other significant related party transactions with Deep Blue which include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balances included in the condensed consolidated balance sheet at June 30, 2024 and December 31, 2023:</w:t>
      </w:r>
    </w:p>
    <w:p>
      <w:pPr>
        <w:pStyle w:val="TextBody"/>
        <w:bidi w:val="0"/>
        <w:spacing w:before="0" w:after="0"/>
        <w:ind w:left="0" w:right="0" w:firstLine="720"/>
        <w:jc w:val="both"/>
        <w:rPr/>
      </w:pPr>
      <w:r>
        <w:rPr/>
      </w:r>
    </w:p>
    <w:tbl>
      <w:tblPr>
        <w:tblW w:w="6347" w:type="dxa"/>
        <w:jc w:val="left"/>
        <w:tblInd w:w="0" w:type="dxa"/>
        <w:tblLayout w:type="fixed"/>
        <w:tblCellMar>
          <w:top w:w="28" w:type="dxa"/>
          <w:left w:w="28" w:type="dxa"/>
          <w:bottom w:w="28" w:type="dxa"/>
          <w:right w:w="28" w:type="dxa"/>
        </w:tblCellMar>
      </w:tblPr>
      <w:tblGrid>
        <w:gridCol w:w="1478"/>
        <w:gridCol w:w="1297"/>
        <w:gridCol w:w="1305"/>
        <w:gridCol w:w="211"/>
        <w:gridCol w:w="436"/>
        <w:gridCol w:w="109"/>
        <w:gridCol w:w="109"/>
        <w:gridCol w:w="109"/>
        <w:gridCol w:w="109"/>
        <w:gridCol w:w="336"/>
        <w:gridCol w:w="600"/>
        <w:gridCol w:w="248"/>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Company recorded approximately $29 million and $60 million, respectively, for water services provided by Deep Blue during the completion phase of wells. These costs were capitalized and are included in the caption “Oil and natural gas properties” on the condensed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transactions included in the condensed consolidated statement of operations for the three and six months ended June 30, 2024 and 2023:</w:t>
      </w:r>
    </w:p>
    <w:p>
      <w:pPr>
        <w:pStyle w:val="TextBody"/>
        <w:bidi w:val="0"/>
        <w:spacing w:before="0" w:after="0"/>
        <w:ind w:left="0" w:right="0" w:firstLine="720"/>
        <w:jc w:val="both"/>
        <w:rPr/>
      </w:pPr>
      <w:r>
        <w:rPr/>
      </w:r>
    </w:p>
    <w:tbl>
      <w:tblPr>
        <w:tblW w:w="7170" w:type="dxa"/>
        <w:jc w:val="left"/>
        <w:tblInd w:w="0" w:type="dxa"/>
        <w:tblLayout w:type="fixed"/>
        <w:tblCellMar>
          <w:top w:w="28" w:type="dxa"/>
          <w:left w:w="28" w:type="dxa"/>
          <w:bottom w:w="28" w:type="dxa"/>
          <w:right w:w="28" w:type="dxa"/>
        </w:tblCellMar>
      </w:tblPr>
      <w:tblGrid>
        <w:gridCol w:w="792"/>
        <w:gridCol w:w="697"/>
        <w:gridCol w:w="700"/>
        <w:gridCol w:w="290"/>
        <w:gridCol w:w="496"/>
        <w:gridCol w:w="149"/>
        <w:gridCol w:w="149"/>
        <w:gridCol w:w="149"/>
        <w:gridCol w:w="149"/>
        <w:gridCol w:w="290"/>
        <w:gridCol w:w="558"/>
        <w:gridCol w:w="149"/>
        <w:gridCol w:w="109"/>
        <w:gridCol w:w="109"/>
        <w:gridCol w:w="109"/>
        <w:gridCol w:w="270"/>
        <w:gridCol w:w="462"/>
        <w:gridCol w:w="139"/>
        <w:gridCol w:w="139"/>
        <w:gridCol w:w="139"/>
        <w:gridCol w:w="139"/>
        <w:gridCol w:w="270"/>
        <w:gridCol w:w="520"/>
        <w:gridCol w:w="197"/>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9017" w:type="dxa"/>
        <w:jc w:val="left"/>
        <w:tblInd w:w="0" w:type="dxa"/>
        <w:tblLayout w:type="fixed"/>
        <w:tblCellMar>
          <w:top w:w="28" w:type="dxa"/>
          <w:left w:w="28" w:type="dxa"/>
          <w:bottom w:w="28" w:type="dxa"/>
          <w:right w:w="28" w:type="dxa"/>
        </w:tblCellMar>
      </w:tblPr>
      <w:tblGrid>
        <w:gridCol w:w="2342"/>
        <w:gridCol w:w="2057"/>
        <w:gridCol w:w="2065"/>
        <w:gridCol w:w="211"/>
        <w:gridCol w:w="721"/>
        <w:gridCol w:w="109"/>
        <w:gridCol w:w="109"/>
        <w:gridCol w:w="109"/>
        <w:gridCol w:w="109"/>
        <w:gridCol w:w="255"/>
        <w:gridCol w:w="744"/>
        <w:gridCol w:w="18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Senior Notes due 2054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5.900% Senior Notes due 2064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7.375%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This basis adjustment is being amortized to interest expense over the remaining term of the 2029 Notes utilizing the effective interest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March 6, 2024, Diamondback E&amp;P, as borrower, and Diamondback Energy, Inc., as parent guarantor, entered into a fourteenth amendment to the existing credit agreement, which upon consummation of the pending Endeavor Acquisition (as defined in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will among other things, (i) increase the maximum credit amount from $1.6 billion to $2.5 billion, (ii) decrease the swingline commitments amount from $100 million to $50 million and (iii) make certain amendments to the representations and warranties, affirmative and negative covenants, and events of default. As of June 30, 2024, the Company had no outstanding borrowings under the credit agreement and $1.6 billion available for future borrowings. During the three and six months ended June 30, 2023, the weighted average interest rate on borrowings under the credit agreement was 6.37% and 6.23%, respectively. The credit agreement matures on June 2, 2028.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was in compliance with all financial maintenance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the pending Endeavor Acquisition (as defined in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Diamondback Energy, Inc., as guarantor, entered into a Term Loan Credit Agreement with Diamondback E&amp;P LLC, as borrower, and Citibank, N.A., as administrative agent (the “Term Loan Agreement”) on February 29,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Term Loan Agreement provides the Company with the ability to borrow up to $1.5 billion, which is comprised of $1 billion of Tranche A Loans and $500 million of Tranche B Loans (collectively, the “Term Loans”) on an unsecured basis to pay a portion of the cash consideration for the pending Endeavor Acquisition (as defined in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repay certain debt of Endeavor or pay fees, costs and expenses related to the acquisition. As of June 30, 2024, the Company had no outstanding borrowings under the Term Loan Agreement and $1.5 billion available for future borrowings.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availability of the Term Loans, which have not yet been funded, is subject to the satisfaction of certain limited customary acquisition-financing conditions under the Term Loan Agreement. The Term Loans will be made in a single borrowing on the date of closing of the pending Endeavor Acquisition (as defined in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(the “Closing Date”) and will mature and be payable in full, in the case of the Tranche A Loans, on the first anniversary of the Closing Date and, in the case of the Tranche B Loans, on the second anniversary of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Term Loan Agreement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and 0.250% to 1.125% for Tranche A and Tranche B, respectively, per annum in the case of the alternate base rate, and from 1.125% to 2.000% and 1.250% to 2.125% for Tranche A and Tranche B, respectively,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Bridge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February 11, 2024, in connection with the pending Endeavor Acquisition (as defined in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Diamondback Energy, Inc., as guarantor, obtained commitments of $8.0 billion to a 364-day senior unsecured term loan facility with Diamondback E&amp;P LLC, as borrower, and Citigroup Global Markets Inc., as administrative agent (the “Bridge Facility”). The Bridge Facility was reduced on a dollar-for-dollar basis by the amount of the Term Loan Agreement to $6.5 billion on February 29, 2024 and was further reduced on a dollar-for-dollar basis by the amount of the April 2024 Notes (as defined below) to $1.0 billion. The undrawn Bridge Facility was terminated on June 4, 2024. The Company recorded additional interest expense of $19 million and $28 million during the three and six months ended June 30, 2024, respectively, related to the amortization and write-off of debt issuance costs incurred for the Bridge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Issuance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the Company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The Company received net proceeds of $5.5 billion, including discounts and underwriter fees. Interest on the 2030 Notes is payable semi-annually on January 30 and July 30 of each year, beginning on July 30, 2024. Interest on each other series of notes will be payable semi-annually on April 18 and October 18 of each year, beginning on October 18, 2024. The Company intends to use the net proceeds to fund a portion of the cash consideration for the pending Endeavor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Retirement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the Company opportunistically repurchased principal amounts of $22 million of its 3.125% Senior Notes due 2031 and $6 million of its 3.500% Senior Notes due 2029 for total cash consideration, including accrued interest paid of $25 million. These repurchases resulted in an immaterial gain on extinguishment of debt during the six months ended June 30,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Viper LLC’s credit agreement, as amended to date, provides for a revolving credit facility in the maximum credit amount of $2.0 billion with a borrowing base of $1.3 billion based on Viper LLC’s oil and natural gas reserves and other factors. As of June 30, 2024, the elected commitment amount was $850 million, with $177 million of outstanding borrowings and $673 million available for future borrowings. During the three and six months ended June 30, 2024 and 2023, the weighted average interest rates on borrowings under the Viper credit agreement were 7.63%, 7.52%, 7.53% and 7.24%, respectively. As of June 30, 2024, Viper LLC was in compliance with all financial maintenance covenants under the Viper credit agreement. </w:t>
      </w:r>
      <w:r>
        <w:rPr>
          <w:rFonts w:ascii="Times New Roman;sans-serif" w:hAnsi="Times New Roman;sans-serif"/>
          <w:b w:val="false"/>
          <w:color w:val="000000"/>
          <w:sz w:val="20"/>
          <w:shd w:fill="FFFFFF" w:val="clear"/>
        </w:rPr>
        <w:t>The revolving credit facility will mature on September 22, 2028.</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approved a common stock repurchase program to acquire up to $4.0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June 30, 2024, the Company had no repurchases of common stock under the repurchase program. During the six months ended June 30, 2024 and the three and six months ended June 30, 2023, the Company repurchased, excluding excise tax, approximately $42 million, $321 million and $653 million of common stock under this repurchase program, respectively. As of June 30, 2024, approximately $1.6 billion remained available for use to repurchase shares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34"/>
        <w:gridCol w:w="1651"/>
        <w:gridCol w:w="1663"/>
        <w:gridCol w:w="240"/>
        <w:gridCol w:w="532"/>
        <w:gridCol w:w="124"/>
        <w:gridCol w:w="124"/>
        <w:gridCol w:w="124"/>
        <w:gridCol w:w="124"/>
        <w:gridCol w:w="240"/>
        <w:gridCol w:w="532"/>
        <w:gridCol w:w="124"/>
        <w:gridCol w:w="109"/>
        <w:gridCol w:w="109"/>
        <w:gridCol w:w="109"/>
        <w:gridCol w:w="212"/>
        <w:gridCol w:w="620"/>
        <w:gridCol w:w="109"/>
        <w:gridCol w:w="109"/>
        <w:gridCol w:w="109"/>
        <w:gridCol w:w="109"/>
        <w:gridCol w:w="212"/>
        <w:gridCol w:w="620"/>
        <w:gridCol w:w="166"/>
      </w:tblGrid>
      <w:tr>
        <w:trPr/>
        <w:tc>
          <w:tcPr>
            <w:tcW w:w="21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6353"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11"/>
        <w:gridCol w:w="466"/>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3"/>
        <w:gridCol w:w="1595"/>
        <w:gridCol w:w="1601"/>
        <w:gridCol w:w="259"/>
        <w:gridCol w:w="609"/>
        <w:gridCol w:w="126"/>
        <w:gridCol w:w="126"/>
        <w:gridCol w:w="126"/>
        <w:gridCol w:w="126"/>
        <w:gridCol w:w="259"/>
        <w:gridCol w:w="609"/>
        <w:gridCol w:w="126"/>
        <w:gridCol w:w="109"/>
        <w:gridCol w:w="109"/>
        <w:gridCol w:w="109"/>
        <w:gridCol w:w="213"/>
        <w:gridCol w:w="623"/>
        <w:gridCol w:w="109"/>
        <w:gridCol w:w="109"/>
        <w:gridCol w:w="109"/>
        <w:gridCol w:w="109"/>
        <w:gridCol w:w="213"/>
        <w:gridCol w:w="623"/>
        <w:gridCol w:w="165"/>
      </w:tblGrid>
      <w:tr>
        <w:trPr/>
        <w:tc>
          <w:tcPr>
            <w:tcW w:w="204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shares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shares</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June 30, 2024, approximately 4.7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84"/>
        <w:gridCol w:w="1831"/>
        <w:gridCol w:w="1835"/>
        <w:gridCol w:w="262"/>
        <w:gridCol w:w="448"/>
        <w:gridCol w:w="135"/>
        <w:gridCol w:w="135"/>
        <w:gridCol w:w="135"/>
        <w:gridCol w:w="135"/>
        <w:gridCol w:w="262"/>
        <w:gridCol w:w="448"/>
        <w:gridCol w:w="135"/>
        <w:gridCol w:w="109"/>
        <w:gridCol w:w="109"/>
        <w:gridCol w:w="109"/>
        <w:gridCol w:w="246"/>
        <w:gridCol w:w="422"/>
        <w:gridCol w:w="127"/>
        <w:gridCol w:w="127"/>
        <w:gridCol w:w="127"/>
        <w:gridCol w:w="127"/>
        <w:gridCol w:w="246"/>
        <w:gridCol w:w="422"/>
        <w:gridCol w:w="189"/>
      </w:tblGrid>
      <w:tr>
        <w:trPr/>
        <w:tc>
          <w:tcPr>
            <w:tcW w:w="208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six months ended June 30, 2024 under the Equity Plan:</w:t>
      </w:r>
    </w:p>
    <w:p>
      <w:pPr>
        <w:pStyle w:val="TextBody"/>
        <w:bidi w:val="0"/>
        <w:spacing w:before="0" w:after="0"/>
        <w:ind w:left="0" w:right="0" w:firstLine="720"/>
        <w:jc w:val="both"/>
        <w:rPr/>
      </w:pPr>
      <w:r>
        <w:rPr/>
      </w:r>
    </w:p>
    <w:tbl>
      <w:tblPr>
        <w:tblW w:w="6880" w:type="dxa"/>
        <w:jc w:val="left"/>
        <w:tblInd w:w="0" w:type="dxa"/>
        <w:tblLayout w:type="fixed"/>
        <w:tblCellMar>
          <w:top w:w="28" w:type="dxa"/>
          <w:left w:w="28" w:type="dxa"/>
          <w:bottom w:w="28" w:type="dxa"/>
          <w:right w:w="28" w:type="dxa"/>
        </w:tblCellMar>
      </w:tblPr>
      <w:tblGrid>
        <w:gridCol w:w="978"/>
        <w:gridCol w:w="860"/>
        <w:gridCol w:w="862"/>
        <w:gridCol w:w="454"/>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751,196 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317,818 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(153,045)</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June 30, 2024</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895,601 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six months ended June 30, 2024 was $22 million. As of June 30, 2024, the Company’s unrecognized compensation cost related to unvested restricted stock units was $98 million, which is expected to be recognized over a weighted-average period of 2.1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six months ended June 30, 2024:</w:t>
      </w:r>
    </w:p>
    <w:p>
      <w:pPr>
        <w:pStyle w:val="TextBody"/>
        <w:bidi w:val="0"/>
        <w:spacing w:before="0" w:after="0"/>
        <w:jc w:val="both"/>
        <w:rPr/>
      </w:pPr>
      <w:r>
        <w:rPr/>
      </w:r>
    </w:p>
    <w:tbl>
      <w:tblPr>
        <w:tblW w:w="9222" w:type="dxa"/>
        <w:jc w:val="left"/>
        <w:tblInd w:w="0" w:type="dxa"/>
        <w:tblLayout w:type="fixed"/>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278,056 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110,989 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Unvested at June 30, 2024</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389,045 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923,176 units could be awarded based upon the Company’s final TSR ranking.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unrecognized compensation cost related to unvested performance based restricted stock awards and units was $57 million, which is expected to be recognized over a weighted-average period of 1.8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eligible employees received performance restricted stock unit awards totaling 110,989 units from which a minimum of 0% and a maximum of 200% of the units could be awarded based upon the measurement of total stockholder return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3686"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8479" w:type="dxa"/>
        <w:jc w:val="left"/>
        <w:tblInd w:w="0" w:type="dxa"/>
        <w:tblLayout w:type="fixed"/>
        <w:tblCellMar>
          <w:top w:w="28" w:type="dxa"/>
          <w:left w:w="28" w:type="dxa"/>
          <w:bottom w:w="28" w:type="dxa"/>
          <w:right w:w="28" w:type="dxa"/>
        </w:tblCellMar>
      </w:tblPr>
      <w:tblGrid>
        <w:gridCol w:w="1243"/>
        <w:gridCol w:w="1094"/>
        <w:gridCol w:w="1098"/>
        <w:gridCol w:w="232"/>
        <w:gridCol w:w="512"/>
        <w:gridCol w:w="298"/>
        <w:gridCol w:w="119"/>
        <w:gridCol w:w="119"/>
        <w:gridCol w:w="119"/>
        <w:gridCol w:w="232"/>
        <w:gridCol w:w="512"/>
        <w:gridCol w:w="298"/>
        <w:gridCol w:w="109"/>
        <w:gridCol w:w="109"/>
        <w:gridCol w:w="109"/>
        <w:gridCol w:w="212"/>
        <w:gridCol w:w="468"/>
        <w:gridCol w:w="272"/>
        <w:gridCol w:w="109"/>
        <w:gridCol w:w="109"/>
        <w:gridCol w:w="109"/>
        <w:gridCol w:w="212"/>
        <w:gridCol w:w="468"/>
        <w:gridCol w:w="31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from continuing operations for the three and six months ended June 30, 2024 and 2023 differed from amounts computed by applying the U.S. federal statutory tax rate to pre-tax income primarily due to (i) state income taxes, net of federal benefit, and (ii) the impact of permanent differences between book and taxable income.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Viper maintained a partial valuation allowance against its deferred tax assets, based on its assessment of all available evidence, both positive and negative, supporting realizability of Viper’s deferred tax assets.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public offering of Viper’s Class A common stock and resulting change of ownership in Viper in March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application of the Inflation Reduction Act of 2022 guidance, the Company’s income tax expense for the three and six months ended June 30, 2024 was not impacted by the corporate alternative minimum tax.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any excise tax on its share repurchases, net of share issuances, during the three and six months ended June 30,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has commodity derivative contracts and interest rate swaps outstanding. All derivative financial instruments are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8"/>
        <w:gridCol w:w="350"/>
        <w:gridCol w:w="351"/>
        <w:gridCol w:w="344"/>
        <w:gridCol w:w="344"/>
        <w:gridCol w:w="346"/>
        <w:gridCol w:w="345"/>
        <w:gridCol w:w="336"/>
        <w:gridCol w:w="338"/>
        <w:gridCol w:w="425"/>
        <w:gridCol w:w="354"/>
        <w:gridCol w:w="356"/>
        <w:gridCol w:w="395"/>
        <w:gridCol w:w="395"/>
        <w:gridCol w:w="401"/>
        <w:gridCol w:w="503"/>
        <w:gridCol w:w="503"/>
        <w:gridCol w:w="510"/>
        <w:gridCol w:w="109"/>
        <w:gridCol w:w="157"/>
        <w:gridCol w:w="470"/>
        <w:gridCol w:w="470"/>
        <w:gridCol w:w="482"/>
        <w:gridCol w:w="442"/>
        <w:gridCol w:w="442"/>
        <w:gridCol w:w="639"/>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523" w:type="dxa"/>
            <w:gridSpan w:val="3"/>
            <w:tcBorders/>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$93.66</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$5.57</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$56.32</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$58.46</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$58.43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$58.36</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Jul.</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Jul.</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Jul.</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$57.35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r>
    </w:tbl>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Swaps and Treasury Locks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receive-fixed, pay variable interest rate swap agreements for notional amounts of $600 million which are considered economic hedges of the Company’s $1.2 billion 3.50% fixed rate senior notes due 2029 (the “2029 Notes”).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8—</w:t>
      </w:r>
      <w:hyperlink w:anchor="ifd673ca5314e499dbfcbf4ce977879cb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Treasury Locks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entered into certain treasury lock contracts to reduce the forecasted interest rate risk associated with the issuance of the April 2024 Notes. The treasury locks were terminated and settled upon issuance of the April 2024 Notes with a loss of $25 million recognized in the caption “Gain (loss) on derivative instruments, net” on the condensed consolidated income statement for the three and six months ended June 30,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fd673ca5314e499dbfcbf4ce977879cb_79">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not designated as hedging instruments included in the condensed consolidated statements of operations:</w:t>
      </w:r>
    </w:p>
    <w:p>
      <w:pPr>
        <w:pStyle w:val="TextBody"/>
        <w:bidi w:val="0"/>
        <w:spacing w:before="0" w:after="0"/>
        <w:ind w:left="0" w:right="0" w:firstLine="720"/>
        <w:jc w:val="both"/>
        <w:rPr/>
      </w:pPr>
      <w:r>
        <w:rPr/>
      </w:r>
    </w:p>
    <w:tbl>
      <w:tblPr>
        <w:tblW w:w="8557" w:type="dxa"/>
        <w:jc w:val="left"/>
        <w:tblInd w:w="0" w:type="dxa"/>
        <w:tblLayout w:type="fixed"/>
        <w:tblCellMar>
          <w:top w:w="28" w:type="dxa"/>
          <w:left w:w="28" w:type="dxa"/>
          <w:bottom w:w="28" w:type="dxa"/>
          <w:right w:w="28" w:type="dxa"/>
        </w:tblCellMar>
      </w:tblPr>
      <w:tblGrid>
        <w:gridCol w:w="1270"/>
        <w:gridCol w:w="1118"/>
        <w:gridCol w:w="1121"/>
        <w:gridCol w:w="265"/>
        <w:gridCol w:w="548"/>
        <w:gridCol w:w="137"/>
        <w:gridCol w:w="137"/>
        <w:gridCol w:w="137"/>
        <w:gridCol w:w="137"/>
        <w:gridCol w:w="265"/>
        <w:gridCol w:w="680"/>
        <w:gridCol w:w="137"/>
        <w:gridCol w:w="109"/>
        <w:gridCol w:w="109"/>
        <w:gridCol w:w="109"/>
        <w:gridCol w:w="241"/>
        <w:gridCol w:w="500"/>
        <w:gridCol w:w="125"/>
        <w:gridCol w:w="125"/>
        <w:gridCol w:w="125"/>
        <w:gridCol w:w="125"/>
        <w:gridCol w:w="241"/>
        <w:gridCol w:w="620"/>
        <w:gridCol w:w="176"/>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"i0d77fdad85ad4c5b80695648ad1eb956_193"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June 30, 2024 and December 31,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 and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jc w:val="both"/>
        <w:rPr/>
      </w:pPr>
      <w:r>
        <w:rPr/>
      </w:r>
    </w:p>
    <w:tbl>
      <w:tblPr>
        <w:tblW w:w="5491" w:type="dxa"/>
        <w:jc w:val="left"/>
        <w:tblInd w:w="0" w:type="dxa"/>
        <w:tblLayout w:type="fixed"/>
        <w:tblCellMar>
          <w:top w:w="28" w:type="dxa"/>
          <w:left w:w="28" w:type="dxa"/>
          <w:bottom w:w="28" w:type="dxa"/>
          <w:right w:w="28" w:type="dxa"/>
        </w:tblCellMar>
      </w:tblPr>
      <w:tblGrid>
        <w:gridCol w:w="185"/>
        <w:gridCol w:w="162"/>
        <w:gridCol w:w="16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equity method investments, asset retirement obligations and other long-lived assets that are written down to fair value when they are impaired or held for sale. Refer to Note 4—</w:t>
      </w:r>
      <w:hyperlink w:anchor="ifd673ca5314e499dbfcbf4ce977879cb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fd673ca5314e499dbfcbf4ce977879cb_55">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and cash equivalents, receivables, prepaid expenses and other current assets, payables and other accrued liabilities approximate their fair value because of the short-term nature of the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00"/>
        <w:gridCol w:w="2102"/>
        <w:gridCol w:w="2114"/>
        <w:gridCol w:w="109"/>
        <w:gridCol w:w="109"/>
        <w:gridCol w:w="222"/>
        <w:gridCol w:w="222"/>
        <w:gridCol w:w="432"/>
        <w:gridCol w:w="1109"/>
        <w:gridCol w:w="222"/>
        <w:gridCol w:w="109"/>
        <w:gridCol w:w="109"/>
        <w:gridCol w:w="109"/>
        <w:gridCol w:w="211"/>
        <w:gridCol w:w="466"/>
        <w:gridCol w:w="160"/>
      </w:tblGrid>
      <w:tr>
        <w:trPr/>
        <w:tc>
          <w:tcPr>
            <w:tcW w:w="240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164" w:type="dxa"/>
            <w:gridSpan w:val="6"/>
            <w:tcBorders/>
          </w:tcPr>
          <w:p>
            <w:pPr>
              <w:pStyle w:val="TableContents"/>
              <w:bidi w:val="0"/>
              <w:spacing w:before="0" w:after="283"/>
              <w:jc w:val="left"/>
              <w:rPr>
                <w:sz w:val="4"/>
                <w:szCs w:val="4"/>
              </w:rPr>
            </w:pPr>
            <w:r>
              <w:rPr>
                <w:sz w:val="4"/>
                <w:szCs w:val="4"/>
              </w:rPr>
            </w:r>
          </w:p>
        </w:tc>
      </w:tr>
      <w:tr>
        <w:trPr/>
        <w:tc>
          <w:tcPr>
            <w:tcW w:w="6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16.    ENDEAVOR ENERGY RESOURCES, LP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the Company entered into an Agreement and Plan of Merger (the “Merger Agreement”), by and among the Company, Eclipse Merger Sub I, LLC, Eclipse Merger Sub II, LLC, Endeavor Manager, LLC (solely or purposes of certain sections set forth therein), and Endeavor Parent, LLC (“Endeavor”), to acquire Endeavor (the “Endeavor Acquisition”) for consideration consisting of a base cash amount of $8.0 billion, subject to adjustments under the terms of the Merger Agreement, and approximately 117.27 million shares of the Company’s common stock. The pending Endeavor Acquisition is expected to close in the third or fourth quarter of 2024, subject to regulatory approvals under the Hart-Scott-Rodino Antitrust Improvements Act of 1976, as amended, and the satisfaction or waiver of certain other customary closing conditions. In a special meeting held on April 26, 2024, the Company’s stockholders approved the issuance of the Company’s common stock to Endeavor as consideration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Endeavor Acquisition, equityholders of Endeavor are expected to hold, at closing, approximately 39.5% of the outstanding Company common stock. If the Merger Agreement is terminated under certain circumstances, the Company may be required to pay a termination fee of $1.4 billion, including if the Merger Agreement is terminated because the Company’s board of directors has changed its recommendation in respect of the stockholder proposal relating to approval of the issuance of the Company common stock in the Endeavor Acquisition.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Second Quarter 2024 Dividend Declaration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the board of directors of the Company declared a cash dividend for the second quarter of 2024 of $2.34 per share of common stock, payable on August 22, 2024 to its stockholders of record at the close of business on August 15, 2024. The dividend consists of a base quarterly dividend of $0.90 per share of common stock and a variable quarterly dividend of $1.44 per share of common stock. Future base and variable dividends are at the discretion of the board of directors of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WTG Midstream Transaction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 25% non-operating equity investment in Remuda Midstream Holdings LLC, referred to as the WTG joint venture. On July 15, 2024, the WTG joint venture sold its WTG Midstream LLC subsidiary (the “WTG Midstream transaction”), for which the Company received as its portion of the consideration 10.1 million common units issued by Energy Transfer LP (NYSE: ET) and $190 million in cash, subject to customary post-close adjustments. Of the 10.1 million common units received, approximately 4.1 million is held in escrow pursuant to a separate escrow agreement. The Company is currently evaluating the financial impact that this transaction will have on its operating results for the third quarter of 2024. The Company intends to use its net proceeds from the WTG Midstream transaction to reduce debt associated with the pending Endeavor Acquisition.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The sources of the revenue included in the “All Other” category include midstream gathering, compression, water handling, disposal and treatment operations which are primarily derived from intersegment transactions for services provided to the upstream segment. The segments comprise the structure used by the Company’s Chief Operating Decision Maker (“CODM”) to make key operating decisions and assess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ind w:left="0" w:right="0" w:firstLine="720"/>
        <w:jc w:val="both"/>
        <w:rPr/>
      </w:pPr>
      <w:r>
        <w:rPr/>
      </w:r>
    </w:p>
    <w:tbl>
      <w:tblPr>
        <w:tblW w:w="10059" w:type="dxa"/>
        <w:jc w:val="left"/>
        <w:tblInd w:w="0" w:type="dxa"/>
        <w:tblLayout w:type="fixed"/>
        <w:tblCellMar>
          <w:top w:w="28" w:type="dxa"/>
          <w:left w:w="28" w:type="dxa"/>
          <w:bottom w:w="28" w:type="dxa"/>
          <w:right w:w="28" w:type="dxa"/>
        </w:tblCellMar>
      </w:tblPr>
      <w:tblGrid>
        <w:gridCol w:w="1786"/>
        <w:gridCol w:w="1567"/>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6"/>
        <w:gridCol w:w="1567"/>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fd673ca5314e499dbfcbf4ce977879cb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18—</w:t>
      </w:r>
      <w:hyperlink w:anchor="ifd673ca5314e499dbfcbf4ce977879cb_97">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of the condensed notes to the consolidated financial statements, as of June 30, 2024,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Second Quarter 2024 Financial and Operating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Recorded net income of $837 million.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Paid dividends to stockholders of $352 million during the second quarter of 2024 and declared a combined base and variable dividend payable in the third quarter of 2024 of $2.34 per share of common stock.</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Had no repurchases of our common stock, leaving approximately $1.6 billion available for future purchases under our common stock repurchase program at June 30, 2024.</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cash operating costs were $11.67 per BOE, including lease operating expenses of $5.88 per BOE, cash general and administrative expenses of $0.63 per BOE and production and ad valorem taxes and gathering, processing and transportation expenses of $5.16 per BOE.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474.7 MBOE/d.</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Drilled 71 gross horizontal wells in the Midland Basin and nine gross horizontal wells in the Delaware Basin, and turned 86 gross operated horizontal wells (79 in the Midland Basin and seven in the Delaware Basin) to production.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$637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WTG Midstream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2024, the WTG joint venture completed the WTG Midstream transaction, and in connection with that closing we received 10.1 million common units of Energy Transfer LP and $190 million in cash, subject to customary adjustments. Of the 10.1 million common units received, approximately 4.1 million is held in escrow pursuant to a separate escrow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17—</w:t>
      </w:r>
      <w:hyperlink w:anchor="ifd673ca5314e499dbfcbf4ce977879cb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WTG Midstream transaction.</w:t>
      </w:r>
    </w:p>
    <w:p>
      <w:pPr>
        <w:pStyle w:val="TextBody"/>
        <w:bidi w:val="0"/>
        <w:spacing w:before="0" w:after="0"/>
        <w:jc w:val="both"/>
        <w:rPr/>
      </w:pPr>
      <w:r>
        <w:rPr/>
      </w:r>
    </w:p>
    <w:p>
      <w:pPr>
        <w:pStyle w:val="TextBody"/>
        <w:bidi w:val="0"/>
        <w:spacing w:lineRule="auto" w:line="264" w:before="0" w:after="0"/>
        <w:jc w:val="left"/>
        <w:rPr>
          <w:rFonts w:ascii="Times New Roman;sans-serif" w:hAnsi="Times New Roman;sans-serif"/>
          <w:b/>
          <w:i/>
          <w:color w:val="000000"/>
          <w:sz w:val="20"/>
        </w:rPr>
      </w:pPr>
      <w:r>
        <w:rPr>
          <w:rFonts w:ascii="Times New Roman;sans-serif" w:hAnsi="Times New Roman;sans-serif"/>
          <w:b/>
          <w:i/>
          <w:color w:val="000000"/>
          <w:sz w:val="20"/>
        </w:rPr>
        <w:t>Pending 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we entered into the Merger Agreement to acquire Endeavor for consideration consisting of a base cash amount of $8.0 billion, subject to adjustments under the terms of the Merger Agreement, and approximately 117.27 million shares of our common stock. The pending Endeavor Acquisition is expected to close in the third or fourth quarter of 2024, subject to regulatory approvals under the Hart-Scott-Rodino Antitrust Improvements Act of 1976, as amended, and the satisfaction or waiver of certain other customary closing conditions. As a result of the pending Endeavor Acquisition, the Endeavor Stockholders are expected to hold, at closing, approximately 39.5% of our outstanding common stock. In a special meeting held on April 26, 2024, our stockholders approved the issuance of our common stock to Endeavor as consideration for the 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pending Endeavor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the six months ended 2024 and 2023, WTI prices averaged $78.81 and $74.77 per Bbl, respectively, and Henry Hub prices averaged $2.21 and $2.54 per MMBtu, respectively.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fd673ca5314e499dbfcbf4ce977879cb_157">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approximately 484,992 net acres, which primarily consisted of approximately 347,417 net acres in the Midland Basin and 137,255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8684" w:type="dxa"/>
        <w:jc w:val="left"/>
        <w:tblInd w:w="0" w:type="dxa"/>
        <w:tblLayout w:type="fixed"/>
        <w:tblCellMar>
          <w:top w:w="28" w:type="dxa"/>
          <w:left w:w="28" w:type="dxa"/>
          <w:bottom w:w="28" w:type="dxa"/>
          <w:right w:w="28" w:type="dxa"/>
        </w:tblCellMar>
      </w:tblPr>
      <w:tblGrid>
        <w:gridCol w:w="497"/>
        <w:gridCol w:w="439"/>
        <w:gridCol w:w="443"/>
        <w:gridCol w:w="185"/>
        <w:gridCol w:w="185"/>
        <w:gridCol w:w="186"/>
        <w:gridCol w:w="135"/>
        <w:gridCol w:w="135"/>
        <w:gridCol w:w="135"/>
        <w:gridCol w:w="182"/>
        <w:gridCol w:w="179"/>
        <w:gridCol w:w="135"/>
        <w:gridCol w:w="135"/>
        <w:gridCol w:w="135"/>
        <w:gridCol w:w="135"/>
        <w:gridCol w:w="196"/>
        <w:gridCol w:w="179"/>
        <w:gridCol w:w="181"/>
        <w:gridCol w:w="135"/>
        <w:gridCol w:w="135"/>
        <w:gridCol w:w="135"/>
        <w:gridCol w:w="182"/>
        <w:gridCol w:w="179"/>
        <w:gridCol w:w="135"/>
        <w:gridCol w:w="109"/>
        <w:gridCol w:w="109"/>
        <w:gridCol w:w="109"/>
        <w:gridCol w:w="233"/>
        <w:gridCol w:w="233"/>
        <w:gridCol w:w="186"/>
        <w:gridCol w:w="125"/>
        <w:gridCol w:w="125"/>
        <w:gridCol w:w="125"/>
        <w:gridCol w:w="233"/>
        <w:gridCol w:w="233"/>
        <w:gridCol w:w="126"/>
        <w:gridCol w:w="125"/>
        <w:gridCol w:w="125"/>
        <w:gridCol w:w="125"/>
        <w:gridCol w:w="243"/>
        <w:gridCol w:w="223"/>
        <w:gridCol w:w="181"/>
        <w:gridCol w:w="125"/>
        <w:gridCol w:w="125"/>
        <w:gridCol w:w="125"/>
        <w:gridCol w:w="233"/>
        <w:gridCol w:w="233"/>
        <w:gridCol w:w="177"/>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(2)</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lateral length for the wells completed during the second quarter of 2024 was 11,203 feet. Operated completions during the second quarter of 2024 consisted of 21 Lower Spraberry wells, 20 Wolfcamp A wells, 16 Wolfcamp B wells, 10 Middle Spraberry wells, nine Jo Mill wells, five Dean wells, three Wolfcamp D wells, one Second Bone Spring well and one Barnett well.</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lateral length for the wells completed during the first six months of 2024 was 11,343 feet. Operated completions during the first six months of 2024 consisted of 51 Lower Spraberry wells, 39 Wolfcamp A wells, 31 Wolfcamp B wells, 25 Jo Mill wells, 22 Middle Spraberry wells, nine Wolfcamp D wells, five Dean wells, three Upper Spraberry wells, one Second Bone Spring well and one Barnett well.</w:t>
      </w:r>
    </w:p>
    <w:p>
      <w:pPr>
        <w:pStyle w:val="TextBody"/>
        <w:bidi w:val="0"/>
        <w:spacing w:before="100" w:after="283"/>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held interests in 18,899 gross (5,413 net) wells, including 503 gross (77 net) wells in which we have a non-operated working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Guidance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raising the midpoints of both total and net oil production for the full year 2024 due to production outperformance year-to-date. Additionally, we are lowering the midpoint for capital expenditures as well as increasing activity levels for the full year 2024 due to continued cost control and efficiency gains,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which do not take into account the pending Endeavor Acquisition, of certain financial and operating results for the full year of 2024, as well as production and cash tax guidance for the third quarter of 2024:</w:t>
      </w:r>
    </w:p>
    <w:p>
      <w:pPr>
        <w:pStyle w:val="TextBody"/>
        <w:bidi w:val="0"/>
        <w:spacing w:before="0" w:after="0"/>
        <w:ind w:left="0" w:right="0" w:firstLine="720"/>
        <w:jc w:val="both"/>
        <w:rPr/>
      </w:pPr>
      <w:r>
        <w:rPr/>
      </w:r>
    </w:p>
    <w:tbl>
      <w:tblPr>
        <w:tblW w:w="7620" w:type="dxa"/>
        <w:jc w:val="left"/>
        <w:tblInd w:w="0" w:type="dxa"/>
        <w:tblLayout w:type="fixed"/>
        <w:tblCellMar>
          <w:top w:w="28" w:type="dxa"/>
          <w:left w:w="28" w:type="dxa"/>
          <w:bottom w:w="28" w:type="dxa"/>
          <w:right w:w="28" w:type="dxa"/>
        </w:tblCellMar>
      </w:tblPr>
      <w:tblGrid>
        <w:gridCol w:w="1561"/>
        <w:gridCol w:w="1370"/>
        <w:gridCol w:w="1374"/>
        <w:gridCol w:w="969"/>
        <w:gridCol w:w="969"/>
        <w:gridCol w:w="1377"/>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462 - 470 (from 458 - 466)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273 - 276 (from 270 - 275)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Q3 2024 oil production - MBO/d (total - MBOE/d)</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271 - 275 (459 - 466)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(Unit costs $/BOE):</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$5.90 - $6.40 (from $6.00 - $6.50)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$0.55 - $0.65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$10.75 - $11.50 (from $10.50 - $11.50)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$0.65 - $0.90 (from $1.65 - $1.85)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$1.80 - $2.00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- 18%</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Q3 2024 cash taxes (in millions)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$220 - $260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March 31,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fd673ca5314e499dbfcbf4ce977879cb_112">
        <w:r>
          <w:rPr>
            <w:rStyle w:val="InternetLink"/>
            <w:rFonts w:ascii="Times New Roman;sans-serif" w:hAnsi="Times New Roman;sans-serif"/>
            <w:b w:val="false"/>
            <w:i/>
            <w:color w:val="0000FF"/>
            <w:sz w:val="20"/>
            <w:u w:val="single"/>
          </w:rPr>
          <w:t>Commodity Prices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June 30, 2024 and March 31, 2024:</w:t>
      </w:r>
    </w:p>
    <w:p>
      <w:pPr>
        <w:pStyle w:val="TextBody"/>
        <w:bidi w:val="0"/>
        <w:spacing w:before="0" w:after="0"/>
        <w:ind w:left="0" w:right="0" w:firstLine="720"/>
        <w:jc w:val="both"/>
        <w:rPr/>
      </w:pPr>
      <w:r>
        <w:rPr/>
      </w:r>
    </w:p>
    <w:tbl>
      <w:tblPr>
        <w:tblW w:w="7195" w:type="dxa"/>
        <w:jc w:val="left"/>
        <w:tblInd w:w="0" w:type="dxa"/>
        <w:tblLayout w:type="fixed"/>
        <w:tblCellMar>
          <w:top w:w="28" w:type="dxa"/>
          <w:left w:w="28" w:type="dxa"/>
          <w:bottom w:w="28" w:type="dxa"/>
          <w:right w:w="28" w:type="dxa"/>
        </w:tblCellMar>
      </w:tblPr>
      <w:tblGrid>
        <w:gridCol w:w="1587"/>
        <w:gridCol w:w="1391"/>
        <w:gridCol w:w="1402"/>
        <w:gridCol w:w="260"/>
        <w:gridCol w:w="760"/>
        <w:gridCol w:w="134"/>
        <w:gridCol w:w="109"/>
        <w:gridCol w:w="109"/>
        <w:gridCol w:w="109"/>
        <w:gridCol w:w="287"/>
        <w:gridCol w:w="838"/>
        <w:gridCol w:w="20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June 30, 2024 and March 31, 2024:</w:t>
      </w:r>
    </w:p>
    <w:p>
      <w:pPr>
        <w:pStyle w:val="TextBody"/>
        <w:bidi w:val="0"/>
        <w:spacing w:before="0" w:after="0"/>
        <w:ind w:left="0" w:right="0" w:firstLine="720"/>
        <w:jc w:val="both"/>
        <w:rPr/>
      </w:pPr>
      <w:r>
        <w:rPr/>
      </w:r>
    </w:p>
    <w:tbl>
      <w:tblPr>
        <w:tblW w:w="5295" w:type="dxa"/>
        <w:jc w:val="left"/>
        <w:tblInd w:w="0" w:type="dxa"/>
        <w:tblLayout w:type="fixed"/>
        <w:tblCellMar>
          <w:top w:w="28" w:type="dxa"/>
          <w:left w:w="28" w:type="dxa"/>
          <w:bottom w:w="28" w:type="dxa"/>
          <w:right w:w="28" w:type="dxa"/>
        </w:tblCellMar>
      </w:tblPr>
      <w:tblGrid>
        <w:gridCol w:w="857"/>
        <w:gridCol w:w="753"/>
        <w:gridCol w:w="760"/>
        <w:gridCol w:w="257"/>
        <w:gridCol w:w="257"/>
        <w:gridCol w:w="641"/>
        <w:gridCol w:w="145"/>
        <w:gridCol w:w="145"/>
        <w:gridCol w:w="145"/>
        <w:gridCol w:w="272"/>
        <w:gridCol w:w="272"/>
        <w:gridCol w:w="79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tbl>
      <w:tblPr>
        <w:tblW w:w="10326"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 and High Plains for the three months ended June 30, 2024 and March 31, 2024, and Eagle Ford Shale, Appalachia, Barnett, Denver-Julesburg, Mid-Con, and Williston through May 1, 2024, the effective date on which they were divested.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second quarter of 2024 increased by $73 million to $2.2 billion compared to the first quarter of 2024. The increase consisted of (i) an additional $35 million attributable to higher average prices received for our oil production, partially offset by declines in the average prices for our natural gas and natural gas liquids production, and (ii) an additional $38 million attributable to the 3% increase in our combined volumes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We have entered into purchase transactions and separate sales transactions with third parties to satisfy certain of our unused oil pipeline capacity commitments. The following table presents the net sales of purchased oil from third parties for the three months ended June 30, 2024 and March 31, 2024:</w:t>
      </w:r>
    </w:p>
    <w:p>
      <w:pPr>
        <w:pStyle w:val="TextBody"/>
        <w:bidi w:val="0"/>
        <w:spacing w:before="0" w:after="0"/>
        <w:ind w:left="0" w:right="0" w:firstLine="720"/>
        <w:jc w:val="both"/>
        <w:rPr/>
      </w:pPr>
      <w:r>
        <w:rPr/>
      </w:r>
    </w:p>
    <w:tbl>
      <w:tblPr>
        <w:tblW w:w="5007" w:type="dxa"/>
        <w:jc w:val="left"/>
        <w:tblInd w:w="0" w:type="dxa"/>
        <w:tblLayout w:type="fixed"/>
        <w:tblCellMar>
          <w:top w:w="28" w:type="dxa"/>
          <w:left w:w="28" w:type="dxa"/>
          <w:bottom w:w="28" w:type="dxa"/>
          <w:right w:w="28" w:type="dxa"/>
        </w:tblCellMar>
      </w:tblPr>
      <w:tblGrid>
        <w:gridCol w:w="793"/>
        <w:gridCol w:w="695"/>
        <w:gridCol w:w="702"/>
        <w:gridCol w:w="310"/>
        <w:gridCol w:w="685"/>
        <w:gridCol w:w="160"/>
        <w:gridCol w:w="109"/>
        <w:gridCol w:w="109"/>
        <w:gridCol w:w="109"/>
        <w:gridCol w:w="339"/>
        <w:gridCol w:w="749"/>
        <w:gridCol w:w="247"/>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June 30, 2024 and March 31, 2024:</w:t>
      </w:r>
    </w:p>
    <w:p>
      <w:pPr>
        <w:pStyle w:val="TextBody"/>
        <w:bidi w:val="0"/>
        <w:spacing w:before="0" w:after="0"/>
        <w:ind w:left="0" w:right="0" w:firstLine="720"/>
        <w:jc w:val="both"/>
        <w:rPr/>
      </w:pPr>
      <w:r>
        <w:rPr/>
      </w:r>
    </w:p>
    <w:tbl>
      <w:tblPr>
        <w:tblW w:w="4890" w:type="dxa"/>
        <w:jc w:val="left"/>
        <w:tblInd w:w="0" w:type="dxa"/>
        <w:tblLayout w:type="fixed"/>
        <w:tblCellMar>
          <w:top w:w="28" w:type="dxa"/>
          <w:left w:w="28" w:type="dxa"/>
          <w:bottom w:w="28" w:type="dxa"/>
          <w:right w:w="28" w:type="dxa"/>
        </w:tblCellMar>
      </w:tblPr>
      <w:tblGrid>
        <w:gridCol w:w="738"/>
        <w:gridCol w:w="648"/>
        <w:gridCol w:w="654"/>
        <w:gridCol w:w="423"/>
        <w:gridCol w:w="514"/>
        <w:gridCol w:w="218"/>
        <w:gridCol w:w="120"/>
        <w:gridCol w:w="120"/>
        <w:gridCol w:w="120"/>
        <w:gridCol w:w="388"/>
        <w:gridCol w:w="664"/>
        <w:gridCol w:w="28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June 30, 2024 and March 31, 2024:</w:t>
      </w:r>
    </w:p>
    <w:p>
      <w:pPr>
        <w:pStyle w:val="TextBody"/>
        <w:bidi w:val="0"/>
        <w:spacing w:before="0" w:after="0"/>
        <w:ind w:left="0" w:right="0" w:firstLine="720"/>
        <w:jc w:val="both"/>
        <w:rPr/>
      </w:pPr>
      <w:r>
        <w:rPr/>
      </w:r>
    </w:p>
    <w:tbl>
      <w:tblPr>
        <w:tblW w:w="8206"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decreased in total and on a per BOE basis for the second quarter of 2024 compared to the first quarter of 2024 primarily due to a $16 million reduction in workover expense in the second quarter of 2024. This adjustment was largely offset by (i) a $7 million increase from higher production volumes, (ii) $5 million in increased spend on electrical generation and disposal related costs, and (iii) other individually insignificant changes.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June 30, 2024 and March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However, due to the settlement of an ongoing audit of production taxes from historical periods, the first quarter of 2024 includes a refund of $17 million, which reduced production taxes as a percentage of revenue for that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remained relatively flat during the second quarter of 2024 compared to the first quarter of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three months ended June 30, 2024 and March 31, 2024:</w:t>
      </w:r>
    </w:p>
    <w:p>
      <w:pPr>
        <w:pStyle w:val="TextBody"/>
        <w:bidi w:val="0"/>
        <w:spacing w:before="0" w:after="0"/>
        <w:ind w:left="0" w:right="0" w:firstLine="720"/>
        <w:jc w:val="both"/>
        <w:rPr/>
      </w:pPr>
      <w:r>
        <w:rPr/>
      </w:r>
    </w:p>
    <w:tbl>
      <w:tblPr>
        <w:tblW w:w="8482" w:type="dxa"/>
        <w:jc w:val="left"/>
        <w:tblInd w:w="0" w:type="dxa"/>
        <w:tblLayout w:type="fixed"/>
        <w:tblCellMar>
          <w:top w:w="28" w:type="dxa"/>
          <w:left w:w="28" w:type="dxa"/>
          <w:bottom w:w="28" w:type="dxa"/>
          <w:right w:w="28" w:type="dxa"/>
        </w:tblCellMar>
      </w:tblPr>
      <w:tblGrid>
        <w:gridCol w:w="1237"/>
        <w:gridCol w:w="1087"/>
        <w:gridCol w:w="1096"/>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09"/>
        <w:gridCol w:w="109"/>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is primarily attributable to the growth in production volumes in the second quarter of 2024 compared to the first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June 30, 2024 and March 31, 2024:</w:t>
      </w:r>
    </w:p>
    <w:p>
      <w:pPr>
        <w:pStyle w:val="TextBody"/>
        <w:bidi w:val="0"/>
        <w:spacing w:before="0" w:after="0"/>
        <w:ind w:left="0" w:right="0" w:firstLine="720"/>
        <w:jc w:val="both"/>
        <w:rPr/>
      </w:pPr>
      <w:r>
        <w:rPr/>
      </w:r>
    </w:p>
    <w:tbl>
      <w:tblPr>
        <w:tblW w:w="8080" w:type="dxa"/>
        <w:jc w:val="left"/>
        <w:tblInd w:w="0" w:type="dxa"/>
        <w:tblLayout w:type="fixed"/>
        <w:tblCellMar>
          <w:top w:w="28" w:type="dxa"/>
          <w:left w:w="28" w:type="dxa"/>
          <w:bottom w:w="28" w:type="dxa"/>
          <w:right w:w="28" w:type="dxa"/>
        </w:tblCellMar>
      </w:tblPr>
      <w:tblGrid>
        <w:gridCol w:w="1905"/>
        <w:gridCol w:w="1673"/>
        <w:gridCol w:w="1687"/>
        <w:gridCol w:w="260"/>
        <w:gridCol w:w="760"/>
        <w:gridCol w:w="134"/>
        <w:gridCol w:w="109"/>
        <w:gridCol w:w="109"/>
        <w:gridCol w:w="109"/>
        <w:gridCol w:w="287"/>
        <w:gridCol w:w="838"/>
        <w:gridCol w:w="20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of proved oil and natural gas properties of $13 million for the second quarter of 2024 compared to the first quarter of 2024 is due to the growth in production volumes.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June 30, 2024 and March 31, 2024:</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in the second quarter of 2024 compared to the first quarter of 2024 primarily due to reductions of $2 million in compensation and benefits costs and $2 million in professional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operating costs and expenses for the three months ended June 30, 2024 and March 31, 2024:</w:t>
      </w:r>
    </w:p>
    <w:p>
      <w:pPr>
        <w:pStyle w:val="TextBody"/>
        <w:bidi w:val="0"/>
        <w:spacing w:before="0" w:after="0"/>
        <w:ind w:left="0" w:right="0" w:firstLine="720"/>
        <w:jc w:val="both"/>
        <w:rPr/>
      </w:pPr>
      <w:r>
        <w:rPr/>
      </w:r>
    </w:p>
    <w:tbl>
      <w:tblPr>
        <w:tblW w:w="6038" w:type="dxa"/>
        <w:jc w:val="left"/>
        <w:tblInd w:w="0" w:type="dxa"/>
        <w:tblLayout w:type="fixed"/>
        <w:tblCellMar>
          <w:top w:w="28" w:type="dxa"/>
          <w:left w:w="28" w:type="dxa"/>
          <w:bottom w:w="28" w:type="dxa"/>
          <w:right w:w="28" w:type="dxa"/>
        </w:tblCellMar>
      </w:tblPr>
      <w:tblGrid>
        <w:gridCol w:w="1004"/>
        <w:gridCol w:w="881"/>
        <w:gridCol w:w="889"/>
        <w:gridCol w:w="358"/>
        <w:gridCol w:w="613"/>
        <w:gridCol w:w="184"/>
        <w:gridCol w:w="113"/>
        <w:gridCol w:w="113"/>
        <w:gridCol w:w="113"/>
        <w:gridCol w:w="399"/>
        <w:gridCol w:w="684"/>
        <w:gridCol w:w="206"/>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Merger and integration expenses in the first and second quarters of 2024 include costs associated with the stockholder vote and regulatory review process for the pending Endeavor Acquisition. See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the 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June 30, 2024 and March 31, 2024:</w:t>
      </w:r>
    </w:p>
    <w:p>
      <w:pPr>
        <w:pStyle w:val="TextBody"/>
        <w:bidi w:val="0"/>
        <w:spacing w:before="0" w:after="0"/>
        <w:ind w:left="0" w:right="0" w:firstLine="720"/>
        <w:jc w:val="both"/>
        <w:rPr/>
      </w:pPr>
      <w:r>
        <w:rPr/>
      </w:r>
    </w:p>
    <w:tbl>
      <w:tblPr>
        <w:tblW w:w="6264" w:type="dxa"/>
        <w:jc w:val="left"/>
        <w:tblInd w:w="0" w:type="dxa"/>
        <w:tblLayout w:type="fixed"/>
        <w:tblCellMar>
          <w:top w:w="28" w:type="dxa"/>
          <w:left w:w="28" w:type="dxa"/>
          <w:bottom w:w="28" w:type="dxa"/>
          <w:right w:w="28" w:type="dxa"/>
        </w:tblCellMar>
      </w:tblPr>
      <w:tblGrid>
        <w:gridCol w:w="1248"/>
        <w:gridCol w:w="1093"/>
        <w:gridCol w:w="1108"/>
        <w:gridCol w:w="322"/>
        <w:gridCol w:w="666"/>
        <w:gridCol w:w="166"/>
        <w:gridCol w:w="109"/>
        <w:gridCol w:w="109"/>
        <w:gridCol w:w="109"/>
        <w:gridCol w:w="351"/>
        <w:gridCol w:w="727"/>
        <w:gridCol w:w="256"/>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gain (loss) on derivative instruments for the second quarter of 2024 compared to the first quarter of 2024 primarily reflects (i) a net increase in the value of interest rate swaps of $21 million due primarily to a decrease in future SOFR rates of $48 million offset by cash paid for the semi-annual cash settlement of $27 million in June 2024, (ii) a net increase in the value of our commodity contracts of $70 million primarily due to an increase of $29 million in cash received on settlements of natural gas contracts, and lower future market prices for oil compared to our contract prices, and (iii) cash payments of $25 million to settle treasury lock contracts associated with the issuance of the April 2024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12—</w:t>
      </w:r>
      <w:hyperlink w:anchor="ifd673ca5314e499dbfcbf4ce977879cb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June 30, 2024 and March 31, 2024:</w:t>
      </w:r>
    </w:p>
    <w:p>
      <w:pPr>
        <w:pStyle w:val="TextBody"/>
        <w:bidi w:val="0"/>
        <w:spacing w:before="0" w:after="0"/>
        <w:ind w:left="0" w:right="0" w:firstLine="720"/>
        <w:jc w:val="both"/>
        <w:rPr/>
      </w:pPr>
      <w:r>
        <w:rPr/>
      </w:r>
    </w:p>
    <w:tbl>
      <w:tblPr>
        <w:tblW w:w="6806" w:type="dxa"/>
        <w:jc w:val="left"/>
        <w:tblInd w:w="0" w:type="dxa"/>
        <w:tblLayout w:type="fixed"/>
        <w:tblCellMar>
          <w:top w:w="28" w:type="dxa"/>
          <w:left w:w="28" w:type="dxa"/>
          <w:bottom w:w="28" w:type="dxa"/>
          <w:right w:w="28" w:type="dxa"/>
        </w:tblCellMar>
      </w:tblPr>
      <w:tblGrid>
        <w:gridCol w:w="1287"/>
        <w:gridCol w:w="1129"/>
        <w:gridCol w:w="1138"/>
        <w:gridCol w:w="322"/>
        <w:gridCol w:w="666"/>
        <w:gridCol w:w="166"/>
        <w:gridCol w:w="109"/>
        <w:gridCol w:w="109"/>
        <w:gridCol w:w="109"/>
        <w:gridCol w:w="360"/>
        <w:gridCol w:w="744"/>
        <w:gridCol w:w="186"/>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second quarter of 2024 compared to the first quarter of 2024 primarily consists of (i) an additional $61 million in interest expense on senior notes due to the issuance of the April 2024 Notes, and (ii) an increase of $10 million in amortization of debt issuance costs primarily related to the termination of our Bridge Facility. These increases were partially offset by an additional $63 million in interest income due to holding funds raised for the pending Endeavor Acquisition in cash in short-term interest bearing accounts during the second quarter of 2024, and $4 million due to an increase in capitalized interest costs, which reduces 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8—</w:t>
      </w:r>
      <w:hyperlink w:anchor="ifd673ca5314e499dbfcbf4ce977879cb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 and gain (loss) on extinguishment of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June 30, 2024 and March 31, 2024:</w:t>
      </w:r>
    </w:p>
    <w:p>
      <w:pPr>
        <w:pStyle w:val="TextBody"/>
        <w:bidi w:val="0"/>
        <w:spacing w:before="0" w:after="0"/>
        <w:ind w:left="0" w:right="0" w:firstLine="720"/>
        <w:jc w:val="both"/>
        <w:rPr/>
      </w:pPr>
      <w:r>
        <w:rPr/>
      </w:r>
    </w:p>
    <w:tbl>
      <w:tblPr>
        <w:tblW w:w="6252" w:type="dxa"/>
        <w:jc w:val="left"/>
        <w:tblInd w:w="0" w:type="dxa"/>
        <w:tblLayout w:type="fixed"/>
        <w:tblCellMar>
          <w:top w:w="28" w:type="dxa"/>
          <w:left w:w="28" w:type="dxa"/>
          <w:bottom w:w="28" w:type="dxa"/>
          <w:right w:w="28" w:type="dxa"/>
        </w:tblCellMar>
      </w:tblPr>
      <w:tblGrid>
        <w:gridCol w:w="1243"/>
        <w:gridCol w:w="1091"/>
        <w:gridCol w:w="1101"/>
        <w:gridCol w:w="310"/>
        <w:gridCol w:w="685"/>
        <w:gridCol w:w="160"/>
        <w:gridCol w:w="109"/>
        <w:gridCol w:w="109"/>
        <w:gridCol w:w="109"/>
        <w:gridCol w:w="339"/>
        <w:gridCol w:w="749"/>
        <w:gridCol w:w="24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second quarter of 2024 compared to the first quarter of 2024 was primarily due to the increase in pre-tax income between the periods which resulted largely from changes in revenues and operating expenses as discussed above. See Note 11—</w:t>
      </w:r>
      <w:hyperlink w:anchor="ifd673ca5314e499dbfcbf4ce977879cb_73">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six months ended June 30, 2024 and 2023:</w:t>
      </w:r>
    </w:p>
    <w:p>
      <w:pPr>
        <w:pStyle w:val="TextBody"/>
        <w:bidi w:val="0"/>
        <w:spacing w:before="0" w:after="0"/>
        <w:ind w:left="0" w:right="0" w:firstLine="720"/>
        <w:jc w:val="both"/>
        <w:rPr/>
      </w:pPr>
      <w:r>
        <w:rPr/>
      </w:r>
    </w:p>
    <w:tbl>
      <w:tblPr>
        <w:tblW w:w="6656" w:type="dxa"/>
        <w:jc w:val="left"/>
        <w:tblInd w:w="0" w:type="dxa"/>
        <w:tblLayout w:type="fixed"/>
        <w:tblCellMar>
          <w:top w:w="28" w:type="dxa"/>
          <w:left w:w="28" w:type="dxa"/>
          <w:bottom w:w="28" w:type="dxa"/>
          <w:right w:w="28" w:type="dxa"/>
        </w:tblCellMar>
      </w:tblPr>
      <w:tblGrid>
        <w:gridCol w:w="1587"/>
        <w:gridCol w:w="1391"/>
        <w:gridCol w:w="1402"/>
        <w:gridCol w:w="214"/>
        <w:gridCol w:w="626"/>
        <w:gridCol w:w="110"/>
        <w:gridCol w:w="110"/>
        <w:gridCol w:w="110"/>
        <w:gridCol w:w="110"/>
        <w:gridCol w:w="214"/>
        <w:gridCol w:w="626"/>
        <w:gridCol w:w="156"/>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six months ended June 30, 2024 and 2023:</w:t>
      </w:r>
    </w:p>
    <w:p>
      <w:pPr>
        <w:pStyle w:val="TextBody"/>
        <w:bidi w:val="0"/>
        <w:spacing w:before="0" w:after="0"/>
        <w:ind w:left="0" w:right="0" w:firstLine="720"/>
        <w:jc w:val="both"/>
        <w:rPr/>
      </w:pPr>
      <w:r>
        <w:rPr/>
      </w:r>
    </w:p>
    <w:tbl>
      <w:tblPr>
        <w:tblW w:w="4844" w:type="dxa"/>
        <w:jc w:val="left"/>
        <w:tblInd w:w="0" w:type="dxa"/>
        <w:tblLayout w:type="fixed"/>
        <w:tblCellMar>
          <w:top w:w="28" w:type="dxa"/>
          <w:left w:w="28" w:type="dxa"/>
          <w:bottom w:w="28" w:type="dxa"/>
          <w:right w:w="28" w:type="dxa"/>
        </w:tblCellMar>
      </w:tblPr>
      <w:tblGrid>
        <w:gridCol w:w="857"/>
        <w:gridCol w:w="753"/>
        <w:gridCol w:w="760"/>
        <w:gridCol w:w="237"/>
        <w:gridCol w:w="229"/>
        <w:gridCol w:w="457"/>
        <w:gridCol w:w="184"/>
        <w:gridCol w:w="184"/>
        <w:gridCol w:w="184"/>
        <w:gridCol w:w="237"/>
        <w:gridCol w:w="229"/>
        <w:gridCol w:w="53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tbl>
      <w:tblPr>
        <w:tblW w:w="10497"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412"/>
        <w:gridCol w:w="414"/>
        <w:gridCol w:w="171"/>
        <w:gridCol w:w="109"/>
        <w:gridCol w:w="109"/>
        <w:gridCol w:w="109"/>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 and High Plains for the six months ended June 30, 2024 and 2023, and Eagle Ford Shale, Appalachia, Barnett, Denver-Julesburg, Mid-Con, and Williston through May 1, 2024, the effective date on which they were divested.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six months ended June 30, 2024 increased by $477 million, or 13%, to $4.3 billion from the same period in 2023 primarily due to (i) an increase of $290 million attributable to the 8% growth in our combined volumes, and (ii) an additional $187 million attributable to higher average prices received for our oil production. Approximately 25% of the increase in production is attributable to Viper’s GRP Acquisition. The remainder of the growth comes from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Beginning in the third quarter of 2023, we entered into purchase transactions and separate sale transactions with third parties to satisfy certain of our unused oil pipeline capacity commitments. The following table presents the net sales of purchased oil from third parties for the six months ended June 30, 2024 and 2023:</w:t>
      </w:r>
    </w:p>
    <w:p>
      <w:pPr>
        <w:pStyle w:val="TextBody"/>
        <w:bidi w:val="0"/>
        <w:spacing w:before="0" w:after="0"/>
        <w:ind w:left="0" w:right="0" w:firstLine="720"/>
        <w:jc w:val="both"/>
        <w:rPr/>
      </w:pPr>
      <w:r>
        <w:rPr/>
      </w:r>
    </w:p>
    <w:tbl>
      <w:tblPr>
        <w:tblW w:w="4465" w:type="dxa"/>
        <w:jc w:val="left"/>
        <w:tblInd w:w="0" w:type="dxa"/>
        <w:tblLayout w:type="fixed"/>
        <w:tblCellMar>
          <w:top w:w="28" w:type="dxa"/>
          <w:left w:w="28" w:type="dxa"/>
          <w:bottom w:w="28" w:type="dxa"/>
          <w:right w:w="28" w:type="dxa"/>
        </w:tblCellMar>
      </w:tblPr>
      <w:tblGrid>
        <w:gridCol w:w="793"/>
        <w:gridCol w:w="695"/>
        <w:gridCol w:w="702"/>
        <w:gridCol w:w="255"/>
        <w:gridCol w:w="564"/>
        <w:gridCol w:w="131"/>
        <w:gridCol w:w="131"/>
        <w:gridCol w:w="131"/>
        <w:gridCol w:w="131"/>
        <w:gridCol w:w="255"/>
        <w:gridCol w:w="491"/>
        <w:gridCol w:w="18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six months ended June 30, 2024 and 2023:</w:t>
      </w:r>
    </w:p>
    <w:p>
      <w:pPr>
        <w:pStyle w:val="TextBody"/>
        <w:bidi w:val="0"/>
        <w:spacing w:before="0" w:after="0"/>
        <w:ind w:left="0" w:right="0" w:firstLine="720"/>
        <w:jc w:val="both"/>
        <w:rPr/>
      </w:pPr>
      <w:r>
        <w:rPr/>
      </w:r>
    </w:p>
    <w:tbl>
      <w:tblPr>
        <w:tblW w:w="4316" w:type="dxa"/>
        <w:jc w:val="left"/>
        <w:tblInd w:w="0" w:type="dxa"/>
        <w:tblLayout w:type="fixed"/>
        <w:tblCellMar>
          <w:top w:w="28" w:type="dxa"/>
          <w:left w:w="28" w:type="dxa"/>
          <w:bottom w:w="28" w:type="dxa"/>
          <w:right w:w="28" w:type="dxa"/>
        </w:tblCellMar>
      </w:tblPr>
      <w:tblGrid>
        <w:gridCol w:w="738"/>
        <w:gridCol w:w="648"/>
        <w:gridCol w:w="654"/>
        <w:gridCol w:w="277"/>
        <w:gridCol w:w="474"/>
        <w:gridCol w:w="143"/>
        <w:gridCol w:w="143"/>
        <w:gridCol w:w="143"/>
        <w:gridCol w:w="143"/>
        <w:gridCol w:w="277"/>
        <w:gridCol w:w="474"/>
        <w:gridCol w:w="20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operating income for the six months ended June 30, 2024 compared to the same period in 2023 primarily resulted from a reduction in revenue from midstream services due to the sale of the Deep Blue Water Assets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six months ended June 30, 2024 and 2023:</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by $117 million, or $1.03 per BOE for the six months ended June 30, 2024 compared to the same period in 2023. The increase primarily consists of (i) $47 million in additional costs incurred for water services as a result of divesting the Deep Blue Water Assets in the third quarter of 2023, (ii) approximately $30 million due to the increase in combined production volumes between the periods, (iii) $16 million in increased spend on wellwork, (iv) $16 million in increased spend on electrical generation and disposal related costs, and (v) $8 million in increased third party water disposal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six months ended June 30, 2024 and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2024 period decreased compared to the same period in 2023, primarily due to a refund of $17 million received for settlement of an audit in the first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for the six months ended June 30, 2024 as compared to the same period in 2023 decreased by $49 million, primarily due to a reduction in the expected ad valorem tax rates for 2024 compared to the expected rates in the first half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six months ended June 30, 2024 and 2023:</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gathering, processing and transportation expenses for the six months ended June 30, 2024 compared to the same period in 2023 is attributable to (i) $10 million from the growth in production volumes discussed above, and (ii) an additional $6 million in shortfall penalties related to certain minimum volume commitments. The remainder of the increase is due to pricing fluctuations on our gathering, processing and transportation contracts.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six months ended June 30, 2024 and 2023:</w:t>
      </w:r>
    </w:p>
    <w:p>
      <w:pPr>
        <w:pStyle w:val="TextBody"/>
        <w:bidi w:val="0"/>
        <w:spacing w:before="0" w:after="0"/>
        <w:ind w:left="0" w:right="0" w:firstLine="720"/>
        <w:jc w:val="both"/>
        <w:rPr/>
      </w:pPr>
      <w:r>
        <w:rPr/>
      </w:r>
    </w:p>
    <w:tbl>
      <w:tblPr>
        <w:tblW w:w="7541" w:type="dxa"/>
        <w:jc w:val="left"/>
        <w:tblInd w:w="0" w:type="dxa"/>
        <w:tblLayout w:type="fixed"/>
        <w:tblCellMar>
          <w:top w:w="28" w:type="dxa"/>
          <w:left w:w="28" w:type="dxa"/>
          <w:bottom w:w="28" w:type="dxa"/>
          <w:right w:w="28" w:type="dxa"/>
        </w:tblCellMar>
      </w:tblPr>
      <w:tblGrid>
        <w:gridCol w:w="1905"/>
        <w:gridCol w:w="1673"/>
        <w:gridCol w:w="1687"/>
        <w:gridCol w:w="214"/>
        <w:gridCol w:w="626"/>
        <w:gridCol w:w="110"/>
        <w:gridCol w:w="110"/>
        <w:gridCol w:w="110"/>
        <w:gridCol w:w="110"/>
        <w:gridCol w:w="214"/>
        <w:gridCol w:w="626"/>
        <w:gridCol w:w="156"/>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of proved oil and natural gas properties of $126 million for the six months ended June 30, 2024 as compared to the same period in 2023 resulted primarily from (i) $66 million due to an increase in the depletion rate resulting primarily from the addition of leasehold costs and reserves from Viper’s GRP Acquisition, and (ii) $60 million from the growth in production volumes.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six months ended June 30, 2024 and 2023:</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for the six months ended June 30, 2024 compared to the same period in 2023 primarily due to an additional (i) $6 million in charitable contributions, (ii) $4 million in legal fees primarily related to certain SEC filings including our offering of Viper Class A Common Stock and various litigation matters, and (iii) $3 million in compensation and benefits costs due to increasing headcount and annual compensation adjustments. These increases were partially offset by a reduction of $4 million in professional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six months ended June 30, 2024 and 2023:</w:t>
      </w:r>
    </w:p>
    <w:p>
      <w:pPr>
        <w:pStyle w:val="TextBody"/>
        <w:bidi w:val="0"/>
        <w:spacing w:before="0" w:after="0"/>
        <w:ind w:left="0" w:right="0" w:firstLine="720"/>
        <w:jc w:val="both"/>
        <w:rPr/>
      </w:pPr>
      <w:r>
        <w:rPr/>
      </w:r>
    </w:p>
    <w:tbl>
      <w:tblPr>
        <w:tblW w:w="5050" w:type="dxa"/>
        <w:jc w:val="left"/>
        <w:tblInd w:w="0" w:type="dxa"/>
        <w:tblLayout w:type="fixed"/>
        <w:tblCellMar>
          <w:top w:w="28" w:type="dxa"/>
          <w:left w:w="28" w:type="dxa"/>
          <w:bottom w:w="28" w:type="dxa"/>
          <w:right w:w="28" w:type="dxa"/>
        </w:tblCellMar>
      </w:tblPr>
      <w:tblGrid>
        <w:gridCol w:w="1004"/>
        <w:gridCol w:w="881"/>
        <w:gridCol w:w="889"/>
        <w:gridCol w:w="277"/>
        <w:gridCol w:w="474"/>
        <w:gridCol w:w="143"/>
        <w:gridCol w:w="143"/>
        <w:gridCol w:w="143"/>
        <w:gridCol w:w="143"/>
        <w:gridCol w:w="277"/>
        <w:gridCol w:w="474"/>
        <w:gridCol w:w="202"/>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 for the six months ended June 30, 2024 include costs associated with the stockholder vote and regulatory review process for the pending Endeavor Acquisition. Merger and integration expenses for the six months ended June 30, 2023 include $8 million in costs associated with legal and advisory fees incurred for the Lario Acquisition and $2 million in costs related to acquisitions in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16—</w:t>
      </w:r>
      <w:hyperlink w:anchor="ifd673ca5314e499dbfcbf4ce977879cb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the 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operating expenses for the six months ended June 30, 2024 compared to the same period in 2023 primarily resulted from a reduction in midstream services costs due to the sale of the Deep Blue Water Assets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six months ended June 30, 2024 and 2023:</w:t>
      </w:r>
    </w:p>
    <w:p>
      <w:pPr>
        <w:pStyle w:val="TextBody"/>
        <w:bidi w:val="0"/>
        <w:spacing w:before="0" w:after="0"/>
        <w:ind w:left="0" w:right="0" w:firstLine="720"/>
        <w:jc w:val="both"/>
        <w:rPr/>
      </w:pPr>
      <w:r>
        <w:rPr/>
      </w:r>
    </w:p>
    <w:tbl>
      <w:tblPr>
        <w:tblW w:w="5727" w:type="dxa"/>
        <w:jc w:val="left"/>
        <w:tblInd w:w="0" w:type="dxa"/>
        <w:tblLayout w:type="fixed"/>
        <w:tblCellMar>
          <w:top w:w="28" w:type="dxa"/>
          <w:left w:w="28" w:type="dxa"/>
          <w:bottom w:w="28" w:type="dxa"/>
          <w:right w:w="28" w:type="dxa"/>
        </w:tblCellMar>
      </w:tblPr>
      <w:tblGrid>
        <w:gridCol w:w="1248"/>
        <w:gridCol w:w="1093"/>
        <w:gridCol w:w="1108"/>
        <w:gridCol w:w="241"/>
        <w:gridCol w:w="500"/>
        <w:gridCol w:w="125"/>
        <w:gridCol w:w="125"/>
        <w:gridCol w:w="125"/>
        <w:gridCol w:w="125"/>
        <w:gridCol w:w="241"/>
        <w:gridCol w:w="620"/>
        <w:gridCol w:w="176"/>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loss on derivative instruments for the six months ended June 30, 2024 compared to the same period in 2023 primarily reflects an increase in the value of our natural gas contracts due to a decrease in market prices for natural gas compared to our contract prices. See Note 12—</w:t>
      </w:r>
      <w:hyperlink w:anchor="ifd673ca5314e499dbfcbf4ce977879cb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six months ended June 30, 2024 and 2023:</w:t>
      </w:r>
    </w:p>
    <w:p>
      <w:pPr>
        <w:pStyle w:val="TextBody"/>
        <w:bidi w:val="0"/>
        <w:spacing w:before="0" w:after="0"/>
        <w:ind w:left="0" w:right="0" w:firstLine="720"/>
        <w:jc w:val="both"/>
        <w:rPr/>
      </w:pPr>
      <w:r>
        <w:rPr/>
      </w:r>
    </w:p>
    <w:tbl>
      <w:tblPr>
        <w:tblW w:w="5828" w:type="dxa"/>
        <w:jc w:val="left"/>
        <w:tblInd w:w="0" w:type="dxa"/>
        <w:tblLayout w:type="fixed"/>
        <w:tblCellMar>
          <w:top w:w="28" w:type="dxa"/>
          <w:left w:w="28" w:type="dxa"/>
          <w:bottom w:w="28" w:type="dxa"/>
          <w:right w:w="28" w:type="dxa"/>
        </w:tblCellMar>
      </w:tblPr>
      <w:tblGrid>
        <w:gridCol w:w="1287"/>
        <w:gridCol w:w="1129"/>
        <w:gridCol w:w="1138"/>
        <w:gridCol w:w="255"/>
        <w:gridCol w:w="527"/>
        <w:gridCol w:w="131"/>
        <w:gridCol w:w="131"/>
        <w:gridCol w:w="131"/>
        <w:gridCol w:w="131"/>
        <w:gridCol w:w="255"/>
        <w:gridCol w:w="527"/>
        <w:gridCol w:w="186"/>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$10 million for the six months ended June 30, 2024 compared to the same period in 2023. This decrease primarily consisted of (i) an increase in interest income of $74 million, which reduces interest expense, (ii) an additional $29 million in capitalized interest costs, which reduce interest expense, and (iii) a decrease of $12 million in interest expense on our revolving credit facility due to lower average borrowings outstanding in the first half of 2024. These reductions were largely offset by (i) an increase of $73 million in interest expense on senior notes related primarily to the issuance of the April 2024 Notes and Viper’s 7.375% Senior Notes which were issued in the fourth quarter of 2023, and (ii) an increase of $32 million in amortization of debt issuance costs primarily related to our Bridge Facility and to a lesser extent, our Term Loans.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See Note 8—</w:t>
      </w:r>
      <w:hyperlink w:anchor="ifd673ca5314e499dbfcbf4ce977879cb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six months ended June 30, 2023 includes a $53 million gain on the sale of equity method investment in Gray Oak as discussed further in Note 4—</w:t>
      </w:r>
      <w:hyperlink w:anchor="ifd673ca5314e499dbfcbf4ce977879cb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six months ended June 30, 2024 and 2023:</w:t>
      </w:r>
    </w:p>
    <w:p>
      <w:pPr>
        <w:pStyle w:val="TextBody"/>
        <w:bidi w:val="0"/>
        <w:spacing w:before="0" w:after="0"/>
        <w:ind w:left="0" w:right="0" w:firstLine="720"/>
        <w:jc w:val="both"/>
        <w:rPr/>
      </w:pPr>
      <w:r>
        <w:rPr/>
      </w:r>
    </w:p>
    <w:tbl>
      <w:tblPr>
        <w:tblW w:w="5709" w:type="dxa"/>
        <w:jc w:val="left"/>
        <w:tblInd w:w="0" w:type="dxa"/>
        <w:tblLayout w:type="fixed"/>
        <w:tblCellMar>
          <w:top w:w="28" w:type="dxa"/>
          <w:left w:w="28" w:type="dxa"/>
          <w:bottom w:w="28" w:type="dxa"/>
          <w:right w:w="28" w:type="dxa"/>
        </w:tblCellMar>
      </w:tblPr>
      <w:tblGrid>
        <w:gridCol w:w="1243"/>
        <w:gridCol w:w="1091"/>
        <w:gridCol w:w="1101"/>
        <w:gridCol w:w="247"/>
        <w:gridCol w:w="546"/>
        <w:gridCol w:w="127"/>
        <w:gridCol w:w="127"/>
        <w:gridCol w:w="127"/>
        <w:gridCol w:w="127"/>
        <w:gridCol w:w="247"/>
        <w:gridCol w:w="546"/>
        <w:gridCol w:w="180"/>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change in our income tax provision for the six months ended June 30, 2024 compared to the same period in 2023 was primarily due to the increase in pre-tax income resulting largely from higher revenues from oil and natural gas liquids, along with changes in operating expenses and other income (expenses) as discussed above. See Note 11—</w:t>
      </w:r>
      <w:hyperlink w:anchor="ifd673ca5314e499dbfcbf4ce977879cb_73">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repayment of debt and returning capital to stockholders. At June 30, 2024, we had approximately $8.5 billion of liquidity consisting of $6.9 billion in standalone cash and cash equivalents and $1.6 billion available under our credit facility. On August 2, 2024, we terminated the undrawn $500 million Tranche B Loans previously available. As a result, in addition to our stand alone cash and credit facility, we currently have $1.0 billion available under the Tranche A Loans of our Term Loan Agreement for purposes of funding the cash consideration for the pending Endeavor Acquisition. As discussed below, our revised capital budget for 2024 is $2.35 billion to $2.45 billion, which does not take into account the pending Endeavor Acquisition. As of June 30, 2024, we have no debt maturities until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In order to mitigate this volatility, we enter into derivative contracts with a number of financial institutions, all of which are participants in our credit facility, to economically hedge a portion of our estimated future crude oil and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gas production as discussed further in Note 12—</w:t>
      </w:r>
      <w:hyperlink w:anchor="ifd673ca5314e499dbfcbf4ce977879cb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hyperlink w:anchor="ifd673ca5314e499dbfcbf4ce977879cb_157">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for the six months ended June 30, 2024 and 2023 are presented below:</w:t>
      </w:r>
    </w:p>
    <w:p>
      <w:pPr>
        <w:pStyle w:val="TextBody"/>
        <w:bidi w:val="0"/>
        <w:spacing w:before="0" w:after="0"/>
        <w:ind w:left="0" w:right="0" w:firstLine="720"/>
        <w:jc w:val="both"/>
        <w:rPr/>
      </w:pPr>
      <w:r>
        <w:rPr/>
      </w:r>
    </w:p>
    <w:tbl>
      <w:tblPr>
        <w:tblW w:w="6490" w:type="dxa"/>
        <w:jc w:val="left"/>
        <w:tblInd w:w="0" w:type="dxa"/>
        <w:tblLayout w:type="fixed"/>
        <w:tblCellMar>
          <w:top w:w="28" w:type="dxa"/>
          <w:left w:w="28" w:type="dxa"/>
          <w:bottom w:w="28" w:type="dxa"/>
          <w:right w:w="28" w:type="dxa"/>
        </w:tblCellMar>
      </w:tblPr>
      <w:tblGrid>
        <w:gridCol w:w="1524"/>
        <w:gridCol w:w="1340"/>
        <w:gridCol w:w="1350"/>
        <w:gridCol w:w="214"/>
        <w:gridCol w:w="626"/>
        <w:gridCol w:w="110"/>
        <w:gridCol w:w="110"/>
        <w:gridCol w:w="110"/>
        <w:gridCol w:w="110"/>
        <w:gridCol w:w="214"/>
        <w:gridCol w:w="626"/>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six months ended June 30, 2024 compared to the same period in 2023 primarily resulted from (i) an increase in our cash operating expenses, excluding purchased oil expense, of approximately $78 million, (ii) a reduction of approximately $367 million due to fluctuations in other working capital balances due primarily to the timing of when collections were made on income taxes receivable, accounts receivable and payments made on accounts payable (iii) an increase in $206 million cash paid for taxes. These were partially offset by an increase of $450 million in total revenue, excluding sales of purchased oil, and (ii) an additional $74 million in interest income. See “</w:t>
      </w:r>
      <w:r>
        <w:rPr>
          <w:color w:val="000000"/>
        </w:rPr>
        <w:t>—</w:t>
      </w:r>
      <w:hyperlink w:anchor="ifd673ca5314e499dbfcbf4ce977879cb_12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net cash used for investing activities during the six months ended June 30, 2024 and 2023 was for drilling and completion costs incurred in conjunction with our development program as well as the purchase of oil and gas properties including the Lario Acquisition in the first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190" w:type="dxa"/>
        <w:jc w:val="left"/>
        <w:tblInd w:w="0" w:type="dxa"/>
        <w:tblLayout w:type="fixed"/>
        <w:tblCellMar>
          <w:top w:w="28" w:type="dxa"/>
          <w:left w:w="28" w:type="dxa"/>
          <w:bottom w:w="28" w:type="dxa"/>
          <w:right w:w="28" w:type="dxa"/>
        </w:tblCellMar>
      </w:tblPr>
      <w:tblGrid>
        <w:gridCol w:w="2504"/>
        <w:gridCol w:w="2199"/>
        <w:gridCol w:w="2211"/>
        <w:gridCol w:w="214"/>
        <w:gridCol w:w="626"/>
        <w:gridCol w:w="110"/>
        <w:gridCol w:w="110"/>
        <w:gridCol w:w="110"/>
        <w:gridCol w:w="110"/>
        <w:gridCol w:w="214"/>
        <w:gridCol w:w="626"/>
        <w:gridCol w:w="156"/>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fd673ca5314e499dbfcbf4ce977879cb_115">
        <w:r>
          <w:rPr>
            <w:rStyle w:val="InternetLink"/>
          </w:rPr>
          <w:t>Transactions and Recent Developme</w:t>
        </w:r>
      </w:hyperlink>
      <w:hyperlink w:anchor="ifd673ca5314e499dbfcbf4ce977879cb_115">
        <w:r>
          <w:rPr>
            <w:rStyle w:val="InternetLink"/>
          </w:rPr>
          <w:t>nts—Upstrea</w:t>
        </w:r>
      </w:hyperlink>
      <w:hyperlink w:anchor="ifd673ca5314e499dbfcbf4ce977879cb_115">
        <w:r>
          <w:rPr>
            <w:rStyle w:val="InternetLink"/>
          </w:rPr>
          <w:t>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six months ended June 30,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net cash provided by financing activities was primarily attributable to $5.5 billion of proceeds from the issuance of the April 2024 Notes and $451 million in proceeds from the public offering of Viper’s Class A common stock. These cash inflows were partially offset by (i) $900 million of dividends paid to stockholders, (ii) $98 million in dividends paid to non-controlling interest, (iii) $93 million of debt issuance costs primarily associated with the April 2024 Notes, Term Loan Agreement and Bridge Facility, (iv) $86 million in repayments on our credit facilities, net of borrowings, (v) $42 million of repurchases as part of the share repurchase programs, and (iv) $37 million in cash paid for tax withholdings on vested employee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net cash used in financing activities was primarily attributable to (i) $710 million of repurchases as part of the share and unit repurchase programs, (ii) $692 million of dividends paid to stockholders, (iii) $134 million paid for the retirement of principal outstanding on certain senior notes, and (iv) $59 million in distributions to non-controlling interest. These cash outflows were partially offset by an additional $415 million in borrowings under credit facilities, net of repayments.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and to finance the pending Endeavor Acquisition. Further, the Tranche A Loans and net proceeds from the April 2024 Notes, are also available to finance the cash portion of the pending Endeavor Acquisition.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Facilities and Other Debt Instruments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debt, including the debt of Viper, consisted of approximately $12.0 billion in aggregate outstanding principal amount of senior notes, and $177 million in aggregate outstanding borrowings under revolving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maximum credit amount available under our credit agreement was $1.6 billion, with no outstanding borrowings and $1.6 billion available for future borrowings. Our credit agreement matures on June 2, 2028, and we may further extend it by one one-year extension pursuant to the terms set forth in the credit agreement. Upon consummation of the pending Endeavor Acquisition, the maximum credit amount available under our credit agreement will increase to $2.5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maximum credit amount available under the Term Loan Agreement was $1.5 billion, with no outstanding borrowings and $1.5 billion available for future borrowings. Our Term Loan Agreement matures on the anniversary of the Closing Date for Tranche A Loans and the second anniversary of the Closing Date for Tranche B Loans. On August 2, 2024, we terminated our undrawn Tranche B Loans, resulting in $1.0 billion currently available for future borrowings under the Tranche A Loans of our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2024, we terminated our undrawn Bridge Facility and recorded additional interest expense of $19 million and $28 million during the three and six months ended June 30, 2024, respectively, related to the amortization and write-off of debt issuance costs incurred for the Bridge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April 2024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we issued the April 2024 Notes for net proceeds of $5.5 billion, which will be used to fund a portion of the cash consideration for the pending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Viper credit agreement, as amended, matures on </w:t>
      </w:r>
      <w:r>
        <w:rPr>
          <w:rFonts w:ascii="Times New Roman;sans-serif" w:hAnsi="Times New Roman;sans-serif"/>
          <w:b w:val="false"/>
          <w:color w:val="000000"/>
          <w:sz w:val="20"/>
          <w:shd w:fill="FFFFFF" w:val="clear"/>
        </w:rPr>
        <w:t>September 22, 2028</w:t>
      </w:r>
      <w:r>
        <w:rPr>
          <w:color w:val="000000"/>
        </w:rPr>
        <w:t xml:space="preserve"> </w:t>
      </w:r>
      <w:r>
        <w:rPr>
          <w:rFonts w:ascii="Times New Roman;sans-serif" w:hAnsi="Times New Roman;sans-serif"/>
          <w:b w:val="false"/>
          <w:color w:val="000000"/>
          <w:sz w:val="20"/>
        </w:rPr>
        <w:t>and provides for a revolving credit facility in the maximum credit amount of $2.0 billion, with a borrowing base of $1.3 billion and an elected commitment amount of $850 million, based on Viper LLC’s oil and natural gas reserves and other factors. As of June 30, 2024. the Viper credit agreement had $177 million of outstanding borrowings and $673 million available for future borrowings.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debt as of June 30, 2024, see Note 8—</w:t>
      </w:r>
      <w:hyperlink w:anchor="ifd673ca5314e499dbfcbf4ce977879cb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future operating expenses and working capital commitments discussed in “</w:t>
      </w:r>
      <w:r>
        <w:rPr>
          <w:color w:val="000000"/>
        </w:rPr>
        <w:t>—</w:t>
      </w:r>
      <w:hyperlink w:anchor="ifd673ca5314e499dbfcbf4ce977879cb_115">
        <w:r>
          <w:rPr>
            <w:rStyle w:val="InternetLink"/>
          </w:rPr>
          <w:t>Transactions and Recent Developmen</w:t>
        </w:r>
      </w:hyperlink>
      <w:hyperlink w:anchor="ifd673ca5314e499dbfcbf4ce977879cb_115">
        <w:r>
          <w:rPr>
            <w:rStyle w:val="InternetLink"/>
          </w:rPr>
          <w:t>ts—Upstre</w:t>
        </w:r>
      </w:hyperlink>
      <w:hyperlink w:anchor="ifd673ca5314e499dbfcbf4ce977879cb_115">
        <w:r>
          <w:rPr>
            <w:rStyle w:val="InternetLink"/>
          </w:rPr>
          <w:t>am Operations</w:t>
        </w:r>
      </w:hyperlink>
      <w:r>
        <w:rPr>
          <w:color w:val="000000"/>
        </w:rPr>
        <w: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primary short and long-term liquidity requirements, excluding those of Viper, consist primarily of (i) capital expenditures, (ii) payments of principal and interest on our revolving credit agreements and senior notes, (iii) payments of other contractual obligations, (iv) cash used to pay for dividends and repurchases of securities, and (v) the cash portion of the consideration for the pending Endeavor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an increased 2024 capital budget for drilling, midstream, infrastructure and environmental of approximately $2.35 billion to $2.45 billion, which does not take into account the pending Endeavor Acquisition. We estimate that, of these expenditures, approximately: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$2.15 billion to $2.23 billion will be spent primarily on drilling 275 to 290 gross (259 to 273 net) horizontal wells and completing 310 to 330 gross (285 to 304 net) horizontal wells across our operated and non-operated leasehold acreage in the Northern Midland and Southern Delaware Basins, with an average lateral length of approximately 11,800+ feet;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$200 million to $220 million will be spent on infrastructure and midstream expenditures, excluding the cost of any leasehold and mineral interest acquisitions.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10 drilling rigs and three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on April 2024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April 18, 2024, we issued $5.5 billion in aggregate principal amount of the April 2024 Notes, as discussed further in Note 8—</w:t>
      </w:r>
      <w:hyperlink w:anchor="ifd673ca5314e499dbfcbf4ce977879cb_64">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As a result, we expect to incur additional future cash interest costs on the April 2024 Notes of approximately $152 million in 2024, $607 million cumulatively in the years from 2025 through 2026, $541 million cumulatively in the years from 2027 and 2028, and $4.7 billion cumulatively between 2029 and 2064.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first quarter of 2024, our board of directors has approved a return of capital commitment of at least 50% from 75% of free cash flow to our stockholders through repurchases under our share repurchase program, base dividends and variable dividends. The remainder of our free cash flow will be used primarily to reduce debt. On August 1, 2024, our board of directors declared a combined base and variable dividend for the second quarter of 2024 of $2.34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Since the inception of the stock repurchase program, we repurchased an aggregate of 19.3 million shares of our common stock for a total cost of $2.4 billion, excluding excise tax, as of August 2, 2024.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9—</w:t>
      </w:r>
      <w:hyperlink w:anchor="ifd673ca5314e499dbfcbf4ce977879cb_6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01" w:type="dxa"/>
        <w:jc w:val="center"/>
        <w:tblInd w:w="0" w:type="dxa"/>
        <w:tblLayout w:type="fixed"/>
        <w:tblCellMar>
          <w:top w:w="28" w:type="dxa"/>
          <w:left w:w="28" w:type="dxa"/>
          <w:bottom w:w="28" w:type="dxa"/>
          <w:right w:w="28" w:type="dxa"/>
        </w:tblCellMar>
      </w:tblPr>
      <w:tblGrid>
        <w:gridCol w:w="1749"/>
        <w:gridCol w:w="1538"/>
        <w:gridCol w:w="1542"/>
        <w:gridCol w:w="234"/>
        <w:gridCol w:w="800"/>
        <w:gridCol w:w="121"/>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59" w:type="dxa"/>
        <w:jc w:val="center"/>
        <w:tblInd w:w="0" w:type="dxa"/>
        <w:tblLayout w:type="fixed"/>
        <w:tblCellMar>
          <w:top w:w="28" w:type="dxa"/>
          <w:left w:w="28" w:type="dxa"/>
          <w:bottom w:w="28" w:type="dxa"/>
          <w:right w:w="28" w:type="dxa"/>
        </w:tblCellMar>
      </w:tblPr>
      <w:tblGrid>
        <w:gridCol w:w="1114"/>
        <w:gridCol w:w="979"/>
        <w:gridCol w:w="982"/>
        <w:gridCol w:w="577"/>
        <w:gridCol w:w="1686"/>
        <w:gridCol w:w="42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"i0d77fdad85ad4c5b80695648ad1eb956_70"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fd673ca5314e499dbfcbf4ce977879cb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condensed notes to the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and the Israel-Hamas war, higher interest rates, global supply chain disruptions that may lead to future price volatility and the near term energy outlook remains subject to heightened levels of uncertainty. Further, the prices we receive for production depend on many other factors outside of our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June 30, 2024, we had a net liability derivative position of $7 million related to our commodity price risk derivatives. Utilizing actual derivative contractual volumes under our commodity price derivatives as of June 30, 2024, a 10% increase in forward curves associated with the underlying commodity would have increased the net liability position by $13 million to $20 million, while a 10% decrease in forward curves associated with the underlying commodity would have decreased the net liability position by $23 million to a net asset position of $16 million. However, any cash derivative gain or loss would be substantially offset by a decrease or increase, respectively, in the actual sales value of production covered by the derivative instrument. For additional information on our open commodity derivative instruments at June 30, 2024, see Note 12—</w:t>
      </w:r>
      <w:hyperlink w:anchor="ifd673ca5314e499dbfcbf4ce977879cb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Counterparty and Customer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$711 million at June 30, 2024), and to a lesser extent, receivables resulting from joint interest and other receivables (approximately $93 million at June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June 30, 2024,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unsecured debt. We are obligated to pay a quarterly commitment fee ranging from 0.125% to 0.325% per year on the unused portion of the commitment. We believe significant interest rate changes would not have a material near-term impact on our future earnings or cash flows. For additional information on our variable interest rate debt at June 30, 2024, see Note 8—</w:t>
      </w:r>
      <w:hyperlink w:anchor="ifd673ca5314e499dbfcbf4ce977879cb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at times used interest rates swaps to manage our exposure to (i) interest rate changes on our floating-rate date, and (ii) fair value changes on our fixed rate debt. At June 30, 2024,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June 30, 2024, our receive-fixed, pay-variable interest rate swaps were in a net liability position of $180 million, and the weighted average variable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was 6.38%. For additional information on our interest rate swaps, see Note 12—</w:t>
      </w:r>
      <w:hyperlink w:anchor="ifd673ca5314e499dbfcbf4ce977879cb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2024,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June 30, 2024,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15—</w:t>
      </w:r>
      <w:hyperlink w:anchor="ifd673ca5314e499dbfcbf4ce977879cb_8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and in subsequent filings we make with the SEC. There have been no material changes in our risk factors from those described in our </w:t>
      </w:r>
      <w:hyperlink r:id="rId4">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June 30, 2024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4"/>
        <w:gridCol w:w="365"/>
        <w:gridCol w:w="370"/>
        <w:gridCol w:w="109"/>
        <w:gridCol w:w="109"/>
        <w:gridCol w:w="109"/>
        <w:gridCol w:w="498"/>
        <w:gridCol w:w="498"/>
        <w:gridCol w:w="500"/>
        <w:gridCol w:w="109"/>
        <w:gridCol w:w="109"/>
        <w:gridCol w:w="109"/>
        <w:gridCol w:w="289"/>
        <w:gridCol w:w="989"/>
        <w:gridCol w:w="149"/>
        <w:gridCol w:w="109"/>
        <w:gridCol w:w="109"/>
        <w:gridCol w:w="109"/>
        <w:gridCol w:w="743"/>
        <w:gridCol w:w="743"/>
        <w:gridCol w:w="745"/>
        <w:gridCol w:w="109"/>
        <w:gridCol w:w="109"/>
        <w:gridCol w:w="109"/>
        <w:gridCol w:w="555"/>
        <w:gridCol w:w="1625"/>
        <w:gridCol w:w="414"/>
      </w:tblGrid>
      <w:tr>
        <w:trPr/>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w:t>
            </w:r>
          </w:p>
        </w:tc>
      </w:tr>
      <w:tr>
        <w:trPr/>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17,170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July 28, 2022, our board of directors approved an increase in our common stock repurchase program from $2.0 billion to $4.0 billion, excluding excise tax. The stock repurchase program has no time limit and may be suspended, modified, or discontinued by the board of directors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45"/>
        <w:gridCol w:w="303"/>
        <w:gridCol w:w="304"/>
        <w:gridCol w:w="109"/>
        <w:gridCol w:w="109"/>
        <w:gridCol w:w="109"/>
        <w:gridCol w:w="2631"/>
        <w:gridCol w:w="2596"/>
        <w:gridCol w:w="3699"/>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19"/>
                  <w:u w:val="single"/>
                </w:rPr>
                <w:t>Fourth Amended and Restated Bylaws of the Company, adopted as of June 8, 2023 (incorporated by reference to Exhibit 3.2 to the Form 8-K, File No. 001-35700, filed by the Company with the SEC on June 14, 2023).</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4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4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4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4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June 30, 2024,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Schedules have been omitted pursuant to Item 601(a)(5) of Regulation S-K promulgated by the SEC. The Registrant agrees to furnish supplementally a copy of any omitted schedule or exhibit to the SEC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d673ca5314e499dbfcbf4ce977879cb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79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9838/000153983824000019/fang-20231231.htm" TargetMode="External"/><Relationship Id="rId3" Type="http://schemas.openxmlformats.org/officeDocument/2006/relationships/hyperlink" Target="https://www.sec.gov/ix?doc=/Archives/edgar/data/1539838/000153983824000019/fang-20231231.htm" TargetMode="External"/><Relationship Id="rId4" Type="http://schemas.openxmlformats.org/officeDocument/2006/relationships/hyperlink" Target="https://www.sec.gov/ix?doc=/Archives/edgar/data/1539838/000153983824000019/fang-20231231.htm" TargetMode="External"/><Relationship Id="rId5" Type="http://schemas.openxmlformats.org/officeDocument/2006/relationships/hyperlink" Target="https://www.sec.gov/Archives/edgar/data/1539838/000114036124006881/ny20021341x1_ex2-1.htm" TargetMode="External"/><Relationship Id="rId6" Type="http://schemas.openxmlformats.org/officeDocument/2006/relationships/hyperlink" Target="https://www.sec.gov/Archives/edgar/data/1539838/000114036124013891/ny20021341x11_ex2-1.htm" TargetMode="External"/><Relationship Id="rId7" Type="http://schemas.openxmlformats.org/officeDocument/2006/relationships/hyperlink" Target="https://www.sec.gov/Archives/edgar/data/1539838/000153983823000086/diamondbackex31-6x14x23.htm" TargetMode="External"/><Relationship Id="rId8" Type="http://schemas.openxmlformats.org/officeDocument/2006/relationships/hyperlink" Target="https://www.sec.gov/Archives/edgar/data/1539838/000153983823000086/diamondbackex32-6x14x23.htm" TargetMode="External"/><Relationship Id="rId9" Type="http://schemas.openxmlformats.org/officeDocument/2006/relationships/hyperlink" Target="https://www.sec.gov/Archives/edgar/data/1539838/000119312512360997/d295327dex41.htm" TargetMode="External"/><Relationship Id="rId10" Type="http://schemas.openxmlformats.org/officeDocument/2006/relationships/hyperlink" Target="https://www.sec.gov/Archives/edgar/data/1539838/000153983821000117/diamondback-ex211x8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27024</Words>
  <Characters>145057</Characters>
  <CharactersWithSpaces>169686</CharactersWithSpaces>
  <Paragraphs>4318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