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September 30, 2023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001-35700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44"/>
        </w:rPr>
      </w:pPr>
      <w:r>
        <w:rPr>
          <w:rFonts w:ascii="Times New Roman;sans-serif" w:hAnsi="Times New Roman;sans-serif"/>
          <w:b/>
          <w:color w:val="000000"/>
          <w:sz w:val="44"/>
        </w:rPr>
        <w:t xml:space="preserve">Diamondback Energy,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95" w:type="dxa"/>
        <w:jc w:val="center"/>
        <w:tblInd w:w="0" w:type="dxa"/>
        <w:tblLayout w:type="fixed"/>
        <w:tblCellMar>
          <w:top w:w="28" w:type="dxa"/>
          <w:left w:w="28" w:type="dxa"/>
          <w:bottom w:w="28" w:type="dxa"/>
          <w:right w:w="28" w:type="dxa"/>
        </w:tblCellMar>
      </w:tblPr>
      <w:tblGrid>
        <w:gridCol w:w="868"/>
        <w:gridCol w:w="761"/>
        <w:gridCol w:w="761"/>
        <w:gridCol w:w="761"/>
        <w:gridCol w:w="761"/>
        <w:gridCol w:w="781"/>
        <w:gridCol w:w="109"/>
        <w:gridCol w:w="109"/>
        <w:gridCol w:w="109"/>
        <w:gridCol w:w="896"/>
        <w:gridCol w:w="896"/>
        <w:gridCol w:w="1283"/>
      </w:tblGrid>
      <w:tr>
        <w:trPr/>
        <w:tc>
          <w:tcPr>
            <w:tcW w:w="868"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8"/>
              </w:rPr>
            </w:pPr>
            <w:r>
              <w:rPr>
                <w:rFonts w:ascii="Times New Roman;sans-serif" w:hAnsi="Times New Roman;sans-serif"/>
                <w:b/>
                <w:color w:val="000000"/>
                <w:sz w:val="18"/>
              </w:rPr>
              <w:t>45-4502447</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r>
        <w:trPr/>
        <w:tc>
          <w:tcPr>
            <w:tcW w:w="469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500 West Texas Ave.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Suite 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Midland, 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79701</w:t>
            </w:r>
          </w:p>
        </w:tc>
      </w:tr>
      <w:tr>
        <w:trPr/>
        <w:tc>
          <w:tcPr>
            <w:tcW w:w="469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345"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(432) 221-7400 </w:t>
      </w:r>
    </w:p>
    <w:p>
      <w:pPr>
        <w:pStyle w:val="TextBody"/>
        <w:bidi w:val="0"/>
        <w:spacing w:lineRule="auto" w:line="264"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6"/>
        </w:rPr>
        <w:t>Securities registered pursuant to Section 12(b) of the Securities Exchange Act of 1934:</w:t>
      </w:r>
    </w:p>
    <w:tbl>
      <w:tblPr>
        <w:tblW w:w="6493" w:type="dxa"/>
        <w:jc w:val="center"/>
        <w:tblInd w:w="0" w:type="dxa"/>
        <w:tblLayout w:type="fixed"/>
        <w:tblCellMar>
          <w:top w:w="28" w:type="dxa"/>
          <w:left w:w="28" w:type="dxa"/>
          <w:bottom w:w="28" w:type="dxa"/>
          <w:right w:w="28" w:type="dxa"/>
        </w:tblCellMar>
      </w:tblPr>
      <w:tblGrid>
        <w:gridCol w:w="526"/>
        <w:gridCol w:w="463"/>
        <w:gridCol w:w="466"/>
        <w:gridCol w:w="519"/>
        <w:gridCol w:w="519"/>
        <w:gridCol w:w="521"/>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 of each class</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Symbol(s)</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w:t>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FANG</w:t>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(NASDAQ Global Select Market)</w:t>
            </w:r>
          </w:p>
        </w:tc>
      </w:tr>
    </w:tbl>
    <w:p>
      <w:pPr>
        <w:pStyle w:val="TextBody"/>
        <w:bidi w:val="0"/>
        <w:spacing w:before="0" w:after="0"/>
        <w:jc w:val="center"/>
        <w:rPr/>
      </w:pPr>
      <w:r>
        <w:rPr/>
      </w:r>
    </w:p>
    <w:p>
      <w:pPr>
        <w:pStyle w:val="TextBody"/>
        <w:bidi w:val="0"/>
        <w:spacing w:lineRule="auto" w:line="288" w:before="0" w:after="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No  </w:t>
      </w:r>
      <w:r>
        <w:rPr>
          <w:color w:val="000000"/>
        </w:rPr>
        <w:t xml:space="preserve">☐ </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w:t>
      </w:r>
      <w:r>
        <w:rPr>
          <w:color w:val="000000"/>
        </w:rPr>
        <w:t>  ☒    </w:t>
      </w:r>
      <w:r>
        <w:rPr>
          <w:rFonts w:ascii="Times New Roman;sans-serif" w:hAnsi="Times New Roman;sans-serif"/>
          <w:b w:val="false"/>
          <w:color w:val="000000"/>
          <w:sz w:val="16"/>
        </w:rPr>
        <w:t>No  </w:t>
      </w:r>
      <w:r>
        <w:rPr>
          <w:color w:val="000000"/>
        </w:rPr>
        <w:t xml:space="preserve">☐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581"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709"/>
        <w:gridCol w:w="709"/>
        <w:gridCol w:w="713"/>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 </w:t>
      </w:r>
    </w:p>
    <w:p>
      <w:pPr>
        <w:pStyle w:val="TextBody"/>
        <w:bidi w:val="0"/>
        <w:spacing w:before="0" w:after="0"/>
        <w:jc w:val="both"/>
        <w:rPr/>
      </w:pPr>
      <w:r>
        <w:rPr/>
      </w:r>
    </w:p>
    <w:p>
      <w:pPr>
        <w:pStyle w:val="TextBody"/>
        <w:bidi w:val="0"/>
        <w:spacing w:lineRule="auto" w:line="288" w:before="0" w:after="0"/>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6"/>
        </w:rPr>
        <w:t>Yes  </w:t>
      </w:r>
      <w:r>
        <w:rPr>
          <w:color w:val="000000"/>
        </w:rPr>
        <w:t>☐     </w:t>
      </w:r>
      <w:r>
        <w:rPr>
          <w:rFonts w:ascii="Times New Roman;sans-serif" w:hAnsi="Times New Roman;sans-serif"/>
          <w:b w:val="false"/>
          <w:color w:val="000000"/>
          <w:sz w:val="16"/>
        </w:rPr>
        <w:t>No  </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 of November 3, 2023, the registrant had 178,984,911 shares of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both"/>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 ENDED SEPTEMBER 30, 2023 </w:t>
      </w:r>
    </w:p>
    <w:p>
      <w:pPr>
        <w:pStyle w:val="TextBody"/>
        <w:bidi w:val="0"/>
        <w:spacing w:lineRule="auto" w:line="556"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8520" w:type="dxa"/>
        <w:jc w:val="left"/>
        <w:tblInd w:w="0" w:type="dxa"/>
        <w:tblLayout w:type="fixed"/>
        <w:tblCellMar>
          <w:top w:w="28" w:type="dxa"/>
          <w:left w:w="28" w:type="dxa"/>
          <w:bottom w:w="28" w:type="dxa"/>
          <w:right w:w="28" w:type="dxa"/>
        </w:tblCellMar>
      </w:tblPr>
      <w:tblGrid>
        <w:gridCol w:w="2889"/>
        <w:gridCol w:w="2540"/>
        <w:gridCol w:w="2550"/>
        <w:gridCol w:w="158"/>
        <w:gridCol w:w="158"/>
        <w:gridCol w:w="225"/>
      </w:tblGrid>
      <w:tr>
        <w:trPr/>
        <w:tc>
          <w:tcPr>
            <w:tcW w:w="2889"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0">
              <w:r>
                <w:rPr>
                  <w:rStyle w:val="InternetLink"/>
                  <w:rFonts w:ascii="Times New Roman;sans-serif" w:hAnsi="Times New Roman;sans-serif"/>
                  <w:b w:val="false"/>
                  <w:color w:val="0000FF"/>
                  <w:sz w:val="20"/>
                  <w:u w:val="single"/>
                </w:rPr>
                <w:t>Glossary of Oil and Natural Gas Terms</w:t>
              </w:r>
            </w:hyperlink>
          </w:p>
        </w:tc>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a9e4db464c2249aebaf424c72b2cbe2e_10">
              <w:r>
                <w:rPr>
                  <w:rStyle w:val="InternetLink"/>
                  <w:rFonts w:ascii="Times New Roman;sans-serif" w:hAnsi="Times New Roman;sans-serif"/>
                  <w:b w:val="false"/>
                  <w:color w:val="0000FF"/>
                  <w:sz w:val="20"/>
                  <w:u w:val="single"/>
                </w:rPr>
                <w:t>ii</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3">
              <w:r>
                <w:rPr>
                  <w:rStyle w:val="InternetLink"/>
                  <w:rFonts w:ascii="Times New Roman;sans-serif" w:hAnsi="Times New Roman;sans-serif"/>
                  <w:b w:val="false"/>
                  <w:color w:val="0000FF"/>
                  <w:sz w:val="20"/>
                  <w:u w:val="single"/>
                </w:rPr>
                <w:t>Glossary of Certain Other Terms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3">
              <w:r>
                <w:rPr>
                  <w:rStyle w:val="InternetLink"/>
                  <w:rFonts w:ascii="Times New Roman;sans-serif" w:hAnsi="Times New Roman;sans-serif"/>
                  <w:b w:val="false"/>
                  <w:color w:val="0000FF"/>
                  <w:sz w:val="20"/>
                  <w:u w:val="single"/>
                </w:rPr>
                <w:t>iii</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6">
              <w:r>
                <w:rPr>
                  <w:rStyle w:val="InternetLink"/>
                  <w:rFonts w:ascii="Times New Roman;sans-serif" w:hAnsi="Times New Roman;sans-serif"/>
                  <w:b w:val="false"/>
                  <w:color w:val="0000FF"/>
                  <w:sz w:val="20"/>
                  <w:u w:val="single"/>
                </w:rPr>
                <w:t>Cautionary Statement Regarding Forward-Looking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6">
              <w:r>
                <w:rPr>
                  <w:rStyle w:val="InternetLink"/>
                  <w:rFonts w:ascii="Times New Roman;sans-serif" w:hAnsi="Times New Roman;sans-serif"/>
                  <w:b w:val="false"/>
                  <w:color w:val="0000FF"/>
                  <w:sz w:val="20"/>
                  <w:u w:val="single"/>
                </w:rPr>
                <w:t>iv</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9">
              <w:r>
                <w:rPr>
                  <w:rStyle w:val="InternetLink"/>
                  <w:rFonts w:ascii="Times New Roman;sans-serif" w:hAnsi="Times New Roman;sans-serif"/>
                  <w:b/>
                  <w:color w:val="0000FF"/>
                  <w:sz w:val="20"/>
                  <w:u w:val="single"/>
                </w:rPr>
                <w:t>PART I. FINANCIAL INFORMATION</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9">
              <w:r>
                <w:rPr>
                  <w:rStyle w:val="InternetLink"/>
                  <w:rFonts w:ascii="Times New Roman;sans-serif" w:hAnsi="Times New Roman;sans-serif"/>
                  <w:b w:val="false"/>
                  <w:color w:val="0000FF"/>
                  <w:sz w:val="20"/>
                  <w:u w:val="single"/>
                </w:rPr>
                <w:t>Item 1. Condensed Consolidated Financial Statements (Unaudited)</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25">
              <w:r>
                <w:rPr>
                  <w:rStyle w:val="InternetLink"/>
                  <w:rFonts w:ascii="Times New Roman;sans-serif" w:hAnsi="Times New Roman;sans-serif"/>
                  <w:b w:val="false"/>
                  <w:color w:val="0000FF"/>
                  <w:sz w:val="20"/>
                  <w:u w:val="single"/>
                </w:rPr>
                <w:t>1</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a9e4db464c2249aebaf424c72b2cbe2e_25">
              <w:r>
                <w:rPr>
                  <w:rStyle w:val="InternetLink"/>
                  <w:rFonts w:ascii="Times New Roman;sans-serif" w:hAnsi="Times New Roman;sans-serif"/>
                  <w:b w:val="false"/>
                  <w:color w:val="0000FF"/>
                  <w:sz w:val="20"/>
                  <w:u w:val="single"/>
                </w:rPr>
                <w:t>Condensed Consolidated Balance Sheets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25">
              <w:r>
                <w:rPr>
                  <w:rStyle w:val="InternetLink"/>
                  <w:rFonts w:ascii="Times New Roman;sans-serif" w:hAnsi="Times New Roman;sans-serif"/>
                  <w:b w:val="false"/>
                  <w:color w:val="0000FF"/>
                  <w:sz w:val="20"/>
                  <w:u w:val="single"/>
                </w:rPr>
                <w:t>1</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28">
              <w:r>
                <w:rPr>
                  <w:rStyle w:val="InternetLink"/>
                  <w:rFonts w:ascii="Times New Roman;sans-serif" w:hAnsi="Times New Roman;sans-serif"/>
                  <w:b w:val="false"/>
                  <w:color w:val="0000FF"/>
                  <w:sz w:val="20"/>
                  <w:u w:val="single"/>
                </w:rPr>
                <w:t>Condensed Consolidated Statements of Operations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28">
              <w:r>
                <w:rPr>
                  <w:rStyle w:val="InternetLink"/>
                  <w:rFonts w:ascii="Times New Roman;sans-serif" w:hAnsi="Times New Roman;sans-serif"/>
                  <w:b w:val="false"/>
                  <w:color w:val="0000FF"/>
                  <w:sz w:val="20"/>
                  <w:u w:val="single"/>
                </w:rPr>
                <w:t>2</w:t>
              </w:r>
            </w:hyperlink>
          </w:p>
        </w:tc>
      </w:tr>
      <w:tr>
        <w:trPr/>
        <w:tc>
          <w:tcPr>
            <w:tcW w:w="797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31">
              <w:r>
                <w:rPr>
                  <w:rStyle w:val="InternetLink"/>
                  <w:rFonts w:ascii="Times New Roman;sans-serif" w:hAnsi="Times New Roman;sans-serif"/>
                  <w:b w:val="false"/>
                  <w:color w:val="0000FF"/>
                  <w:sz w:val="20"/>
                  <w:u w:val="single"/>
                </w:rPr>
                <w:t>Condensed Consolidated Statements of Stockholders’ Equity</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31">
              <w:r>
                <w:rPr>
                  <w:rStyle w:val="InternetLink"/>
                  <w:rFonts w:ascii="Times New Roman;sans-serif" w:hAnsi="Times New Roman;sans-serif"/>
                  <w:b w:val="false"/>
                  <w:color w:val="0000FF"/>
                  <w:sz w:val="20"/>
                  <w:u w:val="single"/>
                </w:rPr>
                <w:t>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34">
              <w:r>
                <w:rPr>
                  <w:rStyle w:val="InternetLink"/>
                  <w:rFonts w:ascii="Times New Roman;sans-serif" w:hAnsi="Times New Roman;sans-serif"/>
                  <w:b w:val="false"/>
                  <w:color w:val="0000FF"/>
                  <w:sz w:val="20"/>
                  <w:u w:val="single"/>
                </w:rPr>
                <w:t>Condensed Consolidated Statements of Cash Flows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34">
              <w:r>
                <w:rPr>
                  <w:rStyle w:val="InternetLink"/>
                  <w:rFonts w:ascii="Times New Roman;sans-serif" w:hAnsi="Times New Roman;sans-serif"/>
                  <w:b w:val="false"/>
                  <w:color w:val="0000FF"/>
                  <w:sz w:val="20"/>
                  <w:u w:val="single"/>
                </w:rPr>
                <w:t>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37">
              <w:r>
                <w:rPr>
                  <w:rStyle w:val="InternetLink"/>
                  <w:rFonts w:ascii="Times New Roman;sans-serif" w:hAnsi="Times New Roman;sans-serif"/>
                  <w:b w:val="false"/>
                  <w:color w:val="0000FF"/>
                  <w:sz w:val="20"/>
                  <w:u w:val="single"/>
                </w:rPr>
                <w:t>Condensed Notes to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37">
              <w:r>
                <w:rPr>
                  <w:rStyle w:val="InternetLink"/>
                  <w:rFonts w:ascii="Times New Roman;sans-serif" w:hAnsi="Times New Roman;sans-serif"/>
                  <w:b w:val="false"/>
                  <w:color w:val="0000FF"/>
                  <w:sz w:val="20"/>
                  <w:u w:val="single"/>
                </w:rPr>
                <w:t>6</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88">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88">
              <w:r>
                <w:rPr>
                  <w:rStyle w:val="InternetLink"/>
                  <w:rFonts w:ascii="Times New Roman;sans-serif" w:hAnsi="Times New Roman;sans-serif"/>
                  <w:b w:val="false"/>
                  <w:color w:val="0000FF"/>
                  <w:sz w:val="20"/>
                  <w:u w:val="single"/>
                </w:rPr>
                <w:t>27</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27">
              <w:r>
                <w:rPr>
                  <w:rStyle w:val="InternetLink"/>
                  <w:rFonts w:ascii="Times New Roman;sans-serif" w:hAnsi="Times New Roman;sans-serif"/>
                  <w:b w:val="false"/>
                  <w:color w:val="0000FF"/>
                  <w:sz w:val="20"/>
                  <w:u w:val="single"/>
                </w:rPr>
                <w:t>Item 3. Quantitative and Qualitative Disclosures About Market Risk</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27">
              <w:r>
                <w:rPr>
                  <w:rStyle w:val="InternetLink"/>
                  <w:rFonts w:ascii="Times New Roman;sans-serif" w:hAnsi="Times New Roman;sans-serif"/>
                  <w:b w:val="false"/>
                  <w:color w:val="0000FF"/>
                  <w:sz w:val="20"/>
                  <w:u w:val="single"/>
                </w:rPr>
                <w:t>43</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30">
              <w:r>
                <w:rPr>
                  <w:rStyle w:val="InternetLink"/>
                  <w:rFonts w:ascii="Times New Roman;sans-serif" w:hAnsi="Times New Roman;sans-serif"/>
                  <w:b w:val="false"/>
                  <w:color w:val="0000FF"/>
                  <w:sz w:val="20"/>
                  <w:u w:val="single"/>
                </w:rPr>
                <w:t>Item 4. Controls and Procedures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30">
              <w:r>
                <w:rPr>
                  <w:rStyle w:val="InternetLink"/>
                  <w:rFonts w:ascii="Times New Roman;sans-serif" w:hAnsi="Times New Roman;sans-serif"/>
                  <w:b w:val="false"/>
                  <w:color w:val="0000FF"/>
                  <w:sz w:val="20"/>
                  <w:u w:val="single"/>
                </w:rPr>
                <w:t>44</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20"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33">
              <w:r>
                <w:rPr>
                  <w:rStyle w:val="InternetLink"/>
                  <w:rFonts w:ascii="Times New Roman;sans-serif" w:hAnsi="Times New Roman;sans-serif"/>
                  <w:b/>
                  <w:color w:val="0000FF"/>
                  <w:sz w:val="20"/>
                  <w:u w:val="single"/>
                </w:rPr>
                <w:t>PART II. OTHER INFORMATION</w:t>
              </w:r>
            </w:hyperlink>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36">
              <w:r>
                <w:rPr>
                  <w:rStyle w:val="InternetLink"/>
                  <w:rFonts w:ascii="Times New Roman;sans-serif" w:hAnsi="Times New Roman;sans-serif"/>
                  <w:b w:val="false"/>
                  <w:color w:val="0000FF"/>
                  <w:sz w:val="20"/>
                  <w:u w:val="single"/>
                </w:rPr>
                <w:t>Item 1. Legal Proceedings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36">
              <w:r>
                <w:rPr>
                  <w:rStyle w:val="InternetLink"/>
                  <w:rFonts w:ascii="Times New Roman;sans-serif" w:hAnsi="Times New Roman;sans-serif"/>
                  <w:b w:val="false"/>
                  <w:color w:val="0000FF"/>
                  <w:sz w:val="20"/>
                  <w:u w:val="single"/>
                </w:rPr>
                <w:t>45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39">
              <w:r>
                <w:rPr>
                  <w:rStyle w:val="InternetLink"/>
                  <w:rFonts w:ascii="Times New Roman;sans-serif" w:hAnsi="Times New Roman;sans-serif"/>
                  <w:b w:val="false"/>
                  <w:color w:val="0000FF"/>
                  <w:sz w:val="20"/>
                  <w:u w:val="single"/>
                </w:rPr>
                <w:t>Item 1A. Risk Factors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39">
              <w:r>
                <w:rPr>
                  <w:rStyle w:val="InternetLink"/>
                  <w:rFonts w:ascii="Times New Roman;sans-serif" w:hAnsi="Times New Roman;sans-serif"/>
                  <w:b w:val="false"/>
                  <w:color w:val="0000FF"/>
                  <w:sz w:val="20"/>
                  <w:u w:val="single"/>
                </w:rPr>
                <w:t>45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42">
              <w:r>
                <w:rPr>
                  <w:rStyle w:val="InternetLink"/>
                  <w:rFonts w:ascii="Times New Roman;sans-serif" w:hAnsi="Times New Roman;sans-serif"/>
                  <w:b w:val="false"/>
                  <w:color w:val="0000FF"/>
                  <w:sz w:val="20"/>
                  <w:u w:val="single"/>
                </w:rPr>
                <w:t>Item 2. Unregistered Sales of Equity Securities and Use of Proceeds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42">
              <w:r>
                <w:rPr>
                  <w:rStyle w:val="InternetLink"/>
                  <w:rFonts w:ascii="Times New Roman;sans-serif" w:hAnsi="Times New Roman;sans-serif"/>
                  <w:b w:val="false"/>
                  <w:color w:val="0000FF"/>
                  <w:sz w:val="20"/>
                  <w:u w:val="single"/>
                </w:rPr>
                <w:t>45</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45">
              <w:r>
                <w:rPr>
                  <w:rStyle w:val="InternetLink"/>
                  <w:rFonts w:ascii="Times New Roman;sans-serif" w:hAnsi="Times New Roman;sans-serif"/>
                  <w:b w:val="false"/>
                  <w:color w:val="0000FF"/>
                  <w:sz w:val="20"/>
                  <w:u w:val="single"/>
                </w:rPr>
                <w:t>Item 5. Other Information</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45">
              <w:r>
                <w:rPr>
                  <w:rStyle w:val="InternetLink"/>
                  <w:rFonts w:ascii="Times New Roman;sans-serif" w:hAnsi="Times New Roman;sans-serif"/>
                  <w:b w:val="false"/>
                  <w:color w:val="0000FF"/>
                  <w:sz w:val="20"/>
                  <w:u w:val="single"/>
                </w:rPr>
                <w:t>46</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48">
              <w:r>
                <w:rPr>
                  <w:rStyle w:val="InternetLink"/>
                  <w:rFonts w:ascii="Times New Roman;sans-serif" w:hAnsi="Times New Roman;sans-serif"/>
                  <w:b w:val="false"/>
                  <w:color w:val="0000FF"/>
                  <w:sz w:val="20"/>
                  <w:u w:val="single"/>
                </w:rPr>
                <w:t>Item 6. Exhibits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48">
              <w:r>
                <w:rPr>
                  <w:rStyle w:val="InternetLink"/>
                  <w:rFonts w:ascii="Times New Roman;sans-serif" w:hAnsi="Times New Roman;sans-serif"/>
                  <w:b w:val="false"/>
                  <w:color w:val="0000FF"/>
                  <w:sz w:val="20"/>
                  <w:u w:val="single"/>
                </w:rPr>
                <w:t>47</w:t>
              </w:r>
            </w:hyperlink>
          </w:p>
        </w:tc>
      </w:tr>
      <w:tr>
        <w:trPr/>
        <w:tc>
          <w:tcPr>
            <w:tcW w:w="79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9e4db464c2249aebaf424c72b2cbe2e_151">
              <w:r>
                <w:rPr>
                  <w:rStyle w:val="InternetLink"/>
                  <w:rFonts w:ascii="Times New Roman;sans-serif" w:hAnsi="Times New Roman;sans-serif"/>
                  <w:b w:val="false"/>
                  <w:color w:val="0000FF"/>
                  <w:sz w:val="20"/>
                  <w:u w:val="single"/>
                </w:rPr>
                <w:t>Signatures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9e4db464c2249aebaf424c72b2cbe2e_151">
              <w:r>
                <w:rPr>
                  <w:rStyle w:val="InternetLink"/>
                  <w:rFonts w:ascii="Times New Roman;sans-serif" w:hAnsi="Times New Roman;sans-serif"/>
                  <w:b w:val="false"/>
                  <w:color w:val="0000FF"/>
                  <w:sz w:val="20"/>
                  <w:u w:val="single"/>
                </w:rPr>
                <w:t>48</w:t>
              </w:r>
            </w:hyperlink>
          </w:p>
        </w:tc>
      </w:tr>
    </w:tbl>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OIL AND NATURAL GAS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oil and natural gas industry terms that are used in this Quarterly Report on Form 10-Q (this “report”):</w:t>
      </w:r>
    </w:p>
    <w:tbl>
      <w:tblPr>
        <w:tblW w:w="10205" w:type="dxa"/>
        <w:jc w:val="left"/>
        <w:tblInd w:w="0" w:type="dxa"/>
        <w:tblLayout w:type="fixed"/>
        <w:tblCellMar>
          <w:top w:w="28" w:type="dxa"/>
          <w:left w:w="28" w:type="dxa"/>
          <w:bottom w:w="28" w:type="dxa"/>
          <w:right w:w="28" w:type="dxa"/>
        </w:tblCellMar>
      </w:tblPr>
      <w:tblGrid>
        <w:gridCol w:w="512"/>
        <w:gridCol w:w="286"/>
        <w:gridCol w:w="288"/>
        <w:gridCol w:w="2871"/>
        <w:gridCol w:w="2578"/>
        <w:gridCol w:w="3670"/>
      </w:tblGrid>
      <w:tr>
        <w:trPr/>
        <w:tc>
          <w:tcPr>
            <w:tcW w:w="5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2578" w:type="dxa"/>
            <w:tcBorders/>
            <w:vAlign w:val="center"/>
          </w:tcPr>
          <w:p>
            <w:pPr>
              <w:pStyle w:val="TableContents"/>
              <w:bidi w:val="0"/>
              <w:spacing w:before="0" w:after="283"/>
              <w:jc w:val="left"/>
              <w:rPr>
                <w:sz w:val="4"/>
                <w:szCs w:val="4"/>
              </w:rPr>
            </w:pPr>
            <w:r>
              <w:rPr>
                <w:sz w:val="4"/>
                <w:szCs w:val="4"/>
              </w:rPr>
            </w:r>
          </w:p>
        </w:tc>
        <w:tc>
          <w:tcPr>
            <w:tcW w:w="3670" w:type="dxa"/>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Houston</w:t>
            </w:r>
          </w:p>
        </w:tc>
        <w:tc>
          <w:tcPr>
            <w:tcW w:w="9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Houston, Texas.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Argus WTI Midland</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Grade of oil that serves as a benchmark price for oil at Midland, Texas.</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Basin</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large depression on the earth’s surface in which sediments accumulate.</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Bbl or barrel</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stock tank barrel, or 42 U.S. gallons liquid volume, used in this report in reference to crude oil or other liquid hydrocarbons.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crude oil.</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BO/d</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BO per day.</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barrel of oil equivalent, with six thousand cubic feet of natural gas being equivalent to one barrel of oil.</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BOE/d</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BOE per day.</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Brent</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major trading classification of light sweet oil that serves as a benchmark price for oil worldwide.</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British Thermal Unit or Btu</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quantity of heat required to raise the temperature of one pound of water by one degree Fahrenheit.</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Completion</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process of treating a drilled well followed by the installation of permanent equipment for the production of natural gas or oil, or in the case of a dry hole, the reporting of abandonment to the appropriate agency.</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acres or gross wells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total acres or wells, as the case may be, in which a working interest is owned.</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Henry Hub</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futures on the NYMEX.</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Horizontal wells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Wells drilled directionally horizontal to allow for development of structures not reachable through traditional vertical drilling mechanisms.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MBbl</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barrels of crude oil and other liquid hydrocarbons.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MBOE/d</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BOE per day.</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Mcf</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thousand cubic feet of natural gas.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Mineral interests</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interests in ownership of the resource and mineral rights, giving an owner the right to profit from the extracted resources.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MMBtu</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One million British Thermal Units.</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MMcf</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Million cubic feet of natural gas.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acres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sum of the fractional working interest owned in gross acres.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Oil and natural gas properties</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Tracts of land consisting of properties to be developed for oil and natural gas resource extraction.</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Proved reserves</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quantities of oil, natural gas and natural gas liquids which geological and engineering data demonstrate with reasonable certainty to be commercially recoverable in future years from known reservoirs under existing economic and operating conditions.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Reserves</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The estimated remaining quantities of oil and natural gas and related substances anticipated to be economically producible, as of a given date, by application of development projects to known accumulations. In addition, there must exist, or there must be a reasonable expectation that there will exist, the legal right to produce or a revenue interest in the production, installed means of delivering oil and natural gas or related substances to the market and all permits and financing required to implement the project. Reserves are not assigned to adjacent reservoirs isolated by major, potentially sealing, faults until those reservoirs are penetrated and evaluated as economically producible. Reserves should not be assigned to areas that are clearly separated from a known accumulation by a non-productive reservoir (i.e., absence of reservoir, structurally low reservoir or negative test results). Such areas may contain prospective resources (i.e., potentially recoverable resources from undiscovered accumulations).</w:t>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Reservoir</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 porous and permeable underground formation containing a natural accumulation of producible natural gas and/or crude oil that is confined by impermeable rock or water barriers and is separate from other reservoirs.</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Royalty interest</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interest that gives an owner the right to receive a portion of the resources or revenues without having to carry any costs of development, which may be subject to expiration.</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r>
        <w:trPr/>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Waha Hub</w:t>
            </w:r>
          </w:p>
        </w:tc>
        <w:tc>
          <w:tcPr>
            <w:tcW w:w="9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Natural gas gathering point that serves as a benchmark price for natural gas at western Texas and New Mexico.</w:t>
            </w:r>
          </w:p>
        </w:tc>
      </w:tr>
      <w:tr>
        <w:trPr/>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Working interest</w:t>
            </w:r>
          </w:p>
        </w:tc>
        <w:tc>
          <w:tcPr>
            <w:tcW w:w="9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An operating interest that gives the owner the right to drill, produce and conduct operating activities on the property and receive a share of production and requires the owner to pay a share of the costs of drilling and production operations.</w:t>
            </w:r>
          </w:p>
        </w:tc>
      </w:tr>
      <w:tr>
        <w:trPr/>
        <w:tc>
          <w:tcPr>
            <w:tcW w:w="10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WTI</w:t>
            </w:r>
          </w:p>
        </w:tc>
        <w:tc>
          <w:tcPr>
            <w:tcW w:w="911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West Texas Intermediate, a light sweet blend of oil produced from fields in western Texas and is a grade of oil that serves as a benchmark for oil on the NYMEX.</w:t>
            </w:r>
          </w:p>
        </w:tc>
      </w:tr>
      <w:tr>
        <w:trPr/>
        <w:tc>
          <w:tcPr>
            <w:tcW w:w="1086" w:type="dxa"/>
            <w:gridSpan w:val="3"/>
            <w:tcBorders/>
            <w:vAlign w:val="center"/>
          </w:tcPr>
          <w:p>
            <w:pPr>
              <w:pStyle w:val="TableContents"/>
              <w:bidi w:val="0"/>
              <w:spacing w:before="0" w:after="283"/>
              <w:jc w:val="left"/>
              <w:rPr>
                <w:sz w:val="4"/>
                <w:szCs w:val="4"/>
              </w:rPr>
            </w:pPr>
            <w:r>
              <w:rPr>
                <w:sz w:val="4"/>
                <w:szCs w:val="4"/>
              </w:rPr>
            </w:r>
          </w:p>
        </w:tc>
        <w:tc>
          <w:tcPr>
            <w:tcW w:w="911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GLOSSARY OF CERTAIN OTHER TERMS</w:t>
      </w:r>
    </w:p>
    <w:p>
      <w:pPr>
        <w:pStyle w:val="TextBody"/>
        <w:bidi w:val="0"/>
        <w:spacing w:lineRule="auto" w:line="288" w:before="18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glossary of certain other terms that are used in this report:</w:t>
      </w:r>
    </w:p>
    <w:tbl>
      <w:tblPr>
        <w:tblW w:w="10205" w:type="dxa"/>
        <w:jc w:val="left"/>
        <w:tblInd w:w="0" w:type="dxa"/>
        <w:tblLayout w:type="fixed"/>
        <w:tblCellMar>
          <w:top w:w="28" w:type="dxa"/>
          <w:left w:w="28" w:type="dxa"/>
          <w:bottom w:w="28" w:type="dxa"/>
          <w:right w:w="28" w:type="dxa"/>
        </w:tblCellMar>
      </w:tblPr>
      <w:tblGrid>
        <w:gridCol w:w="533"/>
        <w:gridCol w:w="456"/>
        <w:gridCol w:w="338"/>
        <w:gridCol w:w="2691"/>
        <w:gridCol w:w="2557"/>
        <w:gridCol w:w="3630"/>
      </w:tblGrid>
      <w:tr>
        <w:trPr/>
        <w:tc>
          <w:tcPr>
            <w:tcW w:w="53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691"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8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Standards Update.</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Plan</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Company’s 2021 Amended and Restated Equity Incentive Plan.</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Exchange Act of 1934, as amended.</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Financial Accounting Standards Board.</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Accounting principles generally accepted in the United States.</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LIBOR</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London interbank offered rate.</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Nasdaq Global Select Market.</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NYMEX</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New York Mercantile Exchange.</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OPEC</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Organization of the Petroleum Exporting Countries.</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United States Securities and Exchange Commission.</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Securities Act of 1933, as amended.</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Guaranteed Senior Notes</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outstanding senior notes issued by Diamondback Energy, Inc. under indentures where Diamondback E&amp;P is the sole guarantor, consisting of the 3.250% Senior Notes due 2026, 3.500% Senior Notes due 2029, 3.125% Senior Notes due 2031, 6.250% Senior Notes due 2033, 4.400% Senior Notes due 2051, 4.250% Senior Notes due 2052 and 6.250% Senior Notes due 2053.</w:t>
            </w:r>
          </w:p>
        </w:tc>
      </w:tr>
      <w:tr>
        <w:trPr/>
        <w:tc>
          <w:tcPr>
            <w:tcW w:w="1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The secured overnight financing rate.</w:t>
            </w:r>
          </w:p>
        </w:tc>
      </w:tr>
      <w:tr>
        <w:trPr/>
        <w:tc>
          <w:tcPr>
            <w:tcW w:w="1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TSR</w:t>
            </w:r>
          </w:p>
        </w:tc>
        <w:tc>
          <w:tcPr>
            <w:tcW w:w="8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Total stockholder return of the Company’s common stock.</w:t>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vAlign w:val="center"/>
          </w:tcPr>
          <w:p>
            <w:pPr>
              <w:pStyle w:val="TableContents"/>
              <w:bidi w:val="0"/>
              <w:spacing w:before="0" w:after="283"/>
              <w:jc w:val="left"/>
              <w:rPr>
                <w:sz w:val="4"/>
                <w:szCs w:val="4"/>
              </w:rPr>
            </w:pPr>
            <w:r>
              <w:rPr>
                <w:sz w:val="4"/>
                <w:szCs w:val="4"/>
              </w:rPr>
            </w:r>
          </w:p>
        </w:tc>
        <w:tc>
          <w:tcPr>
            <w:tcW w:w="8878" w:type="dxa"/>
            <w:gridSpan w:val="3"/>
            <w:tcBorders/>
            <w:vAlign w:val="center"/>
          </w:tcPr>
          <w:p>
            <w:pPr>
              <w:pStyle w:val="TableContents"/>
              <w:bidi w:val="0"/>
              <w:spacing w:before="0" w:after="283"/>
              <w:jc w:val="left"/>
              <w:rPr>
                <w:sz w:val="4"/>
                <w:szCs w:val="4"/>
              </w:rPr>
            </w:pPr>
            <w:r>
              <w:rPr>
                <w:sz w:val="4"/>
                <w:szCs w:val="4"/>
              </w:rPr>
            </w:r>
          </w:p>
        </w:tc>
      </w:tr>
      <w:tr>
        <w:trPr/>
        <w:tc>
          <w:tcPr>
            <w:tcW w:w="132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Wells Fargo</w:t>
            </w:r>
          </w:p>
        </w:tc>
        <w:tc>
          <w:tcPr>
            <w:tcW w:w="887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9"/>
              </w:rPr>
            </w:pPr>
            <w:r>
              <w:rPr>
                <w:rFonts w:ascii="Times New Roman;sans-serif" w:hAnsi="Times New Roman;sans-serif"/>
                <w:b w:val="false"/>
                <w:color w:val="000000"/>
                <w:sz w:val="19"/>
              </w:rPr>
              <w:t>Wells Fargo Bank, National Association.</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CAUTIONARY STATEMENT REGARDING FORWARD-LOOKING STATEMENTS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Various statements contained in this report are “forward-looking statements” within the meaning of Section 27A of the Securities Act and Section 21E of the Exchange Act, which involve risks, uncertainties and assumptions. All statements, other than statements of historical fact, including statements regarding our: future performance; business strategy; future operations (including drilling plans and capital plans); estimates and projections of revenues, losses, costs, expenses, returns, cash flow and financial position; reserve estimates and our ability to replace or increase reserves; anticipated benefits of strategic transactions (including acquisitions and divestitures); and plans and objectives of management (including plans for future cash flow from operations and for executing environmental strategies) are forward-looking statements. When used in this report, the words “aim,” “anticipate,” “believe,” “continue,” “could,” “estimate,” “expect,” “forecast,” “future,” “guidance,” “intend,” “may,” “model,” “outlook,” “plan,” “positioned,” “potential,” “predict,” “project,” “seek,” “should,” “target,” “will,” “would,” and similar expressions (including the negative of such terms) as they relate to the Company are intended to identify forward-looking statements, although not all forward-looking statements contain such identifying words. In particular, the factors discussed in this report and detailed under </w:t>
      </w:r>
      <w:hyperlink w:anchor="ia9e4db464c2249aebaf424c72b2cbe2e_139">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in this report and our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"ia595866015b4400388c840bd76dbe1a1_16"</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Factors that could cause our outcomes to differ materially include (but are not limited to) the following:</w:t>
      </w:r>
    </w:p>
    <w:p>
      <w:pPr>
        <w:pStyle w:val="TextBody"/>
        <w:bidi w:val="0"/>
        <w:spacing w:before="0" w:after="0"/>
        <w:ind w:left="0" w:right="0" w:firstLine="720"/>
        <w:jc w:val="both"/>
        <w:rPr/>
      </w:pPr>
      <w:r>
        <w:rPr/>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supply and demand levels for oil, natural gas and natural gas liquids, and the resulting impact on the price for those commodities;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the impact of public health crises, including epidemic or pandemic diseases and any related company or government policies or actions;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actions taken by the members of OPEC and Russia affecting the production and pricing of oil, as well as other domestic and global political, economic, or diplomatic developments;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general economic, business or industry conditions, including changes in foreign currency exchange rates, interest rates and inflation rates, instability in the financial sector and concerns over a potential economic downturn or recession;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regional supply and demand factors, including delays, curtailment delays or interruptions of production, or governmental orders, rules or regulations that impose production limits;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federal and state legislative and regulatory initiatives relating to hydraulic fracturing, including the effect of existing and future laws and governmental regulations;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physical and transition risks relating to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restrictions on the use of water, including limits on the use of produced water and a moratorium on new produced water well permits recently imposed by the Texas Railroad Commission in an effort to control induced seismicity in the Permian Basin;</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significant declines in prices for oil, natural gas, or natural gas liquids, which could require recognition of significant impairment charges;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U.S. energy, environmental, monetary and trade policies;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conditions in the capital, financial and credit markets, including the availability and pricing of capital for drilling and development operations and our environmental and social responsibility projects;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challenges with employee retention and an increasingly competitive labor market;</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availability or cost of rigs, equipment, raw materials, supplies, oilfield services;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safety, health, environmental, tax and other regulations or requirements (including those addressing air emissions, water management, or the impact of global climate change);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security threats, including cybersecurity threats and disruptions to our business and operations from breaches of our information technology systems, or from breaches of information technology systems of third parties with whom we transact business;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 xml:space="preserve">lack of, or disruption in, access to adequate and reliable transportation, processing, storage and other facilities for our oil, natural gas and natural gas liquids;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failures or delays in achieving expected reserve or production levels from existing and future oil and natural gas developments, including due to operating hazards, drilling risks, or the inherent uncertainties in predicting reserve and reservoir performance;</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difficulty in obtaining necessary approvals and permits;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severe weather conditions;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acts of war or terrorist acts and the governmental or military response thereto;</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the financial strength of counterparties to our credit agreement and hedging contracts;</w:t>
      </w:r>
    </w:p>
    <w:p>
      <w:pPr>
        <w:pStyle w:val="TextBody"/>
        <w:bidi w:val="0"/>
        <w:spacing w:lineRule="auto" w:line="268" w:before="0" w:after="120"/>
        <w:ind w:left="0" w:right="0" w:hanging="360"/>
        <w:jc w:val="both"/>
        <w:rPr/>
      </w:pPr>
      <w:r>
        <w:rPr>
          <w:color w:val="000000"/>
        </w:rPr>
        <w:t>•</w:t>
      </w:r>
      <w:r>
        <w:rPr>
          <w:rFonts w:ascii="Times New Roman;sans-serif" w:hAnsi="Times New Roman;sans-serif"/>
          <w:b w:val="false"/>
          <w:color w:val="000000"/>
          <w:sz w:val="20"/>
        </w:rPr>
        <w:t>changes in our credit rating; and</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other risks and factors disclosed in this report.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light of these factors, the events anticipated by our forward-looking statements may not occur at the time anticipated or at all. Moreover, we operate in a very competitive and rapidly changing environment and new risks emerge from time to time. We cannot predict all risks, nor can we assess the impact of all factors on our business or the extent to which any factor, or combination of factors, may cause actual results to differ materially from those anticipated by any forward-looking statements we may make. Accordingly, you should not place undue reliance on any forward-looking statements made in this report. All forward-looking statements speak only as of the date of this report or, if earlier, as of the date they were made. We do not intend to, and disclaim any obligation to, update or revise any forward-looking statements unless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82"/>
        <w:gridCol w:w="2271"/>
        <w:gridCol w:w="2258"/>
        <w:gridCol w:w="249"/>
        <w:gridCol w:w="822"/>
        <w:gridCol w:w="138"/>
        <w:gridCol w:w="138"/>
        <w:gridCol w:w="138"/>
        <w:gridCol w:w="138"/>
        <w:gridCol w:w="249"/>
        <w:gridCol w:w="822"/>
        <w:gridCol w:w="200"/>
      </w:tblGrid>
      <w:tr>
        <w:trPr/>
        <w:tc>
          <w:tcPr>
            <w:tcW w:w="2782"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Diamondback Energy, Inc. and Subsidiaries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Condensed 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7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vMerge w:val="restart"/>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 except par values and share data)</w:t>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Assets</w:t>
            </w:r>
          </w:p>
        </w:tc>
        <w:tc>
          <w:tcPr>
            <w:tcW w:w="2894" w:type="dxa"/>
            <w:gridSpan w:val="9"/>
            <w:vMerge w:val="continue"/>
            <w:tcBorders>
              <w:top w:val="single" w:sz="8" w:space="0" w:color="000000"/>
            </w:tcBorders>
            <w:shd w:fill="FFFFFF" w:val="clear"/>
            <w:tcMar>
              <w:top w:w="30" w:type="dxa"/>
              <w:left w:w="0" w:type="dxa"/>
              <w:bottom w:w="0" w:type="dxa"/>
              <w:right w:w="0" w:type="dxa"/>
            </w:tcMar>
            <w:vAlign w:val="center"/>
          </w:tcPr>
          <w:p>
            <w:pPr>
              <w:pStyle w:val="Normal"/>
              <w:bidi w:val="0"/>
              <w:jc w:val="left"/>
              <w:rPr/>
            </w:pPr>
            <w:r>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assets:</w:t>
            </w:r>
          </w:p>
        </w:tc>
        <w:tc>
          <w:tcPr>
            <w:tcW w:w="12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Restricted cash</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Joint interest and other, net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Oil and natural gas sales,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 receivable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 expenses and other current assets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assets</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1,916 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1,392 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w:t>
            </w:r>
          </w:p>
        </w:tc>
        <w:tc>
          <w:tcPr>
            <w:tcW w:w="12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Oil and natural gas properties, full cost method of accounting ($8,239 million and $8,355 million excluded from amortization at September 30, 2023 and December 31, 2022, respectively)</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40,647 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37,122 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property, equipment and land</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depletion, depreciation, amortization and impairment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(15,988)</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(14,844)</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and equipment, net</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25,365 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23,759 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Funds held in escrow</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Equity method investments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Assets held for sale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 net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Investment in real estate, net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assets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assets</w:t>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28,049 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26,209 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Liabilities and Stockholders’ Equity</w:t>
            </w:r>
          </w:p>
        </w:tc>
        <w:tc>
          <w:tcPr>
            <w:tcW w:w="120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liabilities:</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payable - trade</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capital expenditures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480 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Current maturities of long-term debt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accrued liabilities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Revenues and royalties payable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619 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Income taxes payable</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current liabilities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1,716 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Long-term debt</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6,238 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Derivative instruments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148 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Asset retirement obligations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2,069 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long-term liabilities</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w:t>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11,065 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10,519 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7"/>
              </w:rPr>
            </w:pPr>
            <w:r>
              <w:rPr>
                <w:rFonts w:ascii="Times New Roman;sans-serif" w:hAnsi="Times New Roman;sans-serif"/>
                <w:b w:val="false"/>
                <w:color w:val="000000"/>
                <w:sz w:val="17"/>
              </w:rPr>
              <w:t>Commitments and contingencies (Note 14)</w:t>
            </w:r>
          </w:p>
        </w:tc>
        <w:tc>
          <w:tcPr>
            <w:tcW w:w="12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Stockholders’ equity:</w:t>
            </w:r>
          </w:p>
        </w:tc>
        <w:tc>
          <w:tcPr>
            <w:tcW w:w="1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Common stock, $0.01 par value; 400,000,000 shares authorized; 178,815,302 and 179,840,797 shares issued and outstanding at September 30, 2023 and December 31, 2022, respectively</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Additional paid-in capital</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14,213 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Retained earnings (accumulated deficit)</w:t>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Accumulated other comprehensive income (loss)</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Diamondback Energy, Inc. stockholders’ equity</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16,280 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15,009 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Non-controlling interest</w:t>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equity</w:t>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16,984 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15,690 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liabilities and equity</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28,049 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8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26,209 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7"/>
        </w:rPr>
      </w:pPr>
      <w:r>
        <w:rPr>
          <w:rFonts w:ascii="Times New Roman;sans-serif" w:hAnsi="Times New Roman;sans-serif"/>
          <w:b w:val="false"/>
          <w:color w:val="000000"/>
          <w:sz w:val="17"/>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599"/>
        <w:gridCol w:w="1343"/>
        <w:gridCol w:w="1357"/>
        <w:gridCol w:w="268"/>
        <w:gridCol w:w="786"/>
        <w:gridCol w:w="138"/>
        <w:gridCol w:w="138"/>
        <w:gridCol w:w="138"/>
        <w:gridCol w:w="138"/>
        <w:gridCol w:w="268"/>
        <w:gridCol w:w="786"/>
        <w:gridCol w:w="138"/>
        <w:gridCol w:w="109"/>
        <w:gridCol w:w="109"/>
        <w:gridCol w:w="109"/>
        <w:gridCol w:w="260"/>
        <w:gridCol w:w="761"/>
        <w:gridCol w:w="134"/>
        <w:gridCol w:w="134"/>
        <w:gridCol w:w="134"/>
        <w:gridCol w:w="134"/>
        <w:gridCol w:w="260"/>
        <w:gridCol w:w="761"/>
        <w:gridCol w:w="203"/>
      </w:tblGrid>
      <w:tr>
        <w:trPr/>
        <w:tc>
          <w:tcPr>
            <w:tcW w:w="159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 shares in thousands)</w:t>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Oil sales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1,997 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5,359 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5,988 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sales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liquid sales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Sales of purchased oil</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income</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2,437 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7,613 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Costs and expenses:</w:t>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Lease operating expenses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618 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Production and ad valorem taxes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Gathering and transportation</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Purchased oil expense</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General and administrative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Merger and integration expenses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operating expenses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costs and expenses</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1,000 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823 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2,819 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2,361 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from operations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5,252 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 net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investments</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other income (expense), net</w:t>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(54)</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(805)</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 (loss) before income taxes</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1,560 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2,973 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4,447 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913 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Net income (loss) </w:t>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993 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3,534 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attributable to Diamondback Energy, Inc.</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3,379 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Earnings (loss) per common share:</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18.99 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common shares outstanding:</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Basic</w:t>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178,872 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174,406 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180,400 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176,169 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Diluted</w:t>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178,872 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174,408 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180,400 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176,171 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Dividends declared per share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r>
        <w:trPr/>
        <w:tc>
          <w:tcPr>
            <w:tcW w:w="4299"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31"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381" w:type="dxa"/>
        <w:jc w:val="left"/>
        <w:tblInd w:w="0" w:type="dxa"/>
        <w:tblLayout w:type="fixed"/>
        <w:tblCellMar>
          <w:top w:w="28" w:type="dxa"/>
          <w:left w:w="28" w:type="dxa"/>
          <w:bottom w:w="28" w:type="dxa"/>
          <w:right w:w="28" w:type="dxa"/>
        </w:tblCellMar>
      </w:tblPr>
      <w:tblGrid>
        <w:gridCol w:w="679"/>
        <w:gridCol w:w="268"/>
        <w:gridCol w:w="269"/>
        <w:gridCol w:w="368"/>
        <w:gridCol w:w="368"/>
        <w:gridCol w:w="196"/>
        <w:gridCol w:w="109"/>
        <w:gridCol w:w="109"/>
        <w:gridCol w:w="109"/>
        <w:gridCol w:w="248"/>
        <w:gridCol w:w="305"/>
        <w:gridCol w:w="138"/>
        <w:gridCol w:w="109"/>
        <w:gridCol w:w="109"/>
        <w:gridCol w:w="109"/>
        <w:gridCol w:w="196"/>
        <w:gridCol w:w="646"/>
        <w:gridCol w:w="109"/>
        <w:gridCol w:w="109"/>
        <w:gridCol w:w="109"/>
        <w:gridCol w:w="109"/>
        <w:gridCol w:w="252"/>
        <w:gridCol w:w="717"/>
        <w:gridCol w:w="142"/>
        <w:gridCol w:w="109"/>
        <w:gridCol w:w="109"/>
        <w:gridCol w:w="109"/>
        <w:gridCol w:w="424"/>
        <w:gridCol w:w="554"/>
        <w:gridCol w:w="238"/>
        <w:gridCol w:w="109"/>
        <w:gridCol w:w="109"/>
        <w:gridCol w:w="109"/>
        <w:gridCol w:w="352"/>
        <w:gridCol w:w="757"/>
        <w:gridCol w:w="197"/>
        <w:gridCol w:w="109"/>
        <w:gridCol w:w="109"/>
        <w:gridCol w:w="109"/>
        <w:gridCol w:w="196"/>
        <w:gridCol w:w="646"/>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5" w:type="dxa"/>
            <w:gridSpan w:val="3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179,841 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681 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shares issued for acquisition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4,330 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issuance of restricted stock units and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181,605 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659 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(2,427)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vesting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179,219 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658 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16,212 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vesting of restricted stock units and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915 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178,815 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2,136 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704 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16,984 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61"/>
        <w:gridCol w:w="478"/>
        <w:gridCol w:w="480"/>
        <w:gridCol w:w="368"/>
        <w:gridCol w:w="368"/>
        <w:gridCol w:w="196"/>
        <w:gridCol w:w="109"/>
        <w:gridCol w:w="109"/>
        <w:gridCol w:w="109"/>
        <w:gridCol w:w="248"/>
        <w:gridCol w:w="305"/>
        <w:gridCol w:w="138"/>
        <w:gridCol w:w="109"/>
        <w:gridCol w:w="109"/>
        <w:gridCol w:w="109"/>
        <w:gridCol w:w="229"/>
        <w:gridCol w:w="755"/>
        <w:gridCol w:w="127"/>
        <w:gridCol w:w="109"/>
        <w:gridCol w:w="109"/>
        <w:gridCol w:w="109"/>
        <w:gridCol w:w="313"/>
        <w:gridCol w:w="915"/>
        <w:gridCol w:w="175"/>
        <w:gridCol w:w="109"/>
        <w:gridCol w:w="109"/>
        <w:gridCol w:w="109"/>
        <w:gridCol w:w="109"/>
        <w:gridCol w:w="109"/>
        <w:gridCol w:w="317"/>
        <w:gridCol w:w="900"/>
        <w:gridCol w:w="177"/>
        <w:gridCol w:w="109"/>
        <w:gridCol w:w="109"/>
        <w:gridCol w:w="109"/>
        <w:gridCol w:w="196"/>
        <w:gridCol w:w="646"/>
        <w:gridCol w:w="160"/>
      </w:tblGrid>
      <w:tr>
        <w:trPr/>
        <w:tc>
          <w:tcPr>
            <w:tcW w:w="86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02"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7" w:type="dxa"/>
            <w:gridSpan w:val="2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in millions, shares in thousands)</w:t>
            </w:r>
          </w:p>
        </w:tc>
        <w:tc>
          <w:tcPr>
            <w:tcW w:w="1329" w:type="dxa"/>
            <w:gridSpan w:val="6"/>
            <w:tcBorders/>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177,551 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14,084 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(1,998)</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13,245 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issuance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779 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803 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177,551 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14,067 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(1,326)</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1,109 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13,852 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tax withholding on vested equity awards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(2,369)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Exercise of stock options and vesting of restricted stock units and awards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1,461 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June 30,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175,201 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13,772 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(458)</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1,074 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14,390 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Unit-based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 equivalent rights payments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shares under buyback program</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(3,922)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(472)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Repurchased units under buyback programs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Common shares issued for acquisition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4,352 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(344)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Distributions to non-controlling interest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Dividend paid</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ownership of consolidated subsidiaries, net</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2" w:type="dxa"/>
            <w:gridSpan w:val="3"/>
            <w:tcBorders/>
            <w:vAlign w:val="center"/>
          </w:tcPr>
          <w:p>
            <w:pPr>
              <w:pStyle w:val="TableContents"/>
              <w:bidi w:val="0"/>
              <w:spacing w:before="0" w:after="283"/>
              <w:jc w:val="left"/>
              <w:rPr>
                <w:sz w:val="4"/>
                <w:szCs w:val="4"/>
              </w:rPr>
            </w:pPr>
            <w:r>
              <w:rPr>
                <w:sz w:val="4"/>
                <w:szCs w:val="4"/>
              </w:rPr>
            </w:r>
          </w:p>
        </w:tc>
      </w:tr>
      <w:tr>
        <w:trPr/>
        <w:tc>
          <w:tcPr>
            <w:tcW w:w="1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income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1,184 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1,270 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September 30, 2022</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175,631 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7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13,646 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715 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14,558 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Diamondback Energy,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706"/>
        <w:gridCol w:w="2346"/>
        <w:gridCol w:w="2354"/>
        <w:gridCol w:w="263"/>
        <w:gridCol w:w="768"/>
        <w:gridCol w:w="135"/>
        <w:gridCol w:w="135"/>
        <w:gridCol w:w="135"/>
        <w:gridCol w:w="135"/>
        <w:gridCol w:w="263"/>
        <w:gridCol w:w="768"/>
        <w:gridCol w:w="197"/>
      </w:tblGrid>
      <w:tr>
        <w:trPr/>
        <w:tc>
          <w:tcPr>
            <w:tcW w:w="2706" w:type="dxa"/>
            <w:tcBorders/>
            <w:vAlign w:val="center"/>
          </w:tcPr>
          <w:p>
            <w:pPr>
              <w:pStyle w:val="TableContents"/>
              <w:bidi w:val="0"/>
              <w:spacing w:before="0" w:after="283"/>
              <w:jc w:val="left"/>
              <w:rPr>
                <w:sz w:val="4"/>
                <w:szCs w:val="4"/>
              </w:rPr>
            </w:pPr>
            <w:r>
              <w:rPr>
                <w:sz w:val="4"/>
                <w:szCs w:val="4"/>
              </w:rPr>
            </w:r>
          </w:p>
        </w:tc>
        <w:tc>
          <w:tcPr>
            <w:tcW w:w="2346" w:type="dxa"/>
            <w:tcBorders/>
            <w:vAlign w:val="center"/>
          </w:tcPr>
          <w:p>
            <w:pPr>
              <w:pStyle w:val="TableContents"/>
              <w:bidi w:val="0"/>
              <w:spacing w:before="0" w:after="283"/>
              <w:jc w:val="left"/>
              <w:rPr>
                <w:sz w:val="4"/>
                <w:szCs w:val="4"/>
              </w:rPr>
            </w:pPr>
            <w:r>
              <w:rPr>
                <w:sz w:val="4"/>
                <w:szCs w:val="4"/>
              </w:rPr>
            </w:r>
          </w:p>
        </w:tc>
        <w:tc>
          <w:tcPr>
            <w:tcW w:w="2354"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7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operating activities:</w:t>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 xml:space="preserve">Net income (loss)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3,534 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Adjustments to reconcile net income (loss) to net cash provided by (used in) operating activities:</w:t>
            </w:r>
          </w:p>
        </w:tc>
        <w:tc>
          <w:tcPr>
            <w:tcW w:w="11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deferred income taxes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375 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1,277 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extinguishment of debt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(Gain) loss on derivative instruments, net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received (paid) on settlement of derivative instruments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(816)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equity investment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Equity-based compensation expense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Changes in operating assets and liabilities:</w:t>
            </w:r>
          </w:p>
        </w:tc>
        <w:tc>
          <w:tcPr>
            <w:tcW w:w="11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receivable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(218)</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(113)</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receivable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Prepaid expenses and other</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Accounts payable and accrued liabilities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tax payable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Revenues and royalties payable</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operating activities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4,296 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4,884 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investing activities:</w:t>
            </w:r>
          </w:p>
        </w:tc>
        <w:tc>
          <w:tcPr>
            <w:tcW w:w="11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Drilling, completions and infrastructure additions to oil and natural gas properties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(1,948)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(1,327)</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Additions to midstream assets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(69)</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Property acquisitions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(1,193)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(623)</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sale of assets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105 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investing activities</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(1,859)</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(1,952)</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flows from financing activities:</w:t>
            </w:r>
          </w:p>
        </w:tc>
        <w:tc>
          <w:tcPr>
            <w:tcW w:w="11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borrowings under credit facilities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4,466 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4,100 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Repayments under credit facilities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(4,368)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(4,119)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senior notes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750 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Repayment of senior notes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(1,910)</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Proceeds from (repayments to) joint venture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Premium on extinguishment of debt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Repurchased shares under buyback program</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(709)</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Repurchased units under buyback program</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Dividends paid to stockholders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(841)</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(1,174)</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Distributions to non-controlling interest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cash provided by (used in) financing activities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(1,771)</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(3,570)</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increase (decrease) in cash and cash equivalents</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666 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(638)</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beginning of period</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Cash, cash equivalents and restricted cash at end of period</w:t>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830 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7406" w:type="dxa"/>
            <w:gridSpan w:val="3"/>
            <w:tcBorders/>
            <w:vAlign w:val="center"/>
          </w:tcPr>
          <w:p>
            <w:pPr>
              <w:pStyle w:val="TableContents"/>
              <w:bidi w:val="0"/>
              <w:spacing w:before="0" w:after="283"/>
              <w:jc w:val="left"/>
              <w:rPr>
                <w:sz w:val="4"/>
                <w:szCs w:val="4"/>
              </w:rPr>
            </w:pPr>
            <w:r>
              <w:rPr>
                <w:sz w:val="4"/>
                <w:szCs w:val="4"/>
              </w:rPr>
            </w:r>
          </w:p>
        </w:tc>
        <w:tc>
          <w:tcPr>
            <w:tcW w:w="116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jc w:val="center"/>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    DESCRIPTION OF THE BUSINESS AND BASIS OF PRESENTATION</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Organization and Description of the Business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Energy, Inc., together with its subsidiaries (collectively referred to as “Diamondback” or the “Company” unless the context otherwise requires), is an independent oil and natural gas company currently focused on the acquisition, development, exploration and exploitation of unconventional, onshore oil and natural gas reserves in the Permian Basin in West Texas.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wholly owned subsidiaries of Diamondback include Diamondback E&amp;P LLC (“Diamondback E&amp;P”), a Delaware limited liability company, Viper Energy Partners GP LLC, a Delaware limited liability company (“Viper’s General Partner”), Rattler Midstream GP LLC, a Delaware limited liability company (“Rattler’s GP”), Rattler Midstream LP, a Delaware limited partnership (“Rattler”) and QEP Resources, Inc. (“QEP”), a Delaware corporation.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Rattler Merger</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24, 2022 (the “Effective Date”), the Company completed the merger with Rattler pursuant to which the Company acquired all of the approximately 38.51 million publicly held outstanding common units of Rattler in exchange for approximately 4.35 million shares of the Company’s common stock (the “Rattler Merger”). Rattler continued as the surviving entity. Following the Rattler Merger, the Company owns all of Rattler’s outstanding common units and Class B units, and Rattler GP remains the general partner of Rattler. Following the closing of the Rattler Merger, Rattler’s common units were delisted from Nasdaq and Rattler filed a certification on Form 15 with the SEC requesting the deregistration of its common units and suspension of Rattler’s reporting obligations under the Exchange Act.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Rattler Merger was accounted for as a non-cash equity transaction resulting in increases to common stock of $44 thousand, additional paid-in-capital of $344 million, merger and integration expense of $11 million and a decrease in noncontrolling interests in consolidated subsidiaries of $344 million. For periods prior to the Effective Date, the results of operations attributable to the non-controlling interest in Rattler are presented within equity and net income and are shown separately from the equity and net income attributable to the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 the accounts of the Company and its subsidiaries after all significant intercompany balances and transactions have been eliminated upon consolidation. The Company has one reportable segment, the upstream segment.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Diamondback’s publicly traded subsidiary Viper Energy Partners LP (“Viper”) is consolidated in the Company’s financial statements. As of September 30, 2023, the Company owned approximately 57% of Viper’s total units outstanding. The Company’s wholly owned subsidiary, Viper Energy Partners GP LLC, is the general partner of Viper. The results of operations attributable to the non-controlling interest in Viper are presented within equity and net income and are shown separately from the equity and net income attributable to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w:t>
      </w:r>
      <w:hyperlink r:id="rId2">
        <w:r>
          <w:rPr>
            <w:rStyle w:val="InternetLink"/>
            <w:rFonts w:ascii="Times New Roman;sans-serif" w:hAnsi="Times New Roman;sans-serif"/>
            <w:b w:val="false"/>
            <w:color w:val="0000FF"/>
            <w:sz w:val="20"/>
            <w:u w:val="single"/>
          </w:rPr>
          <w:t>Annual Report on Form 10–K</w:t>
        </w:r>
      </w:hyperlink>
      <w:r>
        <w:rPr>
          <w:color w:val="000000"/>
        </w:rPr>
        <w:t xml:space="preserve"> </w:t>
      </w:r>
      <w:r>
        <w:rPr>
          <w:rFonts w:ascii="Times New Roman;sans-serif" w:hAnsi="Times New Roman;sans-serif"/>
          <w:b w:val="false"/>
          <w:color w:val="000000"/>
          <w:sz w:val="20"/>
        </w:rPr>
        <w:t>for the fiscal year ended December 31, 2022, which contains a summary of the Company’s significant accounting policies and other disclosures.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prior period amounts have been reclassified to conform to the current period financial statement presentation. These reclassifications had an immaterial effect on the previously reported total assets, total liabilities, stockholders’ equity,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Certain amounts included in or affecting the Company’s condensed consolidated financial statements and related disclosures must be estimated by management, requiring certain assumptions to be made with respect to values or conditions that cannot be known with certainty at the time the condensed consolidated financial statements are prepared. These estimates and assumptions affect the amounts the Company reports for assets and liabilities and the Company’s disclosure of contingent assets and liabilities as of the date of the condensed consolidated financial statements. Actual results could differ from those estimates.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Making accurate estimates and assumptions is particularly difficult in the oil and natural gas industry given the challenges resulting from volatility in oil and natural gas prices. For instance, the war in Ukraine and Israel-Hamas war, rising interest rates, global supply chain disruptions, concerns about a potential economic downturn or recession, recent measures to combat persistent inflation and instability in the financial sector have contributed to recent economic and pricing volatility. The financial results of companies in the oil and natural gas industry have been impacted materially as a result of these events and changing market conditions. Such circumstances generally increase uncertainty in the Company’s accounting estimates, particularly those involving financial forecasts.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fair value estimates of derivative instruments, the fair value determination of acquired assets and liabilities assumed and estimates of income taxes, including deferred tax valuation allowances.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Sales of Purchased Oil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Company enters into pipeline capacity commitments in order to secure available transportation capacity from the Company's areas of production for its commodities. Beginning in the third quarter of 2023, the Company has also entered into purchase transactions with third parties and separate sale transactions with third parties to satisfy certain of its unused oil pipeline capacity commitments. Revenues and expenses from these transactions are generally presented on a gross basis in the captions “Sales of purchased oil” and “Purchased oil expense” in the accompanying condensed consolidated statements of operations as the Company acts as a principal in the transaction by assuming both the risks and rewards of ownership, including credit risk, of the oil volumes purchased and the responsibility to deliver the oil volumes sold. See Note 3—</w:t>
      </w:r>
      <w:hyperlink w:anchor="ia9e4db464c2249aebaf424c72b2cbe2e_46">
        <w:r>
          <w:rPr>
            <w:rStyle w:val="InternetLink"/>
            <w:rFonts w:ascii="Times New Roman;sans-serif" w:hAnsi="Times New Roman;sans-serif"/>
            <w:b w:val="false"/>
            <w:color w:val="0000FF"/>
            <w:sz w:val="20"/>
            <w:u w:val="single"/>
          </w:rPr>
          <w:t>Revenue from Contracts with Customers</w:t>
        </w:r>
      </w:hyperlink>
      <w:r>
        <w:rPr>
          <w:color w:val="000000"/>
        </w:rPr>
        <w:t xml:space="preserve"> </w:t>
      </w:r>
      <w:r>
        <w:rPr>
          <w:rFonts w:ascii="Times New Roman;sans-serif" w:hAnsi="Times New Roman;sans-serif"/>
          <w:b w:val="false"/>
          <w:color w:val="000000"/>
          <w:sz w:val="20"/>
        </w:rPr>
        <w:t>for additional information.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Pronouncements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the FASB issued ASU 2021-08, “Business Combinations (Topic 805) – Accounting for Contract Assets and Contract Liabilities from Contracts with Customers.” This update required the acquirer in a business combination to record contract assets and liabilities following Topic 606 – “Revenue from Contracts with Customers” at acquisition as if it had originated the contract, rather than at fair value. The Company adopted this update effective January 1, 2023. The adoption of this update did not have a material impact on its financial position, results of operations or liquidity.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Not Yet Adopted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considers the applicability and impact of all ASUs. ASUs not discussed above were assessed and determined to be either not applicable, the effects of adoption are not expected to be material or are clarifications of ASUs previously disclosed.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Revenue from Contracts with Customers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contracts with customers: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532"/>
        <w:gridCol w:w="1330"/>
        <w:gridCol w:w="1342"/>
        <w:gridCol w:w="273"/>
        <w:gridCol w:w="801"/>
        <w:gridCol w:w="141"/>
        <w:gridCol w:w="141"/>
        <w:gridCol w:w="141"/>
        <w:gridCol w:w="141"/>
        <w:gridCol w:w="273"/>
        <w:gridCol w:w="801"/>
        <w:gridCol w:w="141"/>
        <w:gridCol w:w="109"/>
        <w:gridCol w:w="109"/>
        <w:gridCol w:w="109"/>
        <w:gridCol w:w="265"/>
        <w:gridCol w:w="773"/>
        <w:gridCol w:w="136"/>
        <w:gridCol w:w="136"/>
        <w:gridCol w:w="136"/>
        <w:gridCol w:w="136"/>
        <w:gridCol w:w="265"/>
        <w:gridCol w:w="773"/>
        <w:gridCol w:w="201"/>
      </w:tblGrid>
      <w:tr>
        <w:trPr/>
        <w:tc>
          <w:tcPr>
            <w:tcW w:w="153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and marketing services</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from contracts with customers</w:t>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2,337 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2,435 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7,607 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Company’s revenue from oil, natural gas, and natural gas liquids disaggregated by basin:</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36"/>
        <w:gridCol w:w="295"/>
        <w:gridCol w:w="219"/>
        <w:gridCol w:w="217"/>
        <w:gridCol w:w="636"/>
        <w:gridCol w:w="112"/>
        <w:gridCol w:w="109"/>
        <w:gridCol w:w="109"/>
        <w:gridCol w:w="109"/>
        <w:gridCol w:w="220"/>
        <w:gridCol w:w="643"/>
        <w:gridCol w:w="113"/>
        <w:gridCol w:w="109"/>
        <w:gridCol w:w="109"/>
        <w:gridCol w:w="109"/>
        <w:gridCol w:w="211"/>
        <w:gridCol w:w="256"/>
        <w:gridCol w:w="109"/>
        <w:gridCol w:w="109"/>
        <w:gridCol w:w="109"/>
        <w:gridCol w:w="109"/>
        <w:gridCol w:w="211"/>
        <w:gridCol w:w="616"/>
        <w:gridCol w:w="109"/>
        <w:gridCol w:w="109"/>
        <w:gridCol w:w="109"/>
        <w:gridCol w:w="109"/>
        <w:gridCol w:w="217"/>
        <w:gridCol w:w="636"/>
        <w:gridCol w:w="112"/>
        <w:gridCol w:w="109"/>
        <w:gridCol w:w="109"/>
        <w:gridCol w:w="109"/>
        <w:gridCol w:w="220"/>
        <w:gridCol w:w="643"/>
        <w:gridCol w:w="113"/>
        <w:gridCol w:w="109"/>
        <w:gridCol w:w="109"/>
        <w:gridCol w:w="109"/>
        <w:gridCol w:w="211"/>
        <w:gridCol w:w="361"/>
        <w:gridCol w:w="109"/>
        <w:gridCol w:w="109"/>
        <w:gridCol w:w="109"/>
        <w:gridCol w:w="109"/>
        <w:gridCol w:w="211"/>
        <w:gridCol w:w="616"/>
        <w:gridCol w:w="164"/>
      </w:tblGrid>
      <w:tr>
        <w:trPr/>
        <w:tc>
          <w:tcPr>
            <w:tcW w:w="33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Delaware Basin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5"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Other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5" w:type="dxa"/>
            <w:gridSpan w:val="45"/>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4.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2023 Activity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Deep Blue Acquisition and Divestiture of Water Assets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the Company closed on a joint venture agreement with Five Point Energy LLC (“Five Point”) to form Deep Blue Midland Basin LLC (“Deep Blue”). At closing, the Company contributed certain treated water, fresh water and salt water disposal assets (the “Water Assets”) with a net carrying value of $681 million and Five Point contributed $251 million in cash, including customary closing adjustments, to Deep Blue. In exchange for these contributions, Deep Blue issued the Company a one-time cash distribution of approximately $516 million and issued to the Company a 30% equity ownership and voting interest, and issued to Five Point a 70% equity ownership and voting interest.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 separate agreement with Deep Blue, the Company is continuing to operate the Water Assets on a short-term basis before transferring operations to Deep Blue, which is anticipated to happen in 2024. Contingent upon the successful transfer of operations, the Company will receive approximately $47 million in cash to be contributed by Five Point in 2024. This contingent consideration does not meet the criteria to be accounted for as a derivative. As such, at September 30, 2023, approximately $43 million has been recorded as a receivable in the condensed consolidated balance sheet for the fair value of the additional consideration to be received when operation of the Water Assets transfers to Deep Blue.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its 30% equity interest in Deep Blue at fair value based on the cash consideration contributed by Five Point to Deep Blue in exchange for its 70% equity ownership and the estimated fair value of contingent consideration to be contributed by Five Point in future years. As of September 30, 2023, the Company’s equity method investment in Deep Blue has a carrying value equal to its initial fair value of $126 million and is included in the caption “Equity method investments” in the condensed consolidated balance sheet. The Company’s proportionate share of the income or loss from Deep Blue will be recognized on a two-month lag. For the three and nine months ended September 30, 2023, the Company recognized a $2 million loss on the sale of its Water Assets, which is included in the caption “Other operating expenses” in the condensed consolidated statement of operations.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and Five Point currently anticipate collectively contributing $500 million in follow-on capital to fund future growth projects and acquisitions.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transaction, the Company also entered into a 15-year dedication with Deep Blue for its produced water and supply water within a 12-county area of mutual interest in the Midland Basin. Fees paid to Deep Blue for produced water and supply water services and fees received from Deep Blue for operating services provided by the Company during the three and nine months ended September 30, 2023 were insignificant.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Lario Acquisition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31, 2023, the Company closed on its acquisition of all leasehold interests and related assets of Lario Permian, LLC, a wholly owned subsidiary of Lario Oil and Gas Company, and certain associated sellers (collectively “Lario”). The acquisition included approximately 25,000 gross (16,000 net) acres in the Midland Basin and certain related oil and gas assets (the “Lario Acquisition”), in exchange for 4.33 million shares of the Company’s common stock and $814 million in cash, including certain customary post-closing adjustments. Approximately $113 million of the cash consideration was deposited in an indemnity holdback escrow account at closing to be distributed upon satisfactory settlement of any potential title defects on the acquired properties. The cash portion of the consideration for the Lario Acquisition was funded through a combination of cash on hand, a portion of the net proceeds from the Company’s offering of 6.250% Senior Notes due 2053 and borrowings under the Company’s revolving credit facility.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Lario Acquisition (in millions, except per share data, shares in thousands):</w:t>
      </w:r>
    </w:p>
    <w:p>
      <w:pPr>
        <w:pStyle w:val="TextBody"/>
        <w:bidi w:val="0"/>
        <w:spacing w:before="0" w:after="0"/>
        <w:ind w:left="0" w:right="0" w:firstLine="720"/>
        <w:jc w:val="both"/>
        <w:rPr/>
      </w:pPr>
      <w:r>
        <w:rPr/>
      </w:r>
    </w:p>
    <w:tbl>
      <w:tblPr>
        <w:tblW w:w="7356" w:type="dxa"/>
        <w:jc w:val="left"/>
        <w:tblInd w:w="0" w:type="dxa"/>
        <w:tblLayout w:type="fixed"/>
        <w:tblCellMar>
          <w:top w:w="28" w:type="dxa"/>
          <w:left w:w="28" w:type="dxa"/>
          <w:bottom w:w="28" w:type="dxa"/>
          <w:right w:w="28" w:type="dxa"/>
        </w:tblCellMar>
      </w:tblPr>
      <w:tblGrid>
        <w:gridCol w:w="2267"/>
        <w:gridCol w:w="1996"/>
        <w:gridCol w:w="2007"/>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4,330</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Lario Acquisition has been accounted for as a business combination using the acquisition method. The following table represents the allocation of the total purchase price paid in the Lario Acquisition to the identifiable assets acquired and the liabilities assumed based on the fair values at the acquisition date. Although the purchase price allocation is substantially complete as of the date of this filing, there may be further adjustments to the fair value of certain assets acquired and liabilities assumed, including but not limited to the Company’s oil and natural gas properties. The Company expects to complete the purchase price allocation during the 12-month period following the acquisition date and may revise the value of the assets and liabilities as appropriate within that time frame. There have been no material changes to the purchase price allocation for the Lario Acquisition through September 30, 2023.</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vehicles and a field office were based on the cost approach, which utilized asset listings and cost records with consideration for the reported age, condition, utilization and economic support of the assets and were included in the Company’s condensed consolidated balance sheets under the caption “Other property, equipment and land.” The majority of the measurements of assets acquired and liabilities assumed are based on inputs that are not observable in the market and are therefore considered Level 3 inputs in the fair value hierarchy.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Lario Acquisition, the Company acquired proved properties of $924 million and unproved properties of $536 million. The results of operations attributable to the Lario Acquisition since the acquisition date have been included in the condensed consolidated statements of operations and include $134 million and $345 million of total revenue and $53 million and $140 million of net income for the three and nine months ended September 30, 2023, respectively.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Divestitures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2023, the Company divested its 43% limited liability company interest in OMOG JV LLC (“OMOG”) for $225 million in cash received at closing. This divestiture resulted in a gain on the sale of equity method investments of approximately $35 million for the three and nine months ended September 30, 2023, which is included in the caption “Other income (expense), net” in the condensed consolidated statement of operations.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April 28, 2023, the Company divested non-core assets to an unrelated third-party buyer consisting of approximately 19,000 net acres in Glasscock County, TX for net cash proceeds at closing of $269 million, including customary post-closing adjustments. The Company used its net proceeds from this transaction for debt reduction and other general corporate purposes.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Company divested non-core assets consisting of approximately 4,900 net acres in Ward and Winkler counties to unrelated third-party buyers for $78 million in net cash proceeds, including customary post-closing adjustments.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divestitures of non-core oil and gas assets did not result in a significant alteration of the relationship between the Company’s capitalized costs and proved reserves and, accordingly, the Company recorded the proceeds as a reduction of its full cost pool with no gain or loss recognized on the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the Company divested its 10% non-operating equity investment in Gray Oak Pipeline, LLC (“Gray Oak”) for $172 million in net cash proceeds and recorded a gain on the sale of equity method investments of approximately $53 million in the first quarter of 2023 that is included in the caption “Other income (expense), net” on the condensed consolidated statement of operations for the nine months ended September 30, 2023.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2022 Activity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FireBird Energy LLC</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30, 2022, the Company closed on its acquisition of all leasehold interests and related assets of FireBird Energy LLC, which included approximately 75,000 gross (68,000 net) acres in the Midland Basin and certain related oil and gas assets, in exchange for 5.92 million shares of the Company’s common stock and $787 million in cash, including certain customary post-closing adjustments. Approximately $125 million of the cash consideration was deposited in an indemnity holdback escrow account at closing to be distributed upon satisfactory settlement of any potential title defects on the acquired properties. The cash portion of the consideration for the FireBird Acquisition was funded through a combination of cash on hand and borrowings under the Company’s revolving credit facility. As a result of the FireBird Acquisition, the Company added approximately 854 gross producing wells.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acquisition consideration paid in the FireBird Acquisition (in millions, except per share data, shares in thousands):</w:t>
      </w:r>
    </w:p>
    <w:p>
      <w:pPr>
        <w:pStyle w:val="TextBody"/>
        <w:bidi w:val="0"/>
        <w:spacing w:before="0" w:after="0"/>
        <w:ind w:left="0" w:right="0" w:firstLine="720"/>
        <w:jc w:val="both"/>
        <w:rPr/>
      </w:pPr>
      <w:r>
        <w:rPr/>
      </w:r>
    </w:p>
    <w:tbl>
      <w:tblPr>
        <w:tblW w:w="7356" w:type="dxa"/>
        <w:jc w:val="left"/>
        <w:tblInd w:w="0" w:type="dxa"/>
        <w:tblLayout w:type="fixed"/>
        <w:tblCellMar>
          <w:top w:w="28" w:type="dxa"/>
          <w:left w:w="28" w:type="dxa"/>
          <w:bottom w:w="28" w:type="dxa"/>
          <w:right w:w="28" w:type="dxa"/>
        </w:tblCellMar>
      </w:tblPr>
      <w:tblGrid>
        <w:gridCol w:w="2267"/>
        <w:gridCol w:w="1996"/>
        <w:gridCol w:w="2007"/>
        <w:gridCol w:w="211"/>
        <w:gridCol w:w="721"/>
        <w:gridCol w:w="154"/>
      </w:tblGrid>
      <w:tr>
        <w:trPr/>
        <w:tc>
          <w:tcPr>
            <w:tcW w:w="2267"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Consideration: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of Diamondback common stock issued at closing</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w:t>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price per share of Diamondback common stock on the closing date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Diamondback common stock issued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consideration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 (including fair value of Diamondback common stock issued)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Price Allocation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FireBird Acquisition has been accounted for as a business combination using the acquisition method. The following table represents the allocation of the total purchase price paid in the FireBird Acquisition to the identifiable assets acquired and the liabilities assumed based on the fair values at the acquisition date. Although the purchase price allocation is substantially complete as of the date of this filing, there may be further adjustments to the fair value of certain assets acquired and liabilities assumed, including but not limited to the Company’s oil and natural gas properties and other property, equipment and land. The Company expects to complete the purchase price allocation during the 12-month period following the acquisition date and may revise the value of the assets and liabilities as appropriate within that time frame. During the three months ended September 30, 2023, the Company decreased the fair value allocated to certain midstream assets by $36 million and; increased the fair value allocated to the acquired oil and natural gas properties by $36 million based on new information that became available related to the fair value of these assets on the acquisition date.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Company’s preliminary purchase price allocation (in millions):</w:t>
      </w:r>
    </w:p>
    <w:p>
      <w:pPr>
        <w:pStyle w:val="TextBody"/>
        <w:bidi w:val="0"/>
        <w:spacing w:before="0" w:after="0"/>
        <w:ind w:left="0" w:right="0" w:firstLine="720"/>
        <w:jc w:val="both"/>
        <w:rPr/>
      </w:pPr>
      <w:r>
        <w:rPr/>
      </w:r>
    </w:p>
    <w:tbl>
      <w:tblPr>
        <w:tblW w:w="4371" w:type="dxa"/>
        <w:jc w:val="left"/>
        <w:tblInd w:w="0" w:type="dxa"/>
        <w:tblLayout w:type="fixed"/>
        <w:tblCellMar>
          <w:top w:w="28" w:type="dxa"/>
          <w:left w:w="28" w:type="dxa"/>
          <w:bottom w:w="28" w:type="dxa"/>
          <w:right w:w="28" w:type="dxa"/>
        </w:tblCellMar>
      </w:tblPr>
      <w:tblGrid>
        <w:gridCol w:w="1229"/>
        <w:gridCol w:w="1079"/>
        <w:gridCol w:w="1082"/>
        <w:gridCol w:w="211"/>
        <w:gridCol w:w="616"/>
        <w:gridCol w:w="154"/>
      </w:tblGrid>
      <w:tr>
        <w:trPr/>
        <w:tc>
          <w:tcPr>
            <w:tcW w:w="1229"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consideration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liabilities assumed:</w:t>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Fair value of assets acquired:</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attributable to assets acquired</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assets acquired and liabilities assumed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Oil and natural gas properties were valued using an income approach utilizing the discounted cash flow method, which takes into account production forecasts, projected commodity prices and pricing differentials, and estimates of future capital and operating costs which were then discounted utilizing an estimated weighted-average cost of capital for industry market participants. The fair value of acquired midstream assets was based on the cost approach, which utilized asset listings and cost records with consideration for the reported age, condition, utilization and economic support of the assets and was included in the Company’s condensed consolidated balance sheets under the caption “Other property, equipment and land.” The majority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measurements of assets acquired and liabilities assumed are based on inputs that are not observable in the market and are therefore considered Level 3 inputs.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With the completion of the FireBird Acquisition, the Company acquired proved properties of $648 million and unproved properties of $950 million.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Delaware Basin Acquisition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18, 2022, the Company acquired, from an unrelated third-party seller, approximately 6,200 net acres in the Delaware Basin for $232 million in cash, including customary post-closing adjustments. The acquisition was funded through cash on hand.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2022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during the year ended December 31, 2022, the Company acquired, from unrelated third-party sellers, approximately 4,000 net acres and over 200 gross wells in the Permian Basin for an aggregate purchase price of approximately $220 million in cash, including customary post-closing adjustments. The acquisitions were funded through cash on hand.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Divestitures of Certain Non-Core Assets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completed the divestiture of non-core Delaware Basin acreage consisting of approximately 3,272 net acres, with net production of approximately 550 BO/d (800 BOE/d) for $155 million of net proceeds. The Company used the net proceeds from this transaction towards debt reduction.</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Pro Forma Financial Information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unaudited summary pro forma financial information for the three and nine months ended September 30, 2023 and 2022 has been prepared to give effect to the FireBird Acquisition and the Lario Acquisition as if they had occurred on January 1, 2022. The unaudited pro forma financial information does not purport to be indicative of what the combined company’s results of operations would have been if these transactions had occurred on the dates indicated, nor is it indicative of the future financial position or results of operations of the combined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below information reflects pro forma adjustments for the issuance of the Company’s common stock as consideration for the FireBird Acquisition and the Lario Acquisition, as well as pro forma adjustments based on available information and certain assumptions that the Company believes are reasonable, including adjustments to depreciation, depletion and amortization based on the full cost method of accounting.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pro forma earnings for the three and nine months ended September 30, 2023 were adjusted to exclude acquisition-related costs incurred by the Company of $1 million and $8 million for the Lario Acquisition, respectively, and $3 million for the FireBird Acquisition during the nine months ended September 30, 2023, which consist primarily of legal and advisory fees. The pro forma results of operations do not include any cost savings or other synergies that may result from the Firebird Acquisition and the Lario Acquisition or any estimated costs that have been or will be incurred by the Company to integrate the acquired assets. The pro forma financial data does not include the results of operations for any other acquisitions made during the periods presented, as they were primarily acreage acquisitions, and their results were not deemed material.</w:t>
      </w:r>
    </w:p>
    <w:p>
      <w:pPr>
        <w:pStyle w:val="TextBody"/>
        <w:bidi w:val="0"/>
        <w:spacing w:before="0" w:after="0"/>
        <w:ind w:left="0" w:right="0" w:firstLine="720"/>
        <w:jc w:val="both"/>
        <w:rPr/>
      </w:pPr>
      <w:r>
        <w:rPr/>
      </w:r>
    </w:p>
    <w:tbl>
      <w:tblPr>
        <w:tblW w:w="9530" w:type="dxa"/>
        <w:jc w:val="left"/>
        <w:tblInd w:w="0" w:type="dxa"/>
        <w:tblLayout w:type="fixed"/>
        <w:tblCellMar>
          <w:top w:w="28" w:type="dxa"/>
          <w:left w:w="28" w:type="dxa"/>
          <w:bottom w:w="28" w:type="dxa"/>
          <w:right w:w="28" w:type="dxa"/>
        </w:tblCellMar>
      </w:tblPr>
      <w:tblGrid>
        <w:gridCol w:w="1253"/>
        <w:gridCol w:w="1101"/>
        <w:gridCol w:w="1111"/>
        <w:gridCol w:w="277"/>
        <w:gridCol w:w="811"/>
        <w:gridCol w:w="143"/>
        <w:gridCol w:w="143"/>
        <w:gridCol w:w="143"/>
        <w:gridCol w:w="143"/>
        <w:gridCol w:w="277"/>
        <w:gridCol w:w="811"/>
        <w:gridCol w:w="143"/>
        <w:gridCol w:w="109"/>
        <w:gridCol w:w="109"/>
        <w:gridCol w:w="109"/>
        <w:gridCol w:w="268"/>
        <w:gridCol w:w="782"/>
        <w:gridCol w:w="138"/>
        <w:gridCol w:w="138"/>
        <w:gridCol w:w="138"/>
        <w:gridCol w:w="138"/>
        <w:gridCol w:w="268"/>
        <w:gridCol w:w="782"/>
        <w:gridCol w:w="195"/>
      </w:tblGrid>
      <w:tr>
        <w:trPr/>
        <w:tc>
          <w:tcPr>
            <w:tcW w:w="1253"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per share amounts)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earnings (loss) per common share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earnings (loss) per common share</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5.    PROPERTY AND EQUIPMENT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Property and equipment includes the following as of the dates indicated:</w:t>
      </w:r>
    </w:p>
    <w:p>
      <w:pPr>
        <w:pStyle w:val="TextBody"/>
        <w:bidi w:val="0"/>
        <w:spacing w:before="0" w:after="0"/>
        <w:ind w:left="0" w:right="0" w:firstLine="720"/>
        <w:jc w:val="both"/>
        <w:rPr/>
      </w:pPr>
      <w:r>
        <w:rPr/>
      </w:r>
    </w:p>
    <w:tbl>
      <w:tblPr>
        <w:tblW w:w="8261" w:type="dxa"/>
        <w:jc w:val="left"/>
        <w:tblInd w:w="0" w:type="dxa"/>
        <w:tblLayout w:type="fixed"/>
        <w:tblCellMar>
          <w:top w:w="28" w:type="dxa"/>
          <w:left w:w="28" w:type="dxa"/>
          <w:bottom w:w="28" w:type="dxa"/>
          <w:right w:w="28" w:type="dxa"/>
        </w:tblCellMar>
      </w:tblPr>
      <w:tblGrid>
        <w:gridCol w:w="2009"/>
        <w:gridCol w:w="1764"/>
        <w:gridCol w:w="1777"/>
        <w:gridCol w:w="243"/>
        <w:gridCol w:w="831"/>
        <w:gridCol w:w="125"/>
        <w:gridCol w:w="109"/>
        <w:gridCol w:w="109"/>
        <w:gridCol w:w="109"/>
        <w:gridCol w:w="230"/>
        <w:gridCol w:w="787"/>
        <w:gridCol w:w="168"/>
      </w:tblGrid>
      <w:tr>
        <w:trPr/>
        <w:tc>
          <w:tcPr>
            <w:tcW w:w="2009"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177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5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Subject to depletion</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subject to depletion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oil and natural gas properties</w:t>
            </w:r>
          </w:p>
        </w:tc>
        <w:tc>
          <w:tcPr>
            <w:tcW w:w="10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37,122 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depletion</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impairment</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(7,954)</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net</w:t>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24,809 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22,497 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property, equipment and land</w:t>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amortization, accretion and impairment</w:t>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property and equipment, net </w:t>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25,365 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23,759 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full cost method of accounting, the Company is required to perform a ceiling test each quarter which determines a limit, or ceiling, on the book value of proved oil and natural gas properties. No impairment expense was recorded for the three and nine months ended September 30, 2023 or 2022 based on the results of the respective quarterly ceiling tests.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commodity prices, the Company’s production rates, levels of proved reserves, future development costs, transfers of unevaluated properties and other factors will determine its actual ceiling test calculation and impairment analysis in future periods. If the future trailing 12-month commodity prices decline as compared to the commodity prices used in prior quarters, the Company may have material write downs in subsequent quarters. It is possible that circumstances requiring additional impairment testing will occur in future interim periods, which could result in potentially material impairment charges being recorded.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Assets Held For Sale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During the third quarter of 2023, the Company completed the sale of its Water Assets and oil gathering assets which had been classified as assets held for sale in the condensed consolidated balance sheet as of June 30, 2023, with carrying values of $667 million and $75 million, respectively. The sale of these assets resulted in an insignificant loss on disposal of property, plant and equipment for the three and nine months ended September 30, 2023, which is included in the caption “Other operating expenses” in the condensed consolidated statements of operations. See Note 4—</w:t>
      </w:r>
      <w:hyperlink w:anchor="ia9e4db464c2249aebaf424c72b2cbe2e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for further discussion of the divestiture of the Water Assets. At December 31, 2022, the Water Assets and oil gathering assets were included in the Company’s condensed consolidated balance sheet under the caption “Other property, equipment and land.” All of these assets are included in the midstream operating segment, which is categorized as “All Other” in the Company’s segment disclosures in Note 16—</w:t>
      </w:r>
      <w:hyperlink w:anchor="ia9e4db464c2249aebaf424c72b2cbe2e_85">
        <w:r>
          <w:rPr>
            <w:rStyle w:val="InternetLink"/>
            <w:rFonts w:ascii="Times New Roman;sans-serif" w:hAnsi="Times New Roman;sans-serif"/>
            <w:b w:val="false"/>
            <w:color w:val="0000FF"/>
            <w:sz w:val="20"/>
            <w:u w:val="single"/>
          </w:rPr>
          <w:t>Segment Information</w:t>
        </w:r>
      </w:hyperlink>
      <w:r>
        <w:rPr>
          <w:rFonts w:ascii="Times New Roman;sans-serif" w:hAnsi="Times New Roman;sans-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6.    ASSET RETIREMENT OBLIGATIONS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describes the changes to the Company’s asset retirement obligations liability for the following periods:</w:t>
      </w:r>
    </w:p>
    <w:tbl>
      <w:tblPr>
        <w:tblW w:w="6955" w:type="dxa"/>
        <w:jc w:val="left"/>
        <w:tblInd w:w="0" w:type="dxa"/>
        <w:tblLayout w:type="fixed"/>
        <w:tblCellMar>
          <w:top w:w="28" w:type="dxa"/>
          <w:left w:w="28" w:type="dxa"/>
          <w:bottom w:w="28" w:type="dxa"/>
          <w:right w:w="28" w:type="dxa"/>
        </w:tblCellMar>
      </w:tblPr>
      <w:tblGrid>
        <w:gridCol w:w="1489"/>
        <w:gridCol w:w="1309"/>
        <w:gridCol w:w="1312"/>
        <w:gridCol w:w="309"/>
        <w:gridCol w:w="683"/>
        <w:gridCol w:w="159"/>
        <w:gridCol w:w="159"/>
        <w:gridCol w:w="159"/>
        <w:gridCol w:w="159"/>
        <w:gridCol w:w="309"/>
        <w:gridCol w:w="683"/>
        <w:gridCol w:w="225"/>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beginning of period</w:t>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347 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Additional liabilities incurred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acquired</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Liabilities settled and divested</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Accretion expense</w:t>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Revisions in estimated liabilities</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end of period</w:t>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246 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9"/>
              </w:rPr>
              <w:t>Less current portion</w:t>
            </w:r>
            <w:r>
              <w:rPr>
                <w:rFonts w:ascii="Times New Roman;sans-serif" w:hAnsi="Times New Roman;sans-serif"/>
                <w:b w:val="false"/>
                <w:color w:val="000000"/>
                <w:sz w:val="13"/>
              </w:rPr>
              <w:t>(1)</w:t>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Asset retirement obligations - long-term</w:t>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240 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325 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current portion of the asset retirement obligation is included in the caption “Other accrued liabilities” in the Company’s condensed consolidated balance sheets.</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7.    DEBT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debt consisted of the following as of the dates indicated:</w:t>
      </w:r>
    </w:p>
    <w:p>
      <w:pPr>
        <w:pStyle w:val="TextBody"/>
        <w:bidi w:val="0"/>
        <w:spacing w:before="0" w:after="0"/>
        <w:ind w:left="0" w:right="0" w:firstLine="720"/>
        <w:jc w:val="both"/>
        <w:rPr/>
      </w:pPr>
      <w:r>
        <w:rPr/>
      </w:r>
    </w:p>
    <w:tbl>
      <w:tblPr>
        <w:tblW w:w="9175" w:type="dxa"/>
        <w:jc w:val="left"/>
        <w:tblInd w:w="0" w:type="dxa"/>
        <w:tblLayout w:type="fixed"/>
        <w:tblCellMar>
          <w:top w:w="28" w:type="dxa"/>
          <w:left w:w="28" w:type="dxa"/>
          <w:bottom w:w="28" w:type="dxa"/>
          <w:right w:w="28" w:type="dxa"/>
        </w:tblCellMar>
      </w:tblPr>
      <w:tblGrid>
        <w:gridCol w:w="2342"/>
        <w:gridCol w:w="2057"/>
        <w:gridCol w:w="2065"/>
        <w:gridCol w:w="270"/>
        <w:gridCol w:w="790"/>
        <w:gridCol w:w="139"/>
        <w:gridCol w:w="109"/>
        <w:gridCol w:w="109"/>
        <w:gridCol w:w="109"/>
        <w:gridCol w:w="255"/>
        <w:gridCol w:w="744"/>
        <w:gridCol w:w="186"/>
      </w:tblGrid>
      <w:tr>
        <w:trPr/>
        <w:tc>
          <w:tcPr>
            <w:tcW w:w="2342"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65"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5.250% Senior Notes due 2023</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3.250% Senior Notes due 2026</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Senior Notes due 2026</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7.125% Medium-term Notes, Series B, due 2028</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Senior Notes due 2029</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3.125% Senior Notes due 2031</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2033</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4.400% Senior Notes due 2051</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Senior Notes due 2052</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6.250% Senior Notes due 2053</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issuance costs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discount costs</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premium costs</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Unamortized basis adjustment of dedesignated interest rate swap agreements</w:t>
            </w:r>
            <w:r>
              <w:rPr>
                <w:rFonts w:ascii="Times New Roman;sans-serif" w:hAnsi="Times New Roman;sans-serif"/>
                <w:b w:val="false"/>
                <w:color w:val="000000"/>
                <w:sz w:val="13"/>
              </w:rPr>
              <w:t>(1)</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Viper revolving credit facility</w:t>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Viper 5.375% Senior Notes due 2027</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vAlign w:val="center"/>
          </w:tcPr>
          <w:p>
            <w:pPr>
              <w:pStyle w:val="TableContents"/>
              <w:bidi w:val="0"/>
              <w:spacing w:before="0" w:after="283"/>
              <w:jc w:val="left"/>
              <w:rPr>
                <w:sz w:val="4"/>
                <w:szCs w:val="4"/>
              </w:rPr>
            </w:pPr>
            <w:r>
              <w:rPr>
                <w:sz w:val="4"/>
                <w:szCs w:val="4"/>
              </w:rPr>
            </w:r>
          </w:p>
        </w:tc>
        <w:tc>
          <w:tcPr>
            <w:tcW w:w="1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w:t>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maturities of long-term debt</w:t>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6,238 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pPr>
      <w:r>
        <w:rPr>
          <w:rFonts w:ascii="Times New Roman;sans-serif" w:hAnsi="Times New Roman;sans-serif"/>
          <w:b w:val="false"/>
          <w:color w:val="000000"/>
          <w:sz w:val="20"/>
        </w:rPr>
        <w:t>(1)    Represents the unamortized basis adjustment related to two receive-fixed, pay variable interest rate swap agreements which were previously designated as fair value hedges of the Company’s $1.2 billion 3.500% fixed rate senior notes due 2029. These swaps were dedesignated in the second quarter of 2022 as discussed further in Note 11—</w:t>
      </w:r>
      <w:hyperlink w:anchor="ia9e4db464c2249aebaf424c72b2cbe2e_70">
        <w:r>
          <w:rPr>
            <w:rStyle w:val="InternetLink"/>
            <w:rFonts w:ascii="Times New Roman;sans-serif" w:hAnsi="Times New Roman;sans-serif"/>
            <w:b w:val="false"/>
            <w:color w:val="0000FF"/>
            <w:sz w:val="20"/>
            <w:u w:val="single"/>
          </w:rPr>
          <w:t>Derivatives</w:t>
        </w:r>
      </w:hyperlink>
      <w:r>
        <w:rPr>
          <w:rFonts w:ascii="Times New Roman;sans-serif" w:hAnsi="Times New Roman;sans-serif"/>
          <w:b w:val="false"/>
          <w:color w:val="000000"/>
          <w:sz w:val="20"/>
        </w:rPr>
        <w:t>.</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References in this section to the Company shall mean Diamondback Energy, Inc. and Diamondback E&amp;P, collectively, unless otherwise specified.</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Credit Agreement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Diamondback E&amp;P, as borrower, and Diamondback Energy, Inc., as parent guarantor, have a credit agreement, as amended, which provides for a maximum credit amount of $1.6 billion. As of September 30, 2023, the Company had no outstanding borrowings under the credit agreement and $1.6 billion available for future borrowings. During the three and nine months ended September 30, 2023 and 2022, the weighted average interest rate on borrowings under the credit agreement was 6.59%, 6.31%, 3.92% and 3.50%, respectively. During the second quarter of 2023, the Company exercised an election to extend the maturity date of the credit agreement by one year to June 2, 2028 in accordance with the terms of the credit agreement.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was in compliance with all financial maintenance covenants under the credit agreement.</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Repurchases of Notes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2023, the Company repurchased principal amounts of $30 million of its 3.250% Senior Notes due 2026 and $100 million of its 3.500% Senior Notes due 2029 for total cash consideration, including accrued interest paid of $124 million. These repurchases resulted in an immaterial loss on extinguishment of debt during the nine months ended September 30,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Viper’s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On September 22, 2023, Viper LLC entered into an eleventh and separately a twelfth amendment to the existing credit agreement, which among other things, (i) extended the maturity date from June 2, 2025 to September 22, 2028, (ii) maintained the maximum credit amount under the Viper LLC credit agreement of $2.0 billion, (iii) increased the borrowing base from $1.0 billion to $1.3 billion upon consummation of the Viper Acquisition (as defined in Note 15—</w:t>
      </w:r>
      <w:hyperlink w:anchor="ia9e4db464c2249aebaf424c72b2cbe2e_82">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 (iv) increased the elected commitment amount from $750 million to $850 million, and (v) waived the automatic reduction of the borrowing base that otherwise would have occurred upon the consummation of the issuance of the Viper 2031 Notes (as defined in Note 15—</w:t>
      </w:r>
      <w:hyperlink w:anchor="ia9e4db464c2249aebaf424c72b2cbe2e_82">
        <w:r>
          <w:rPr>
            <w:rStyle w:val="InternetLink"/>
            <w:rFonts w:ascii="Times New Roman;sans-serif" w:hAnsi="Times New Roman;sans-serif"/>
            <w:b w:val="false"/>
            <w:color w:val="0000FF"/>
            <w:sz w:val="20"/>
            <w:u w:val="single"/>
          </w:rPr>
          <w:t>Subsequent Events</w:t>
        </w:r>
      </w:hyperlink>
      <w:r>
        <w:rPr>
          <w:rFonts w:ascii="Times New Roman;sans-serif" w:hAnsi="Times New Roman;sans-serif"/>
          <w:b w:val="false"/>
          <w:color w:val="000000"/>
          <w:sz w:val="20"/>
        </w:rPr>
        <w:t>). As of September 30, 2023, Viper LLC had $250 million of outstanding borrowings and $600 million available for future borrowings. During the three and nine months ended September 30, 2023 and 2022, the weighted average interest rates on borrowings under the Viper credit agreement were 7.58%, 7.37%, 4.75% and 3.53%, respectively. As of September 30, 2023, Viper LLC was in compliance with all financial maintenance covenants under the Viper credit agreement.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8.    STOCKHOLDERS’ EQUITY AND EARNINGS (LOSS) PER SHARE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has approved a common stock repurchase program to acquire up to $4.0 billion of the Company’s outstanding common stock, excluding excise tax.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and nine months ended September 30, 2023 and 2022, the Company repurchased, excluding excise tax, approximately $56 million, $709 million, $472 million and $782 million of common stock under this repurchase program, respectively. As of September 30, 2023, approximately $1.8 billion remained available for use to repurchase shares under the Company’s common stock repurchase program, excluding excise tax.</w:t>
      </w:r>
    </w:p>
    <w:p>
      <w:pPr>
        <w:pStyle w:val="TextBody"/>
        <w:bidi w:val="0"/>
        <w:spacing w:before="0" w:after="0"/>
        <w:ind w:left="0" w:right="0" w:firstLine="72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Change in Ownership of Consolidated Subsidiaries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Non-controlling interests in the accompanying condensed consolidated financial statements represent minority interest ownership in Viper and Rattler through the Effective Date and are presented as a component of equity. When the Company’s relative ownership interests in Viper and Rattler change, adjustments to non-controlling interest and additional paid-in-capital, tax effected, will occur. The following table summarizes changes in the ownership interest in consolidated subsidiaries during the periods presented: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967"/>
        <w:gridCol w:w="1482"/>
        <w:gridCol w:w="1493"/>
        <w:gridCol w:w="249"/>
        <w:gridCol w:w="551"/>
        <w:gridCol w:w="128"/>
        <w:gridCol w:w="128"/>
        <w:gridCol w:w="128"/>
        <w:gridCol w:w="128"/>
        <w:gridCol w:w="249"/>
        <w:gridCol w:w="728"/>
        <w:gridCol w:w="128"/>
        <w:gridCol w:w="109"/>
        <w:gridCol w:w="109"/>
        <w:gridCol w:w="109"/>
        <w:gridCol w:w="236"/>
        <w:gridCol w:w="689"/>
        <w:gridCol w:w="121"/>
        <w:gridCol w:w="121"/>
        <w:gridCol w:w="121"/>
        <w:gridCol w:w="121"/>
        <w:gridCol w:w="236"/>
        <w:gridCol w:w="689"/>
        <w:gridCol w:w="185"/>
      </w:tblGrid>
      <w:tr>
        <w:trPr/>
        <w:tc>
          <w:tcPr>
            <w:tcW w:w="1967"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9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the Company</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ownership of consolidated subsidiaries</w:t>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from net income (loss) attributable to the Company's stockholders and transfers to non-controlling interest</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3,343 </w:t>
            </w:r>
          </w:p>
        </w:tc>
        <w:tc>
          <w:tcPr>
            <w:tcW w:w="1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Earnings (Loss) Per Share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earnings (loss) per share amounts have been computed using the two-class method. The two-class method is an earnings allocation proportional to the respective ownership among holders of common stock and participating securities. Basic earnings (loss) per share amounts have been computed based on the weighted-average number of shares of common stock outstanding for the period. Diluted earnings per share include the effect of potentially dilutive non-participating securities outstanding for the period. Additionally, the per share earnings of Viper are included in the consolidated earnings per share computation based on the consolidated group’s holdings of the subsidiaries.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components of basic and diluted earnings per common share is presented in the table below:</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1892"/>
        <w:gridCol w:w="1385"/>
        <w:gridCol w:w="1389"/>
        <w:gridCol w:w="291"/>
        <w:gridCol w:w="636"/>
        <w:gridCol w:w="133"/>
        <w:gridCol w:w="133"/>
        <w:gridCol w:w="133"/>
        <w:gridCol w:w="133"/>
        <w:gridCol w:w="258"/>
        <w:gridCol w:w="755"/>
        <w:gridCol w:w="133"/>
        <w:gridCol w:w="109"/>
        <w:gridCol w:w="109"/>
        <w:gridCol w:w="109"/>
        <w:gridCol w:w="244"/>
        <w:gridCol w:w="714"/>
        <w:gridCol w:w="126"/>
        <w:gridCol w:w="126"/>
        <w:gridCol w:w="126"/>
        <w:gridCol w:w="126"/>
        <w:gridCol w:w="244"/>
        <w:gridCol w:w="714"/>
        <w:gridCol w:w="187"/>
      </w:tblGrid>
      <w:tr>
        <w:trPr/>
        <w:tc>
          <w:tcPr>
            <w:tcW w:w="189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distributed and undistributed earnings allocated to participating securities</w:t>
            </w:r>
            <w:r>
              <w:rPr>
                <w:rFonts w:ascii="Times New Roman;sans-serif" w:hAnsi="Times New Roman;sans-serif"/>
                <w:b w:val="false"/>
                <w:color w:val="000000"/>
                <w:sz w:val="13"/>
              </w:rPr>
              <w:t>(1)</w:t>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stockholders</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174,406 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176,169 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potential common shares issuable</w:t>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9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178,872 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174,408 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176,171 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net income (loss) attributable to common stock</w:t>
            </w:r>
          </w:p>
        </w:tc>
        <w:tc>
          <w:tcPr>
            <w:tcW w:w="2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8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 attributable to common stock</w:t>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Unvested restricted stock awards and performance stock awards that contain non-forfeitable distribution equivalent rights are considered participating securities and therefore are included in the earnings per share calculation pursuant to the two-class method.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9.    EQUITY-BASED COMPENSATION</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Under the Equity Plan approved by the Board of Directors, the Company is authorized to issue up to 11.8 million shares of incentive and non-statutory stock options, restricted stock awards and restricted stock units, performance awards and stock appreciation rights to eligible employees. The Company currently has outstanding restricted stock units and performance-based restricted stock units under the Equity Plan. The Company also has immaterial amounts of restricted share awards and stock appreciation rights outstanding which were issued under plans assumed in connection with previously completed mergers. At September 30, 2023, approximately 5.1 million shares of common stock remain available for future grants under the Equity Plan. The Company classifies its restricted stock units and performance-based restricted stock units as equity-based awards and estimates the fair values of restricted stock awards and units as the closing price of the Company’s common stock on the grant date of the award, which is expensed over the applicable vesting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Equity Plan, Viper maintains its own long-term incentive plan, which is not significant to the Company.</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financial statement impacts of equity compensation plans and related costs on the Company’s financial statements:</w:t>
      </w:r>
    </w:p>
    <w:tbl>
      <w:tblPr>
        <w:tblW w:w="10205" w:type="dxa"/>
        <w:jc w:val="left"/>
        <w:tblInd w:w="0" w:type="dxa"/>
        <w:tblLayout w:type="fixed"/>
        <w:tblCellMar>
          <w:top w:w="28" w:type="dxa"/>
          <w:left w:w="28" w:type="dxa"/>
          <w:bottom w:w="28" w:type="dxa"/>
          <w:right w:w="28" w:type="dxa"/>
        </w:tblCellMar>
      </w:tblPr>
      <w:tblGrid>
        <w:gridCol w:w="1928"/>
        <w:gridCol w:w="1693"/>
        <w:gridCol w:w="1697"/>
        <w:gridCol w:w="284"/>
        <w:gridCol w:w="487"/>
        <w:gridCol w:w="146"/>
        <w:gridCol w:w="146"/>
        <w:gridCol w:w="146"/>
        <w:gridCol w:w="146"/>
        <w:gridCol w:w="284"/>
        <w:gridCol w:w="487"/>
        <w:gridCol w:w="146"/>
        <w:gridCol w:w="109"/>
        <w:gridCol w:w="109"/>
        <w:gridCol w:w="109"/>
        <w:gridCol w:w="277"/>
        <w:gridCol w:w="474"/>
        <w:gridCol w:w="143"/>
        <w:gridCol w:w="143"/>
        <w:gridCol w:w="143"/>
        <w:gridCol w:w="143"/>
        <w:gridCol w:w="277"/>
        <w:gridCol w:w="474"/>
        <w:gridCol w:w="214"/>
      </w:tblGrid>
      <w:tr>
        <w:trPr/>
        <w:tc>
          <w:tcPr>
            <w:tcW w:w="1928"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Equity-based compensation capitalized pursuant to full cost method of accounting for oil and natural gas properties</w:t>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4" w:type="dxa"/>
            <w:gridSpan w:val="3"/>
            <w:tcBorders/>
            <w:vAlign w:val="center"/>
          </w:tcPr>
          <w:p>
            <w:pPr>
              <w:pStyle w:val="TableContents"/>
              <w:bidi w:val="0"/>
              <w:spacing w:before="0" w:after="283"/>
              <w:jc w:val="left"/>
              <w:rPr>
                <w:sz w:val="4"/>
                <w:szCs w:val="4"/>
              </w:rPr>
            </w:pPr>
            <w:r>
              <w:rPr>
                <w:sz w:val="4"/>
                <w:szCs w:val="4"/>
              </w:rPr>
            </w:r>
          </w:p>
        </w:tc>
        <w:tc>
          <w:tcPr>
            <w:tcW w:w="429"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restricted stock unit activity during the nine months ended September 30, 2023 under the Equity Plan:</w:t>
      </w:r>
    </w:p>
    <w:tbl>
      <w:tblPr>
        <w:tblW w:w="6996" w:type="dxa"/>
        <w:jc w:val="left"/>
        <w:tblInd w:w="0" w:type="dxa"/>
        <w:tblLayout w:type="fixed"/>
        <w:tblCellMar>
          <w:top w:w="28" w:type="dxa"/>
          <w:left w:w="28" w:type="dxa"/>
          <w:bottom w:w="28" w:type="dxa"/>
          <w:right w:w="28" w:type="dxa"/>
        </w:tblCellMar>
      </w:tblPr>
      <w:tblGrid>
        <w:gridCol w:w="994"/>
        <w:gridCol w:w="874"/>
        <w:gridCol w:w="876"/>
        <w:gridCol w:w="526"/>
        <w:gridCol w:w="454"/>
        <w:gridCol w:w="456"/>
        <w:gridCol w:w="109"/>
        <w:gridCol w:w="109"/>
        <w:gridCol w:w="109"/>
        <w:gridCol w:w="483"/>
        <w:gridCol w:w="1653"/>
        <w:gridCol w:w="353"/>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Restricted Stock</w:t>
              <w:br/>
              <w:t>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w:t>
              <w:br/>
              <w:t>Fair Value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9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918,902 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95.74 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392,310 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143.69 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(161,878)</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122.77 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(64,453)</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September 30, 2023</w:t>
            </w:r>
          </w:p>
        </w:tc>
        <w:tc>
          <w:tcPr>
            <w:tcW w:w="98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1,084,881 </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108.34 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grant date fair value of restricted stock units that vested during the nine months ended September 30, 2023 was $20 million. As of September 30, 2023, the Company’s unrecognized compensation cost related to unvested restricted stock units was $78 million, which is expected to be recognized over a weighted-average period of 1.6 years.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Based Restricted Stock Units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performance restricted stock units activity under the Equity Plan for the nine months ended September 30, 2023:</w:t>
      </w:r>
    </w:p>
    <w:p>
      <w:pPr>
        <w:pStyle w:val="TextBody"/>
        <w:bidi w:val="0"/>
        <w:spacing w:before="0" w:after="0"/>
        <w:jc w:val="both"/>
        <w:rPr/>
      </w:pPr>
      <w:r>
        <w:rPr/>
      </w:r>
    </w:p>
    <w:tbl>
      <w:tblPr>
        <w:tblW w:w="9432" w:type="dxa"/>
        <w:jc w:val="left"/>
        <w:tblInd w:w="0" w:type="dxa"/>
        <w:tblLayout w:type="fixed"/>
        <w:tblCellMar>
          <w:top w:w="28" w:type="dxa"/>
          <w:left w:w="28" w:type="dxa"/>
          <w:bottom w:w="28" w:type="dxa"/>
          <w:right w:w="28" w:type="dxa"/>
        </w:tblCellMar>
      </w:tblPr>
      <w:tblGrid>
        <w:gridCol w:w="1054"/>
        <w:gridCol w:w="927"/>
        <w:gridCol w:w="929"/>
        <w:gridCol w:w="949"/>
        <w:gridCol w:w="949"/>
        <w:gridCol w:w="952"/>
        <w:gridCol w:w="109"/>
        <w:gridCol w:w="109"/>
        <w:gridCol w:w="109"/>
        <w:gridCol w:w="650"/>
        <w:gridCol w:w="2221"/>
        <w:gridCol w:w="474"/>
      </w:tblGrid>
      <w:tr>
        <w:trPr/>
        <w:tc>
          <w:tcPr>
            <w:tcW w:w="10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 Restricted 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Grant-Date Fair Value</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2022</w:t>
            </w:r>
          </w:p>
        </w:tc>
        <w:tc>
          <w:tcPr>
            <w:tcW w:w="1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347,881 </w:t>
            </w:r>
          </w:p>
        </w:tc>
        <w:tc>
          <w:tcPr>
            <w:tcW w:w="9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168.48 </w:t>
            </w:r>
          </w:p>
        </w:tc>
        <w:tc>
          <w:tcPr>
            <w:tcW w:w="4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1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128,205 </w:t>
            </w:r>
          </w:p>
        </w:tc>
        <w:tc>
          <w:tcPr>
            <w:tcW w:w="9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258.98 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vAlign w:val="center"/>
          </w:tcPr>
          <w:p>
            <w:pPr>
              <w:pStyle w:val="TableContents"/>
              <w:bidi w:val="0"/>
              <w:spacing w:before="0" w:after="283"/>
              <w:jc w:val="left"/>
              <w:rPr>
                <w:sz w:val="4"/>
                <w:szCs w:val="4"/>
              </w:rPr>
            </w:pPr>
            <w:r>
              <w:rPr>
                <w:sz w:val="4"/>
                <w:szCs w:val="4"/>
              </w:rPr>
            </w:r>
          </w:p>
        </w:tc>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45" w:type="dxa"/>
            <w:gridSpan w:val="3"/>
            <w:tcBorders/>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(42,657)</w:t>
            </w:r>
          </w:p>
        </w:tc>
        <w:tc>
          <w:tcPr>
            <w:tcW w:w="9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144.48 </w:t>
            </w:r>
          </w:p>
        </w:tc>
        <w:tc>
          <w:tcPr>
            <w:tcW w:w="4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Unvested at September 30, 2023</w:t>
            </w:r>
            <w:r>
              <w:rPr>
                <w:rFonts w:ascii="Times New Roman;sans-serif" w:hAnsi="Times New Roman;sans-serif"/>
                <w:b w:val="false"/>
                <w:color w:val="000000"/>
                <w:sz w:val="13"/>
              </w:rPr>
              <w:t>(1)</w:t>
            </w:r>
          </w:p>
        </w:tc>
        <w:tc>
          <w:tcPr>
            <w:tcW w:w="189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433,429 </w:t>
            </w:r>
          </w:p>
        </w:tc>
        <w:tc>
          <w:tcPr>
            <w:tcW w:w="9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197.61 </w:t>
            </w:r>
          </w:p>
        </w:tc>
        <w:tc>
          <w:tcPr>
            <w:tcW w:w="4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(1)A maximum of 1,034,136 units could be awarded based upon the Company’s final TSR ranking.</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Company’s unrecognized compensation cost related to unvested performance based restricted stock awards and units was $42 million, which is expected to be recognized over a weighted-average period of 1.5 years.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2023, eligible employees received performance restricted stock unit awards totaling 126,347 units from which a minimum of 0% and a maximum of 200% of the units could be awarded based upon the measurement of total stockholder return of the Company’s common stock as compared to a designated peer group during the 3-year performance period of January 1, 2023 to December 31, 2025 and cliff vest at December 31, 2025 subject to continued employment. The initial payout of the March 2023 awards will be further adjusted by a TSR modifier that may reduce the payout or increase the payout up to a maximum of 250%. Additionally, in July 2023 the Company granted 1,858 units under substantially the same terms as the March 2023 performance restricted stock unit awards.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each performance restricted stock unit issuance is estimated at the date of grant using a Monte Carlo simulation, which results in an expected percentage of units to be earned during the performance period.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the grant-date fair values of performance restricted stock units granted and the related assumptions for the awards granted during the periods presented:</w:t>
      </w:r>
    </w:p>
    <w:p>
      <w:pPr>
        <w:pStyle w:val="TextBody"/>
        <w:bidi w:val="0"/>
        <w:spacing w:before="0" w:after="0"/>
        <w:ind w:left="0" w:right="0" w:firstLine="720"/>
        <w:jc w:val="both"/>
        <w:rPr/>
      </w:pPr>
      <w:r>
        <w:rPr/>
      </w:r>
    </w:p>
    <w:tbl>
      <w:tblPr>
        <w:tblW w:w="4998" w:type="dxa"/>
        <w:jc w:val="center"/>
        <w:tblInd w:w="0" w:type="dxa"/>
        <w:tblLayout w:type="fixed"/>
        <w:tblCellMar>
          <w:top w:w="28" w:type="dxa"/>
          <w:left w:w="28" w:type="dxa"/>
          <w:bottom w:w="28" w:type="dxa"/>
          <w:right w:w="28" w:type="dxa"/>
        </w:tblCellMar>
      </w:tblPr>
      <w:tblGrid>
        <w:gridCol w:w="645"/>
        <w:gridCol w:w="569"/>
        <w:gridCol w:w="570"/>
        <w:gridCol w:w="211"/>
        <w:gridCol w:w="721"/>
        <w:gridCol w:w="271"/>
        <w:gridCol w:w="109"/>
        <w:gridCol w:w="109"/>
        <w:gridCol w:w="109"/>
        <w:gridCol w:w="211"/>
        <w:gridCol w:w="721"/>
        <w:gridCol w:w="271"/>
        <w:gridCol w:w="109"/>
        <w:gridCol w:w="109"/>
        <w:gridCol w:w="109"/>
        <w:gridCol w:w="154"/>
      </w:tblGrid>
      <w:tr>
        <w:trPr/>
        <w:tc>
          <w:tcPr>
            <w:tcW w:w="645"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March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July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Grant-date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rate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 volatility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10.    INCOME TAXES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Company’s provision for (benefit from) income taxes and the effective income tax rate for the periods indicated:</w:t>
      </w:r>
    </w:p>
    <w:p>
      <w:pPr>
        <w:pStyle w:val="TextBody"/>
        <w:bidi w:val="0"/>
        <w:spacing w:before="0" w:after="0"/>
        <w:ind w:left="0" w:right="0" w:firstLine="720"/>
        <w:jc w:val="both"/>
        <w:rPr/>
      </w:pPr>
      <w:r>
        <w:rPr/>
      </w:r>
    </w:p>
    <w:tbl>
      <w:tblPr>
        <w:tblW w:w="9501" w:type="dxa"/>
        <w:jc w:val="left"/>
        <w:tblInd w:w="0" w:type="dxa"/>
        <w:tblLayout w:type="fixed"/>
        <w:tblCellMar>
          <w:top w:w="28" w:type="dxa"/>
          <w:left w:w="28" w:type="dxa"/>
          <w:bottom w:w="28" w:type="dxa"/>
          <w:right w:w="28" w:type="dxa"/>
        </w:tblCellMar>
      </w:tblPr>
      <w:tblGrid>
        <w:gridCol w:w="1243"/>
        <w:gridCol w:w="1094"/>
        <w:gridCol w:w="1098"/>
        <w:gridCol w:w="274"/>
        <w:gridCol w:w="607"/>
        <w:gridCol w:w="353"/>
        <w:gridCol w:w="141"/>
        <w:gridCol w:w="141"/>
        <w:gridCol w:w="141"/>
        <w:gridCol w:w="274"/>
        <w:gridCol w:w="607"/>
        <w:gridCol w:w="353"/>
        <w:gridCol w:w="109"/>
        <w:gridCol w:w="109"/>
        <w:gridCol w:w="109"/>
        <w:gridCol w:w="265"/>
        <w:gridCol w:w="585"/>
        <w:gridCol w:w="340"/>
        <w:gridCol w:w="137"/>
        <w:gridCol w:w="137"/>
        <w:gridCol w:w="137"/>
        <w:gridCol w:w="265"/>
        <w:gridCol w:w="585"/>
        <w:gridCol w:w="397"/>
      </w:tblGrid>
      <w:tr>
        <w:trPr/>
        <w:tc>
          <w:tcPr>
            <w:tcW w:w="12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 except for tax rate)</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3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3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3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income tax rate</w:t>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Total income tax expense from continuing operations for the three and nine months ended September 30, 2023 and 2022 differed from amounts computed by applying the United States federal statutory tax rate to pre-tax income primarily due to (i) state income taxes, net of federal benefit, and (ii) the impact of permanent differences between book and taxable income, partially offset by (iii) a tax benefit resulting from a reduction in the valuation allowance on Viper’s deferred tax assets for the three and nine months ended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Viper maintained a partial valuation allowance against its deferred tax assets, based on its assessment of all available evidence, both positive and negative, supporting realizability of Viper’s deferred tax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Company’s items of discrete income tax expense or benefit were not material. For the three and nine months ended September 30, 2022, the Company recognized discrete income tax benefit of $50 million related to a partial release of Viper’s beginning-of-the-year valuation allowance, based on a change in judgment about the realizability of Viper’s deferred tax assets in future years.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of 2022 (“IRA”) was enacted on August 16, 2022, which created a 15% corporate alternative minimum tax (“CAMT”) on the “adjusted financial statement income” of certain large corporations (generally, corporations reporting at least $1 billion of average adjusted pre-tax net income on their consolidated financial statements) as well as an excise tax of 1% on the fair market value of certain public company stock/unit repurchases for tax years beginning after December 31, 2022. Based on application of currently available guidance, the Company’s income tax expense for the three and nine months ended September 30, 2023 were not impacted by the CAMT. The Company’s excise tax during the three and nine months ended September 30, 2023 was immaterial and was recognized as part of the cost basis of the units repurchased.</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11.    DERIVATIVES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has commodity derivative contracts and interest rate swaps outstanding. All derivative financial instruments are recorded at fair value.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Commodity Contracts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entered into multiple crude oil and natural gas derivatives, indexed to the respective indices as noted in the table below, to reduce price volatility associated with certain of its oil and natural gas sales. The Company has not designated its commodity derivative instruments as hedges for accounting purposes and, as a result, marks its commodity derivative instruments to fair value and recognizes the cash and non-cash changes in fair value in the condensed consolidated statements of operations under the caption “Gain (loss) on derivative instruments, net.”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 has entered into commodity derivative instruments only with counterparties that are also lenders under its credit facility and have been deemed an acceptable credit risk. As such, collateral is not required from either the counterparties or the Company on its outstanding commodity derivative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the following outstanding commodity derivative contracts. When aggregating multiple contracts, the weighted average contract price is disclosed.</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98"/>
        <w:gridCol w:w="350"/>
        <w:gridCol w:w="351"/>
        <w:gridCol w:w="344"/>
        <w:gridCol w:w="344"/>
        <w:gridCol w:w="346"/>
        <w:gridCol w:w="345"/>
        <w:gridCol w:w="336"/>
        <w:gridCol w:w="338"/>
        <w:gridCol w:w="425"/>
        <w:gridCol w:w="354"/>
        <w:gridCol w:w="356"/>
        <w:gridCol w:w="395"/>
        <w:gridCol w:w="395"/>
        <w:gridCol w:w="401"/>
        <w:gridCol w:w="503"/>
        <w:gridCol w:w="503"/>
        <w:gridCol w:w="510"/>
        <w:gridCol w:w="109"/>
        <w:gridCol w:w="157"/>
        <w:gridCol w:w="470"/>
        <w:gridCol w:w="470"/>
        <w:gridCol w:w="482"/>
        <w:gridCol w:w="442"/>
        <w:gridCol w:w="442"/>
        <w:gridCol w:w="639"/>
      </w:tblGrid>
      <w:tr>
        <w:trPr/>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Swaps</w:t>
            </w:r>
          </w:p>
        </w:tc>
        <w:tc>
          <w:tcPr>
            <w:tcW w:w="109" w:type="dxa"/>
            <w:tcBorders/>
            <w:vAlign w:val="center"/>
          </w:tcPr>
          <w:p>
            <w:pPr>
              <w:pStyle w:val="TableContents"/>
              <w:bidi w:val="0"/>
              <w:spacing w:before="0" w:after="283"/>
              <w:jc w:val="left"/>
              <w:rPr>
                <w:sz w:val="4"/>
                <w:szCs w:val="4"/>
              </w:rPr>
            </w:pPr>
            <w:r>
              <w:rPr>
                <w:sz w:val="4"/>
                <w:szCs w:val="4"/>
              </w:rPr>
            </w:r>
          </w:p>
        </w:tc>
        <w:tc>
          <w:tcPr>
            <w:tcW w:w="1579"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Collars</w:t>
            </w:r>
          </w:p>
        </w:tc>
        <w:tc>
          <w:tcPr>
            <w:tcW w:w="1523" w:type="dxa"/>
            <w:gridSpan w:val="3"/>
            <w:tcBorders/>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1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Bbls/MMBtu Per Day</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15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Differential</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Floor Price</w:t>
            </w:r>
          </w:p>
        </w:tc>
        <w:tc>
          <w:tcPr>
            <w:tcW w:w="15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Weighted Average Ceiling Price</w:t>
            </w:r>
          </w:p>
        </w:tc>
      </w:tr>
      <w:tr>
        <w:trPr/>
        <w:tc>
          <w:tcPr>
            <w:tcW w:w="10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$0.90</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Midland</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Jan. - Jun.</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$95.55</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Roll Swap</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$0.81</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15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NATURAL GAS</w:t>
            </w:r>
          </w:p>
        </w:tc>
        <w:tc>
          <w:tcPr>
            <w:tcW w:w="1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$9.22</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Costless Collar</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260,000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Henry Hub</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$2.87</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$7.76</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380,000</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Dec.</w:t>
            </w:r>
          </w:p>
        </w:tc>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Basis Swap</w:t>
            </w:r>
            <w:r>
              <w:rPr>
                <w:rFonts w:ascii="Times New Roman;sans-serif" w:hAnsi="Times New Roman;sans-serif"/>
                <w:b w:val="false"/>
                <w:color w:val="000000"/>
                <w:sz w:val="13"/>
              </w:rPr>
              <w:t>(1)</w:t>
            </w:r>
          </w:p>
        </w:tc>
        <w:tc>
          <w:tcPr>
            <w:tcW w:w="1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160,000</w:t>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Waha Hub</w:t>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$(0.72)</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fixed price basis swaps for the spread between the Cushing crude oil price and the Midland WTI crude oil price as well as the spread between the Henry Hub natural gas price and the Waha Hub natural gas price. The weighted average differential represents the amount of reduction to the Cushing, Oklahoma oil price and the Waha Hub natural gas price for the notional volumes covered by the basis swap contracts.</w:t>
      </w:r>
    </w:p>
    <w:p>
      <w:pPr>
        <w:pStyle w:val="TextBody"/>
        <w:bidi w:val="0"/>
        <w:spacing w:before="0" w:after="0"/>
        <w:jc w:val="both"/>
        <w:rPr/>
      </w:pPr>
      <w:r>
        <w:rPr/>
      </w:r>
    </w:p>
    <w:tbl>
      <w:tblPr>
        <w:tblW w:w="9390" w:type="dxa"/>
        <w:jc w:val="left"/>
        <w:tblInd w:w="0" w:type="dxa"/>
        <w:tblLayout w:type="fixed"/>
        <w:tblCellMar>
          <w:top w:w="28" w:type="dxa"/>
          <w:left w:w="28" w:type="dxa"/>
          <w:bottom w:w="28" w:type="dxa"/>
          <w:right w:w="28" w:type="dxa"/>
        </w:tblCellMar>
      </w:tblPr>
      <w:tblGrid>
        <w:gridCol w:w="511"/>
        <w:gridCol w:w="449"/>
        <w:gridCol w:w="450"/>
        <w:gridCol w:w="424"/>
        <w:gridCol w:w="424"/>
        <w:gridCol w:w="426"/>
        <w:gridCol w:w="454"/>
        <w:gridCol w:w="454"/>
        <w:gridCol w:w="456"/>
        <w:gridCol w:w="349"/>
        <w:gridCol w:w="349"/>
        <w:gridCol w:w="352"/>
        <w:gridCol w:w="570"/>
        <w:gridCol w:w="570"/>
        <w:gridCol w:w="585"/>
        <w:gridCol w:w="319"/>
        <w:gridCol w:w="319"/>
        <w:gridCol w:w="321"/>
        <w:gridCol w:w="109"/>
        <w:gridCol w:w="438"/>
        <w:gridCol w:w="438"/>
        <w:gridCol w:w="623"/>
      </w:tblGrid>
      <w:tr>
        <w:trPr/>
        <w:tc>
          <w:tcPr>
            <w:tcW w:w="51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Month</w:t>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Settlement Year</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Type of Contract</w:t>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Bbls Per Day</w:t>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Index</w:t>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Strike Price</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Deferred Premium</w:t>
            </w:r>
          </w:p>
        </w:tc>
      </w:tr>
      <w:tr>
        <w:trPr/>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OIL</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$1.59</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$1.70</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$1.60</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 - Mar.</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$58.57</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$1.54</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$1.48</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$1.51</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 - Jun.</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WTI Cushing</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w:t>
            </w:r>
          </w:p>
        </w:tc>
      </w:tr>
      <w:tr>
        <w:trPr/>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 - Sep.</w:t>
            </w:r>
          </w:p>
        </w:tc>
        <w:tc>
          <w:tcPr>
            <w:tcW w:w="1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Argus WTI Houston</w:t>
            </w:r>
          </w:p>
        </w:tc>
        <w:tc>
          <w:tcPr>
            <w:tcW w:w="9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w:t>
            </w:r>
          </w:p>
        </w:tc>
      </w:tr>
      <w:tr>
        <w:trPr/>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 - Dec.</w:t>
            </w:r>
          </w:p>
        </w:tc>
        <w:tc>
          <w:tcPr>
            <w:tcW w:w="12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Put</w:t>
            </w:r>
          </w:p>
        </w:tc>
        <w:tc>
          <w:tcPr>
            <w:tcW w:w="1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Brent</w:t>
            </w:r>
          </w:p>
        </w:tc>
        <w:tc>
          <w:tcPr>
            <w:tcW w:w="9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$55.00</w:t>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$1.49</w:t>
            </w:r>
          </w:p>
        </w:tc>
      </w:tr>
    </w:tbl>
    <w:p>
      <w:pPr>
        <w:pStyle w:val="TextBody"/>
        <w:bidi w:val="0"/>
        <w:spacing w:before="0" w:after="0"/>
        <w:ind w:left="0" w:right="0" w:hanging="36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2021, the Company entered into two interest rate swap agreements for notional amounts of $600 million, which were designated as fair value hedges of the Company’s $1.2 billion 3.50% fixed rate senior notes due 2029 (the “2029 Notes”) at inception. The Company receives a fixed 3.50% rate of interest on these swaps. Effective on May 28, 2023, the variable rate of interest the Company pays on these swaps was reset from three month LIBOR to three month SOFR plus 2.1865%. The Company previously adopted the optional expedient in ASU 2020-04, “Reference Rate Reform (Topic 848) - Facilitation of the Effects of Reference Rate Reform on Financial Reporting,” as later extended for these contract term modifications, and as a result, did not recognize any impact of the change in reference rate on its financial position, results of operations or liquidity for the three or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second quarter of 2022, the Company elected to fully dedesignate these interest rate swaps and hedge accounting was discontinued. The cumulative fair value basis adjustment recorded on the 2029 Notes at the time of dedesignation totaled $135 million. This basis adjustment is being amortized to interest expense over the remaining term of the 2029 Notes utilizing the effective interest method. The dedesignated interest rate swaps are considered economic hedges of the Company’s fixed-rate debt. As such, changes in the fair value of the interest rate swaps after the date of dedesignation have been recorded in earnings under the caption “Gain (loss) on derivative instruments, net” in the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Balance Sheet Offsetting of Derivative Assets and Liabilities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fair value of derivative instruments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12—</w:t>
      </w:r>
      <w:hyperlink w:anchor="ia9e4db464c2249aebaf424c72b2cbe2e_73">
        <w:r>
          <w:rPr>
            <w:rStyle w:val="InternetLink"/>
            <w:rFonts w:ascii="Times New Roman;sans-serif" w:hAnsi="Times New Roman;sans-serif"/>
            <w:b w:val="false"/>
            <w:color w:val="0000FF"/>
            <w:sz w:val="20"/>
            <w:u w:val="single"/>
          </w:rPr>
          <w:t>Fair Value Measurements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Gains and Losses on Derivative Instruments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gains and losses on derivative instruments not designated as hedging instruments included in the condensed consolidated statements of operations: </w:t>
      </w:r>
    </w:p>
    <w:tbl>
      <w:tblPr>
        <w:tblW w:w="9574" w:type="dxa"/>
        <w:jc w:val="left"/>
        <w:tblInd w:w="0" w:type="dxa"/>
        <w:tblLayout w:type="fixed"/>
        <w:tblCellMar>
          <w:top w:w="28" w:type="dxa"/>
          <w:left w:w="28" w:type="dxa"/>
          <w:bottom w:w="28" w:type="dxa"/>
          <w:right w:w="28" w:type="dxa"/>
        </w:tblCellMar>
      </w:tblPr>
      <w:tblGrid>
        <w:gridCol w:w="1270"/>
        <w:gridCol w:w="1118"/>
        <w:gridCol w:w="1121"/>
        <w:gridCol w:w="332"/>
        <w:gridCol w:w="686"/>
        <w:gridCol w:w="171"/>
        <w:gridCol w:w="171"/>
        <w:gridCol w:w="171"/>
        <w:gridCol w:w="171"/>
        <w:gridCol w:w="332"/>
        <w:gridCol w:w="686"/>
        <w:gridCol w:w="171"/>
        <w:gridCol w:w="109"/>
        <w:gridCol w:w="109"/>
        <w:gridCol w:w="109"/>
        <w:gridCol w:w="287"/>
        <w:gridCol w:w="736"/>
        <w:gridCol w:w="148"/>
        <w:gridCol w:w="148"/>
        <w:gridCol w:w="148"/>
        <w:gridCol w:w="148"/>
        <w:gridCol w:w="287"/>
        <w:gridCol w:w="736"/>
        <w:gridCol w:w="209"/>
      </w:tblGrid>
      <w:tr>
        <w:trPr/>
        <w:tc>
          <w:tcPr>
            <w:tcW w:w="1270"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Commodity contracts</w:t>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Commodity contracts</w:t>
            </w:r>
            <w:r>
              <w:rPr>
                <w:rFonts w:ascii="Times New Roman;sans-serif" w:hAnsi="Times New Roman;sans-serif"/>
                <w:b w:val="false"/>
                <w:color w:val="000000"/>
                <w:sz w:val="13"/>
              </w:rPr>
              <w:t>(1)</w:t>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three and nine months ended September 30, 2022 includes cash paid on commodity contracts terminated prior to their contractual maturity of $3 million and $138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12.    FAIR VALUE MEASUREMENTS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and Liabilities Measured at Fair Value on a Recurring Basis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discussed in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"ia595866015b4400388c840bd76dbe1a1_127"</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Note 13—Fair Value Measurements in the Company’s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 certain financial instruments of the Company are reported at fair value on the Company’s condensed consolidated balance sheets</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The net amounts of derivative instruments are classified as current or noncurrent based on their anticipated settlement dates. The Company has an immaterial investment that is reported at fair value using observable, quoted stock prices and is included in “Other assets” on the Company’s condensed consolidated balance sheet at September 30, 2023.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provides the fair value of financial instruments that are recorded at fair value in the condensed consolidated balance sheets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2023 and December 31, 2022:</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2023</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Other assets: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Investment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(48)</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21 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178 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18"/>
        <w:gridCol w:w="795"/>
        <w:gridCol w:w="802"/>
        <w:gridCol w:w="211"/>
        <w:gridCol w:w="406"/>
        <w:gridCol w:w="109"/>
        <w:gridCol w:w="211"/>
        <w:gridCol w:w="466"/>
        <w:gridCol w:w="109"/>
        <w:gridCol w:w="211"/>
        <w:gridCol w:w="406"/>
        <w:gridCol w:w="109"/>
        <w:gridCol w:w="355"/>
        <w:gridCol w:w="785"/>
        <w:gridCol w:w="183"/>
        <w:gridCol w:w="576"/>
        <w:gridCol w:w="1107"/>
        <w:gridCol w:w="300"/>
        <w:gridCol w:w="541"/>
        <w:gridCol w:w="1200"/>
        <w:gridCol w:w="405"/>
      </w:tblGrid>
      <w:tr>
        <w:trPr/>
        <w:tc>
          <w:tcPr>
            <w:tcW w:w="91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December 31, 2022</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Gross Fair Value</w:t>
            </w:r>
          </w:p>
        </w:tc>
        <w:tc>
          <w:tcPr>
            <w:tcW w:w="1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Amounts Offset in Balance Sheet</w:t>
            </w:r>
          </w:p>
        </w:tc>
        <w:tc>
          <w:tcPr>
            <w:tcW w:w="2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Fair Value Presented in Balance Sheet</w:t>
            </w:r>
          </w:p>
        </w:tc>
      </w:tr>
      <w:tr>
        <w:trPr/>
        <w:tc>
          <w:tcPr>
            <w:tcW w:w="2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0" w:type="dxa"/>
            <w:gridSpan w:val="18"/>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Assets: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132 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assets-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62 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983" w:type="dxa"/>
            <w:gridSpan w:val="3"/>
            <w:tcBorders/>
            <w:vAlign w:val="center"/>
          </w:tcPr>
          <w:p>
            <w:pPr>
              <w:pStyle w:val="TableContents"/>
              <w:bidi w:val="0"/>
              <w:spacing w:before="0" w:after="283"/>
              <w:jc w:val="left"/>
              <w:rPr>
                <w:sz w:val="4"/>
                <w:szCs w:val="4"/>
              </w:rPr>
            </w:pPr>
            <w:r>
              <w:rPr>
                <w:sz w:val="4"/>
                <w:szCs w:val="4"/>
              </w:rPr>
            </w:r>
          </w:p>
        </w:tc>
        <w:tc>
          <w:tcPr>
            <w:tcW w:w="2146" w:type="dxa"/>
            <w:gridSpan w:val="3"/>
            <w:tcBorders/>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Liabilities: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Current liabilities- Derivative instruments: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(65)</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Non-current liabilities- Derivative instruments: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Commodity derivative instruments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12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148 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Assets and Liabilities Not Recorded at Fair Value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fair value of financial instruments that are not recorded at fair value in the condensed consolidated balance sheets:</w:t>
      </w:r>
    </w:p>
    <w:p>
      <w:pPr>
        <w:pStyle w:val="TextBody"/>
        <w:bidi w:val="0"/>
        <w:spacing w:before="0" w:after="0"/>
        <w:ind w:left="0" w:right="0" w:firstLine="720"/>
        <w:jc w:val="both"/>
        <w:rPr/>
      </w:pPr>
      <w:r>
        <w:rPr/>
      </w:r>
    </w:p>
    <w:tbl>
      <w:tblPr>
        <w:tblW w:w="5281" w:type="dxa"/>
        <w:jc w:val="left"/>
        <w:tblInd w:w="0" w:type="dxa"/>
        <w:tblLayout w:type="fixed"/>
        <w:tblCellMar>
          <w:top w:w="28" w:type="dxa"/>
          <w:left w:w="28" w:type="dxa"/>
          <w:bottom w:w="28" w:type="dxa"/>
          <w:right w:w="28" w:type="dxa"/>
        </w:tblCellMar>
      </w:tblPr>
      <w:tblGrid>
        <w:gridCol w:w="185"/>
        <w:gridCol w:w="162"/>
        <w:gridCol w:w="16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values of the Company’s credit agreement and the Viper credit agreement approximate their carrying values based on borrowing rates available to the Company for bank loans with similar terms and maturities and is classified as Level 2 in the fair value hierarchy. The fair values of the outstanding notes were determined using the quoted market price at each period end, a Level 1 classification in the fair value hierarchy.</w:t>
      </w:r>
    </w:p>
    <w:p>
      <w:pPr>
        <w:pStyle w:val="TextBody"/>
        <w:bidi w:val="0"/>
        <w:spacing w:before="0" w:after="0"/>
        <w:ind w:left="0" w:right="0" w:firstLine="720"/>
        <w:jc w:val="both"/>
        <w:rPr/>
      </w:pPr>
      <w:r>
        <w:rPr/>
      </w:r>
    </w:p>
    <w:p>
      <w:pPr>
        <w:pStyle w:val="TextBody"/>
        <w:bidi w:val="0"/>
        <w:spacing w:lineRule="auto" w:line="288" w:before="0" w:after="0"/>
        <w:jc w:val="both"/>
        <w:rPr/>
      </w:pPr>
      <w:r>
        <w:rPr>
          <w:rFonts w:ascii="Times New Roman;sans-serif" w:hAnsi="Times New Roman;sans-serif"/>
          <w:b/>
          <w:i/>
          <w:color w:val="000000"/>
          <w:sz w:val="20"/>
        </w:rPr>
        <w:t>Assets and Liabilities Measured at Fair Value on a Nonrecurring Basis</w:t>
      </w:r>
      <w:r>
        <w:rPr>
          <w:color w:val="000000"/>
        </w:rPr>
        <w:t xml:space="preserv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Certain assets and liabilities are measured at fair value on a nonrecurring basis in certain circumstances. These assets and liabilities can include those acquired in a business combination, inventory, proved and unproved oil and gas properties, equity method investments and other long-lived assets that are written down to fair value when they are impaired or held for sale. Refer to Note 4—</w:t>
      </w:r>
      <w:hyperlink w:anchor="ia9e4db464c2249aebaf424c72b2cbe2e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and Note 5—</w:t>
      </w:r>
      <w:hyperlink w:anchor="ia9e4db464c2249aebaf424c72b2cbe2e_52">
        <w:r>
          <w:rPr>
            <w:rStyle w:val="InternetLink"/>
            <w:rFonts w:ascii="Times New Roman;sans-serif" w:hAnsi="Times New Roman;sans-serif"/>
            <w:b w:val="false"/>
            <w:color w:val="0000FF"/>
            <w:sz w:val="20"/>
            <w:u w:val="single"/>
          </w:rPr>
          <w:t>Property and Equipment</w:t>
        </w:r>
      </w:hyperlink>
      <w:r>
        <w:rPr>
          <w:color w:val="000000"/>
        </w:rPr>
        <w:t xml:space="preserve"> </w:t>
      </w:r>
      <w:r>
        <w:rPr>
          <w:rFonts w:ascii="Times New Roman;sans-serif" w:hAnsi="Times New Roman;sans-serif"/>
          <w:b w:val="false"/>
          <w:color w:val="000000"/>
          <w:sz w:val="20"/>
        </w:rPr>
        <w:t>for additional discussion of nonrecurring fair value adjustments.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Fair Value of Financial Assets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cash and cash equivalents, receivables, funds held in escrow, prepaid expenses and other current assets, payables and other accrued liabilities approximate their fair value because of the short-term nature of the instruments.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13.    SUPPLEMENTAL INFORMATION TO STATEMENTS OF CASH FLOWS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47"/>
        <w:gridCol w:w="1968"/>
        <w:gridCol w:w="1979"/>
        <w:gridCol w:w="109"/>
        <w:gridCol w:w="109"/>
        <w:gridCol w:w="285"/>
        <w:gridCol w:w="285"/>
        <w:gridCol w:w="553"/>
        <w:gridCol w:w="1222"/>
        <w:gridCol w:w="285"/>
        <w:gridCol w:w="109"/>
        <w:gridCol w:w="109"/>
        <w:gridCol w:w="109"/>
        <w:gridCol w:w="211"/>
        <w:gridCol w:w="466"/>
        <w:gridCol w:w="159"/>
      </w:tblGrid>
      <w:tr>
        <w:trPr/>
        <w:tc>
          <w:tcPr>
            <w:tcW w:w="2247"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1163" w:type="dxa"/>
            <w:gridSpan w:val="6"/>
            <w:tcBorders/>
          </w:tcPr>
          <w:p>
            <w:pPr>
              <w:pStyle w:val="TableContents"/>
              <w:bidi w:val="0"/>
              <w:spacing w:before="0" w:after="283"/>
              <w:jc w:val="left"/>
              <w:rPr>
                <w:sz w:val="4"/>
                <w:szCs w:val="4"/>
              </w:rPr>
            </w:pPr>
            <w:r>
              <w:rPr>
                <w:sz w:val="4"/>
                <w:szCs w:val="4"/>
              </w:rPr>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32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(received)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transactions: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capital expenditures included in accounts payable and accrued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r>
        <w:trPr/>
        <w:tc>
          <w:tcPr>
            <w:tcW w:w="6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issued for acquisitions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method investment received in exchange for contributed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party to various routine legal proceedings, disputes and claims arising in the ordinary course of its business, including those that arise from interpretation of federal and state laws and regulations affecting the crude oil and natural gas industry, personal injury claims, title disputes, royalty disputes, contract claims, contamination claims relating to oil and natural gas exploration and development and environmental claims, including claims involving assets previously sold to third parties and no longer part of the Company’s current operations.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disputes or claims when information available indicates that a loss is probable and the amount of the loss can be reasonably estimated.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United States Department of the Interior, Bureau of Safety and Environmental Enforcement, ordered several oil and gas operators, including a corporate predecessor of Energen Corporation, to perform decommissioning and reclamation activities related to a Louisiana offshore oil and gas production platform and related facilities. In response to the insolvency of the operator of record, the government ordered the former operators and/or alleged former lease record title owners to decommission the platform and related facilities. The Company has agreed to an arrangement with other operators to contribute to a trust to fund the decommissioning costs, however, the Company’s portion of such costs are not expected to be material.</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Beginning in 2013 and continuing through the third quarter of 2023, several coastal Louisiana parishes and the State of Louisiana have filed 43 lawsuits under Louisiana’s State and Local Coastal Resources Management Act (“SLCRMA”) against numerous oil and gas producers seeking damages for coastal erosion in or near oil fields located within Louisiana’s coastal zone. The Company is a defendant in three of these cases, and Plaintiffs’ claims against the Company relate to the prior operations of entities previously acquired by Energen Corporation. The Company has exercised contractual indemnification rights where applicable. Plaintiffs’ SLCRMA theories are unprecedented, and there remains significant uncertainty about the claims (both as to scope and damages). Although we cannot predict the ultimate outcome of these matters, the Company believes the claims lack merit and intends to continue vigorously defending these lawsuits.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15.    SUBSEQUENT EVENTS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Viper 2031 Notes Offering</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2023, Viper completed an offering (the “Viper 2031 Notes Offering”) of $400 million in aggregate principal amount of its 7.375% Senior Notes maturing on November 1, 2031 (the “Viper 2031 Notes”). Viper received net proceeds of approximately $394 million, after deducting the initial purchasers’ discount and expected transaction costs, from the Viper 2031 Notes Offering. Viper loaned the gross proceeds to Viper LLC, which used the proceeds to partially fund the cash portion of the Viper Acquisition as defined and discussed further below.</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Viper 2031 Notes are senior unsecured obligations of Viper, initially guaranteed on a senior unsecured basis by Viper LLC, and will pay interest semi-annually. Neither the Company nor Viper’s General Partner will guarantee the Viper 2031 Notes. In the future, each of Viper’s restricted subsidiaries that either (i) guarantees any of its or a guarantor’s indebtedness, or (ii) is a domestic restricted subsidiary and is an obligor with respect to any indebtedness under any credit facility will be required to guarantee the Viper 2031 Notes.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i/>
          <w:color w:val="000000"/>
          <w:sz w:val="20"/>
        </w:rPr>
      </w:pPr>
      <w:r>
        <w:rPr>
          <w:rFonts w:ascii="Times New Roman;sans-serif" w:hAnsi="Times New Roman;sans-serif"/>
          <w:b/>
          <w:i/>
          <w:color w:val="000000"/>
          <w:sz w:val="20"/>
        </w:rPr>
        <w:t>Viper Issuance of Common Units to Diamondback</w:t>
      </w:r>
    </w:p>
    <w:p>
      <w:pPr>
        <w:pStyle w:val="TextBody"/>
        <w:bidi w:val="0"/>
        <w:spacing w:before="0" w:after="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31, 2023, pursuant to a common unit purchase and sale agreement entered into on September 4, 2023, Viper issued approximately 7.22 million of its common units to the Company at a price of $27.72 per unit for total net proceeds to Viper of approximately $200 million. Viper used the net proceeds of this common unit issuance to fund a portion of the cash consideration for the Viper Acquisition, as defined and discussed further below.</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Viper Acquisition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Viper and Viper LLC acquired certain mineral and royalty interests from Royalty Asset Holdings, LP, Royalty Asset Holdings II, LP and Saxum Asset Holdings, LP (collectively, “the Sellers,” and affiliates of Warwick Capital Partners and GRP Energy Capital) pursuant to a definitive purchase and sale agreement for approximately 9.02 million Viper common units and $750 million in cash, subject to customary post-closing adjustments (the “Viper Acquisition”). The mineral and royalty interests acquired in the Viper Acquisition represent 4,600 net royalty acres in the Permian Basin, plus an additional 2,700 net royalty acres in other major basins. The cash consideration for the Viper Acquisition was funded through a combination of cash on hand and held in escrow, borrowings under Viper LLC’s credit agreement, proceeds from the Viper 2031 Notes Offering and proceeds from the $200 million common unit issuance to the Company.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Following the completion of the Viper Acquisition and the related issuance of Viper common units to the Company under the common unit purchase and sale agreement, the Company beneficially owned approximately 56% of Viper’s total units outstanding.</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Third Quarter 2023 Dividend Declaration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 2023, the board of directors of the Company declared a cash dividend for the third quarter of 2023 of $3.37 per share of common stock, payable on November 24, 2023 to its stockholders of record at the close of business on November 16, 2023. The dividend consists of a base quarterly dividend of $0.84 per share of common stock and a variable quarterly dividend of $2.53 per share of common stock. Future base and variable dividends are at the discretion of the board of directors of the Company.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16.    SEGMENT INFORMATION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Company has one reportable segment, the upstream segment, which is engaged in the acquisition, development, exploration and exploitation of unconventional, onshore oil and natural gas reserves primarily in the Permian Basin in West Texas. Other operations are included in the “All Other” category in the table below.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results of the Company’s operating segments during the periods presented:</w:t>
      </w:r>
    </w:p>
    <w:p>
      <w:pPr>
        <w:pStyle w:val="TextBody"/>
        <w:bidi w:val="0"/>
        <w:spacing w:before="0" w:after="0"/>
        <w:ind w:left="0" w:right="0" w:firstLine="720"/>
        <w:jc w:val="both"/>
        <w:rPr/>
      </w:pPr>
      <w:r>
        <w:rPr/>
      </w:r>
    </w:p>
    <w:tbl>
      <w:tblPr>
        <w:tblW w:w="10059" w:type="dxa"/>
        <w:jc w:val="left"/>
        <w:tblInd w:w="0" w:type="dxa"/>
        <w:tblLayout w:type="fixed"/>
        <w:tblCellMar>
          <w:top w:w="28" w:type="dxa"/>
          <w:left w:w="28" w:type="dxa"/>
          <w:bottom w:w="28" w:type="dxa"/>
          <w:right w:w="28" w:type="dxa"/>
        </w:tblCellMar>
      </w:tblPr>
      <w:tblGrid>
        <w:gridCol w:w="1783"/>
        <w:gridCol w:w="1570"/>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(84)</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2,340 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(596)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059" w:type="dxa"/>
        <w:jc w:val="left"/>
        <w:tblInd w:w="0" w:type="dxa"/>
        <w:tblLayout w:type="fixed"/>
        <w:tblCellMar>
          <w:top w:w="28" w:type="dxa"/>
          <w:left w:w="28" w:type="dxa"/>
          <w:bottom w:w="28" w:type="dxa"/>
          <w:right w:w="28" w:type="dxa"/>
        </w:tblCellMar>
      </w:tblPr>
      <w:tblGrid>
        <w:gridCol w:w="1783"/>
        <w:gridCol w:w="1570"/>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(96)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1,598 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1,184 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Diamondback Energy,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Notes to Consolidated Financial Statements - (Continued)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059" w:type="dxa"/>
        <w:jc w:val="left"/>
        <w:tblInd w:w="0" w:type="dxa"/>
        <w:tblLayout w:type="fixed"/>
        <w:tblCellMar>
          <w:top w:w="28" w:type="dxa"/>
          <w:left w:w="28" w:type="dxa"/>
          <w:bottom w:w="28" w:type="dxa"/>
          <w:right w:w="28" w:type="dxa"/>
        </w:tblCellMar>
      </w:tblPr>
      <w:tblGrid>
        <w:gridCol w:w="1783"/>
        <w:gridCol w:w="1570"/>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Net income (loss) attributable to Diamondback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September 30, 2023:</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059" w:type="dxa"/>
        <w:jc w:val="left"/>
        <w:tblInd w:w="0" w:type="dxa"/>
        <w:tblLayout w:type="fixed"/>
        <w:tblCellMar>
          <w:top w:w="28" w:type="dxa"/>
          <w:left w:w="28" w:type="dxa"/>
          <w:bottom w:w="28" w:type="dxa"/>
          <w:right w:w="28" w:type="dxa"/>
        </w:tblCellMar>
      </w:tblPr>
      <w:tblGrid>
        <w:gridCol w:w="1783"/>
        <w:gridCol w:w="1570"/>
        <w:gridCol w:w="1581"/>
        <w:gridCol w:w="211"/>
        <w:gridCol w:w="721"/>
        <w:gridCol w:w="109"/>
        <w:gridCol w:w="109"/>
        <w:gridCol w:w="109"/>
        <w:gridCol w:w="109"/>
        <w:gridCol w:w="211"/>
        <w:gridCol w:w="616"/>
        <w:gridCol w:w="109"/>
        <w:gridCol w:w="109"/>
        <w:gridCol w:w="109"/>
        <w:gridCol w:w="109"/>
        <w:gridCol w:w="284"/>
        <w:gridCol w:w="649"/>
        <w:gridCol w:w="148"/>
        <w:gridCol w:w="109"/>
        <w:gridCol w:w="109"/>
        <w:gridCol w:w="109"/>
        <w:gridCol w:w="211"/>
        <w:gridCol w:w="721"/>
        <w:gridCol w:w="154"/>
      </w:tblGrid>
      <w:tr>
        <w:trPr/>
        <w:tc>
          <w:tcPr>
            <w:tcW w:w="1783"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Upstream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5"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c>
          <w:tcPr>
            <w:tcW w:w="5125" w:type="dxa"/>
            <w:gridSpan w:val="21"/>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non-controlling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Diamondback Energy, Inc.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 of December 31, 2022:</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an independent oil and natural gas company currently focused on the acquisition, development, exploration and exploitation of unconventional, onshore oil and natural gas reserves in the Permian Basin in West Texas. As discussed in Note 1—</w:t>
      </w:r>
      <w:hyperlink w:anchor="ia9e4db464c2249aebaf424c72b2cbe2e_40">
        <w:r>
          <w:rPr>
            <w:rStyle w:val="InternetLink"/>
            <w:rFonts w:ascii="Times New Roman;sans-serif" w:hAnsi="Times New Roman;sans-serif"/>
            <w:b w:val="false"/>
            <w:color w:val="0000FF"/>
            <w:sz w:val="20"/>
            <w:u w:val="single"/>
          </w:rPr>
          <w:t>Description of the Business and Basis of Presentation</w:t>
        </w:r>
      </w:hyperlink>
      <w:r>
        <w:rPr>
          <w:color w:val="000000"/>
        </w:rPr>
        <w:t xml:space="preserve"> </w:t>
      </w:r>
      <w:r>
        <w:rPr>
          <w:rFonts w:ascii="Times New Roman;sans-serif" w:hAnsi="Times New Roman;sans-serif"/>
          <w:b w:val="false"/>
          <w:color w:val="000000"/>
          <w:sz w:val="20"/>
        </w:rPr>
        <w:t>and Note 16—</w:t>
      </w:r>
      <w:hyperlink w:anchor="ia9e4db464c2249aebaf424c72b2cbe2e_85">
        <w:r>
          <w:rPr>
            <w:rStyle w:val="InternetLink"/>
            <w:rFonts w:ascii="Times New Roman;sans-serif" w:hAnsi="Times New Roman;sans-serif"/>
            <w:b w:val="false"/>
            <w:color w:val="0000FF"/>
            <w:sz w:val="20"/>
            <w:u w:val="single"/>
          </w:rPr>
          <w:t>Segment Information</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as of September 30, 2023, we have one reportable segment, the upstream segment.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Third Quarter 2023 Financial and Operating Highlights</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Recorded net income of $915 million for the third quarter of 2023.</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 xml:space="preserve">Increased our annual base dividend to $3.36 per share, paid dividends to stockholders of $149 million during the third quarter of 2023 and declared a combined base and variable dividend payable in the fourth quarter of 2023 of $3.37 per share of common stock. </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 xml:space="preserve">Repurchased $56 million, excluding excise tax, of our common stock, leaving approximately $1.8 billion available for future purchases under our common stock repurchase program at September 30, 2023.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cash operating costs for the third quarter of 2023 were $10.51 per BOE, including lease operating expenses of $5.42 per BOE, cash general and administrative expenses of $0.51 per BOE and production and ad valorem taxes and gathering and transportation expenses of $4.58 per BOE.</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Our average production was 452.8 MBOE/d during the third quarter of 2023.</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Drilled 79 gross horizontal wells in the Midland Basin and 7 gross horizontal wells in the Delaware Basin, and turned 74 gross operated horizontal wells (73 in the Midland Basin and 1 in the Delaware Basin) to production.</w:t>
      </w:r>
    </w:p>
    <w:p>
      <w:pPr>
        <w:pStyle w:val="TextBody"/>
        <w:bidi w:val="0"/>
        <w:spacing w:before="0" w:after="0"/>
        <w:jc w:val="both"/>
        <w:rPr/>
      </w:pPr>
      <w:r>
        <w:rPr/>
      </w:r>
    </w:p>
    <w:p>
      <w:pPr>
        <w:pStyle w:val="TextBody"/>
        <w:bidi w:val="0"/>
        <w:spacing w:lineRule="auto" w:line="264" w:before="0" w:after="0"/>
        <w:ind w:left="0" w:right="0" w:hanging="360"/>
        <w:jc w:val="both"/>
        <w:rPr/>
      </w:pPr>
      <w:r>
        <w:rPr>
          <w:color w:val="000000"/>
        </w:rPr>
        <w:t>•</w:t>
      </w:r>
      <w:r>
        <w:rPr>
          <w:rFonts w:ascii="Times New Roman;sans-serif" w:hAnsi="Times New Roman;sans-serif"/>
          <w:b w:val="false"/>
          <w:color w:val="000000"/>
          <w:sz w:val="20"/>
        </w:rPr>
        <w:t>Incurred capital expenditures, excluding acquisitions, of $684 million during the third quarter of 2023.</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To date, we have executed or announced non-core asset sale transactions, including those discussed in these highlights and </w:t>
      </w:r>
      <w:r>
        <w:rPr>
          <w:color w:val="000000"/>
        </w:rPr>
        <w:t>“—</w:t>
      </w:r>
      <w:hyperlink w:anchor="ia9e4db464c2249aebaf424c72b2cbe2e_91">
        <w:r>
          <w:rPr>
            <w:rStyle w:val="InternetLink"/>
            <w:rFonts w:ascii="Times New Roman;sans-serif" w:hAnsi="Times New Roman;sans-serif"/>
            <w:b w:val="false"/>
            <w:i/>
            <w:color w:val="0000FF"/>
            <w:sz w:val="20"/>
            <w:u w:val="single"/>
          </w:rPr>
          <w:t>Recent Developments</w:t>
        </w:r>
      </w:hyperlink>
      <w:r>
        <w:rPr>
          <w:color w:val="000000"/>
        </w:rPr>
        <w:t xml:space="preserve">” </w:t>
      </w:r>
      <w:r>
        <w:rPr>
          <w:rFonts w:ascii="Times New Roman;sans-serif" w:hAnsi="Times New Roman;sans-serif"/>
          <w:b w:val="false"/>
          <w:color w:val="000000"/>
          <w:sz w:val="20"/>
        </w:rPr>
        <w:t>below, involving gross proceeds of approximately $1.7 billion, in excess of our previously announced non-core asset divestiture target of at least $1.0 billion by year end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4" w:before="0" w:after="0"/>
        <w:jc w:val="both"/>
        <w:rPr>
          <w:rFonts w:ascii="Times New Roman;sans-serif" w:hAnsi="Times New Roman;sans-serif"/>
          <w:b/>
          <w:color w:val="000000"/>
          <w:sz w:val="20"/>
        </w:rPr>
      </w:pPr>
      <w:r>
        <w:rPr>
          <w:rFonts w:ascii="Times New Roman;sans-serif" w:hAnsi="Times New Roman;sans-serif"/>
          <w:b/>
          <w:color w:val="000000"/>
          <w:sz w:val="20"/>
        </w:rPr>
        <w:t>Transactions and Recent Developments</w:t>
      </w:r>
    </w:p>
    <w:p>
      <w:pPr>
        <w:pStyle w:val="TextBody"/>
        <w:bidi w:val="0"/>
        <w:spacing w:before="0" w:after="0"/>
        <w:jc w:val="both"/>
        <w:rPr/>
      </w:pPr>
      <w:r>
        <w:rPr/>
      </w:r>
    </w:p>
    <w:p>
      <w:pPr>
        <w:pStyle w:val="TextBody"/>
        <w:bidi w:val="0"/>
        <w:spacing w:lineRule="auto" w:line="264" w:before="0" w:after="0"/>
        <w:jc w:val="both"/>
        <w:rPr>
          <w:rFonts w:ascii="Times New Roman;sans-serif" w:hAnsi="Times New Roman;sans-serif"/>
          <w:b/>
          <w:i/>
          <w:color w:val="000000"/>
          <w:sz w:val="20"/>
        </w:rPr>
      </w:pPr>
      <w:r>
        <w:rPr>
          <w:rFonts w:ascii="Times New Roman;sans-serif" w:hAnsi="Times New Roman;sans-serif"/>
          <w:b/>
          <w:i/>
          <w:color w:val="000000"/>
          <w:sz w:val="20"/>
        </w:rPr>
        <w:t>Acquisition and Divestiture Update</w:t>
      </w:r>
    </w:p>
    <w:p>
      <w:pPr>
        <w:pStyle w:val="TextBody"/>
        <w:bidi w:val="0"/>
        <w:spacing w:before="0" w:after="0"/>
        <w:jc w:val="both"/>
        <w:rPr/>
      </w:pPr>
      <w:r>
        <w:rPr/>
      </w:r>
    </w:p>
    <w:p>
      <w:pPr>
        <w:pStyle w:val="TextBody"/>
        <w:bidi w:val="0"/>
        <w:spacing w:lineRule="auto" w:line="264"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Deep Blue Acquisition and Divestiture of Water Assets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 2023, we contributed our Water Assets with a net carrying value of $681 million in exchange for $516 million, a 30% equity ownership and voting interest in the newly formed Deep Blue joint venture and certain contingent consideration. </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Divestiture Transaction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July 28, 2023, we divested our 43% limited liability company interest in OMOG for $225 million in cash received at closing and recorded a gain on the sale of equity method investments of approximately $35 million in the third quarter of 2023.</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See Note 4—</w:t>
      </w:r>
      <w:hyperlink w:anchor="ia9e4db464c2249aebaf424c72b2cbe2e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discussion of our acquisitions and divestitures.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Subsequent Events Transactions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Viper 2031 Notes Offering</w:t>
      </w:r>
    </w:p>
    <w:p>
      <w:pPr>
        <w:pStyle w:val="TextBody"/>
        <w:bidi w:val="0"/>
        <w:spacing w:before="0" w:after="0"/>
        <w:jc w:val="left"/>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2023, Viper completed the Viper 2031 Notes Offering of $400 million in aggregate principal amount of the Viper 2031 Notes. Viper received net proceeds of approximately $394 million, after deducting the initial purchasers’ discount and expected transaction costs, from the Viper 2031 Notes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64" w:before="0" w:after="0"/>
        <w:ind w:left="0" w:right="0" w:firstLine="720"/>
        <w:jc w:val="both"/>
        <w:rPr>
          <w:rFonts w:ascii="Times New Roman;sans-serif" w:hAnsi="Times New Roman;sans-serif"/>
          <w:b/>
          <w:i/>
          <w:color w:val="000000"/>
          <w:sz w:val="20"/>
        </w:rPr>
      </w:pPr>
      <w:r>
        <w:rPr>
          <w:rFonts w:ascii="Times New Roman;sans-serif" w:hAnsi="Times New Roman;sans-serif"/>
          <w:b/>
          <w:i/>
          <w:color w:val="000000"/>
          <w:sz w:val="20"/>
        </w:rPr>
        <w:t>Viper Acquisition</w:t>
      </w:r>
    </w:p>
    <w:p>
      <w:pPr>
        <w:pStyle w:val="TextBody"/>
        <w:bidi w:val="0"/>
        <w:spacing w:before="0" w:after="0"/>
        <w:ind w:left="0" w:right="0" w:firstLine="720"/>
        <w:jc w:val="both"/>
        <w:rPr/>
      </w:pPr>
      <w:r>
        <w:rPr/>
      </w:r>
    </w:p>
    <w:p>
      <w:pPr>
        <w:pStyle w:val="TextBody"/>
        <w:bidi w:val="0"/>
        <w:spacing w:lineRule="auto" w:line="264"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 2023, Viper acquired certain mineral and royalty interests for total consideration consisting of approximately 9.02 million Viper common units and $750 million in cash, subject to customary post-closing adjustments. The mineral and royalty interests acquired in the Viper Acquisition represent 4,600 net royalty acres in the Permian Basin, plus an additional 2,700 net royalty acres in other major basins. The cash portion of this transaction was funded through a combination of cash on hand and held in escrow, borrowings under Viper LLC’s credit agreement, the proceeds from the Viper 2031 Notes and $200 million of proceeds from Viper’s issuance of common units to us under the common unit purchase and sale agreement. </w:t>
      </w:r>
    </w:p>
    <w:p>
      <w:pPr>
        <w:pStyle w:val="TextBody"/>
        <w:bidi w:val="0"/>
        <w:spacing w:before="0" w:after="0"/>
        <w:jc w:val="both"/>
        <w:rPr/>
      </w:pPr>
      <w:r>
        <w:rPr/>
      </w:r>
    </w:p>
    <w:p>
      <w:pPr>
        <w:pStyle w:val="TextBody"/>
        <w:bidi w:val="0"/>
        <w:spacing w:lineRule="auto" w:line="264" w:before="0" w:after="0"/>
        <w:ind w:left="0" w:right="0" w:firstLine="720"/>
        <w:jc w:val="both"/>
        <w:rPr/>
      </w:pPr>
      <w:r>
        <w:rPr>
          <w:rFonts w:ascii="Times New Roman;sans-serif" w:hAnsi="Times New Roman;sans-serif"/>
          <w:b w:val="false"/>
          <w:color w:val="000000"/>
          <w:sz w:val="20"/>
        </w:rPr>
        <w:t>See Note 15—</w:t>
      </w:r>
      <w:hyperlink w:anchor="ia9e4db464c2249aebaf424c72b2cbe2e_82">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ans-serif" w:hAnsi="Times New Roman;sans-serif"/>
          <w:b/>
          <w:i/>
          <w:color w:val="000000"/>
          <w:sz w:val="20"/>
        </w:rPr>
      </w:pPr>
      <w:r>
        <w:rPr>
          <w:rFonts w:ascii="Times New Roman;sans-serif" w:hAnsi="Times New Roman;sans-serif"/>
          <w:b/>
          <w:i/>
          <w:color w:val="000000"/>
          <w:sz w:val="20"/>
        </w:rPr>
        <w:t>Commodity Prices and Inflation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Prices for oil, natural gas and natural gas liquids are determined primarily by prevailing market conditions. Regional and worldwide economic activity, including any economic downturn or recession that has occurred or may occur in the future, extreme weather conditions and other substantially variable factors, influence market conditions for these products. These factors are beyond our control and are difficult to predict. During the nine months ended 2023 and 2022, NYMEX WTI price averaged $77.28 and $98.25 per Bbl, respectively, and NYMEX Henry Hub price averaged $2.58 and $6.69 per MMBtu, respectively. The war in Ukraine and Israel-Hamas war, rising interest rates, global supply chain disruptions, concerns about a potential economic downturn or recession, and measures to combat persistent inflation and instability in the financial sector have contributed to recent economic and pricing volatility and may continue to impact pricing throughout 2023. Although the impact of inflation on our business has been insignificant in prior periods, inflation in the U.S. has been rising at its fastest rate in over 40 years, creating inflationary pressure on the cost of services, equipment and other goods in the energy industry and other sectors, which is contributing to labor and materials shortages across the supply-chain. Additionally, OPEC and its non-OPEC allies, known collectively as OPEC+, continues to meet regularly to evaluate the state of global oil supply, demand and inventory levels.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Upstream Operations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activities are primarily directed at the horizontal development of the Wolfcamp and Spraberry formations in the Midland Basin and the Wolfcamp and Bone Spring formations in the Delaware Basin within the Permian Basin. Additionally, our publicly-traded subsidiary, Viper, is focused on owning and acquiring mineral interests and royalty interests in oil and natural gas properties primarily in the Permian Basin and derives royalty income and lease bonus income from such interests.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approximately 500,793 net acres, which primarily consisted of approximately 354,084 net acres in the Midland Basin and 146,388 net acres in the Delaware Basin.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Production is expected to grow slightly in the fourth quarter of 2023, with oil production projected to be between 269 and 273 MBO/d (455 to 460 MBOE/d). We anticipate we will continue to grow production organically at a low single digit annual pace in 2024, with a similar level of activity to 2023, primarily due to the quality of the acreage we are developing on a large scale in the Midland Basin, combined with multi-well pads and a high mineral interest across our development plan. We anticipate that capital expenditures will decrease by 5% to 10% in the fourth quarter of 2023 due to lower well costs, lower drilling activity and, to a lesser degree, a slower completion cadence. We expect this will set a baseline for our 2024 capital development plan. We also expect lower completion costs in the coming quarter and into 2024 due to a continuous decline in raw materials and service costs. The majority of our wells are now being completed with either a simulfrac or simulfrac e-fleet, reducing our exposure to spot frac prices.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51155"/>
                <wp:effectExtent l="0" t="0" r="0" b="0"/>
                <wp:wrapNone/>
                <wp:docPr id="34" name="Frame3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total number of operated horizontal wells drilled and completed during the periods indicated:</w:t>
      </w:r>
    </w:p>
    <w:p>
      <w:pPr>
        <w:pStyle w:val="TextBody"/>
        <w:bidi w:val="0"/>
        <w:spacing w:before="0" w:after="0"/>
        <w:ind w:left="0" w:right="0" w:firstLine="720"/>
        <w:jc w:val="both"/>
        <w:rPr/>
      </w:pPr>
      <w:r>
        <w:rPr/>
      </w:r>
    </w:p>
    <w:tbl>
      <w:tblPr>
        <w:tblW w:w="9248" w:type="dxa"/>
        <w:jc w:val="left"/>
        <w:tblInd w:w="0" w:type="dxa"/>
        <w:tblLayout w:type="fixed"/>
        <w:tblCellMar>
          <w:top w:w="28" w:type="dxa"/>
          <w:left w:w="28" w:type="dxa"/>
          <w:bottom w:w="28" w:type="dxa"/>
          <w:right w:w="28" w:type="dxa"/>
        </w:tblCellMar>
      </w:tblPr>
      <w:tblGrid>
        <w:gridCol w:w="497"/>
        <w:gridCol w:w="439"/>
        <w:gridCol w:w="443"/>
        <w:gridCol w:w="185"/>
        <w:gridCol w:w="185"/>
        <w:gridCol w:w="186"/>
        <w:gridCol w:w="157"/>
        <w:gridCol w:w="157"/>
        <w:gridCol w:w="157"/>
        <w:gridCol w:w="212"/>
        <w:gridCol w:w="157"/>
        <w:gridCol w:w="157"/>
        <w:gridCol w:w="157"/>
        <w:gridCol w:w="157"/>
        <w:gridCol w:w="157"/>
        <w:gridCol w:w="196"/>
        <w:gridCol w:w="179"/>
        <w:gridCol w:w="181"/>
        <w:gridCol w:w="157"/>
        <w:gridCol w:w="157"/>
        <w:gridCol w:w="157"/>
        <w:gridCol w:w="212"/>
        <w:gridCol w:w="157"/>
        <w:gridCol w:w="157"/>
        <w:gridCol w:w="109"/>
        <w:gridCol w:w="109"/>
        <w:gridCol w:w="109"/>
        <w:gridCol w:w="233"/>
        <w:gridCol w:w="233"/>
        <w:gridCol w:w="186"/>
        <w:gridCol w:w="152"/>
        <w:gridCol w:w="152"/>
        <w:gridCol w:w="152"/>
        <w:gridCol w:w="265"/>
        <w:gridCol w:w="201"/>
        <w:gridCol w:w="152"/>
        <w:gridCol w:w="152"/>
        <w:gridCol w:w="152"/>
        <w:gridCol w:w="152"/>
        <w:gridCol w:w="243"/>
        <w:gridCol w:w="223"/>
        <w:gridCol w:w="181"/>
        <w:gridCol w:w="152"/>
        <w:gridCol w:w="152"/>
        <w:gridCol w:w="152"/>
        <w:gridCol w:w="265"/>
        <w:gridCol w:w="201"/>
        <w:gridCol w:w="214"/>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Drilled</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Completed</w:t>
            </w:r>
            <w:r>
              <w:rPr>
                <w:rFonts w:ascii="Times New Roman;sans-serif" w:hAnsi="Times New Roman;sans-serif"/>
                <w:b/>
                <w:color w:val="000000"/>
                <w:sz w:val="12"/>
              </w:rPr>
              <w:t>(2)</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4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3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3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56" w:type="dxa"/>
            <w:gridSpan w:val="3"/>
            <w:tcBorders/>
            <w:vAlign w:val="center"/>
          </w:tcPr>
          <w:p>
            <w:pPr>
              <w:pStyle w:val="TableContents"/>
              <w:bidi w:val="0"/>
              <w:spacing w:before="0" w:after="283"/>
              <w:jc w:val="left"/>
              <w:rPr>
                <w:sz w:val="4"/>
                <w:szCs w:val="4"/>
              </w:rPr>
            </w:pPr>
            <w:r>
              <w:rPr>
                <w:sz w:val="4"/>
                <w:szCs w:val="4"/>
              </w:rPr>
            </w:r>
          </w:p>
        </w:tc>
        <w:tc>
          <w:tcPr>
            <w:tcW w:w="471" w:type="dxa"/>
            <w:gridSpan w:val="3"/>
            <w:tcBorders/>
            <w:vAlign w:val="center"/>
          </w:tcPr>
          <w:p>
            <w:pPr>
              <w:pStyle w:val="TableContents"/>
              <w:bidi w:val="0"/>
              <w:spacing w:before="0" w:after="283"/>
              <w:jc w:val="left"/>
              <w:rPr>
                <w:sz w:val="4"/>
                <w:szCs w:val="4"/>
              </w:rPr>
            </w:pPr>
            <w:r>
              <w:rPr>
                <w:sz w:val="4"/>
                <w:szCs w:val="4"/>
              </w:rPr>
            </w:r>
          </w:p>
        </w:tc>
        <w:tc>
          <w:tcPr>
            <w:tcW w:w="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2"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18"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47" w:type="dxa"/>
            <w:gridSpan w:val="3"/>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680"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average lateral length for the wells completed during the third quarter of 2023 was 11,864 feet. Operated completions during the third quarter of 2023 consisted of 25 Lower Spraberry wells, 20 Wolfcamp A wells, 11 Jo Mill wells, eight Wolfcamp B wells, seven Middle Spraberry wells, one Third Bone Spring well, one Upper Spraberry well and one Barnett well.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lateral length for the wells completed during the first nine months of 2023 was 11,184 feet. Operated completions during the nine months of 2023 consisted of 69 Lower Spraberry wells, 64 Wolfcamp A wells, 41 Wolfcamp B wells, 32 Jo Mill wells, 18 Middle Spraberry wells, 15 Third Bone Spring wells, eight Second Bone Spring wells, two Upper Spraberry wells and two Barnett wells.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operated the following wells:</w:t>
      </w:r>
    </w:p>
    <w:p>
      <w:pPr>
        <w:pStyle w:val="TextBody"/>
        <w:bidi w:val="0"/>
        <w:spacing w:before="0" w:after="0"/>
        <w:ind w:left="0" w:right="0" w:firstLine="720"/>
        <w:jc w:val="both"/>
        <w:rPr/>
      </w:pPr>
      <w:r>
        <w:rPr/>
      </w:r>
    </w:p>
    <w:tbl>
      <w:tblPr>
        <w:tblW w:w="7921" w:type="dxa"/>
        <w:jc w:val="left"/>
        <w:tblInd w:w="0" w:type="dxa"/>
        <w:tblLayout w:type="fixed"/>
        <w:tblCellMar>
          <w:top w:w="28" w:type="dxa"/>
          <w:left w:w="28" w:type="dxa"/>
          <w:bottom w:w="28" w:type="dxa"/>
          <w:right w:w="28" w:type="dxa"/>
        </w:tblCellMar>
      </w:tblPr>
      <w:tblGrid>
        <w:gridCol w:w="497"/>
        <w:gridCol w:w="439"/>
        <w:gridCol w:w="443"/>
        <w:gridCol w:w="308"/>
        <w:gridCol w:w="308"/>
        <w:gridCol w:w="186"/>
        <w:gridCol w:w="130"/>
        <w:gridCol w:w="130"/>
        <w:gridCol w:w="130"/>
        <w:gridCol w:w="308"/>
        <w:gridCol w:w="308"/>
        <w:gridCol w:w="130"/>
        <w:gridCol w:w="109"/>
        <w:gridCol w:w="109"/>
        <w:gridCol w:w="109"/>
        <w:gridCol w:w="308"/>
        <w:gridCol w:w="308"/>
        <w:gridCol w:w="186"/>
        <w:gridCol w:w="153"/>
        <w:gridCol w:w="153"/>
        <w:gridCol w:w="153"/>
        <w:gridCol w:w="352"/>
        <w:gridCol w:w="264"/>
        <w:gridCol w:w="153"/>
        <w:gridCol w:w="109"/>
        <w:gridCol w:w="109"/>
        <w:gridCol w:w="109"/>
        <w:gridCol w:w="308"/>
        <w:gridCol w:w="308"/>
        <w:gridCol w:w="186"/>
        <w:gridCol w:w="109"/>
        <w:gridCol w:w="109"/>
        <w:gridCol w:w="109"/>
        <w:gridCol w:w="308"/>
        <w:gridCol w:w="308"/>
        <w:gridCol w:w="175"/>
      </w:tblGrid>
      <w:tr>
        <w:trPr/>
        <w:tc>
          <w:tcPr>
            <w:tcW w:w="497"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2"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September 30, 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Vertical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Horizontal Wells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Area:</w:t>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Midland Basin</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4,886 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90" w:type="dxa"/>
            <w:gridSpan w:val="3"/>
            <w:tcBorders/>
            <w:vAlign w:val="center"/>
          </w:tcPr>
          <w:p>
            <w:pPr>
              <w:pStyle w:val="TableContents"/>
              <w:bidi w:val="0"/>
              <w:spacing w:before="0" w:after="283"/>
              <w:jc w:val="left"/>
              <w:rPr>
                <w:sz w:val="4"/>
                <w:szCs w:val="4"/>
              </w:rPr>
            </w:pPr>
            <w:r>
              <w:rPr>
                <w:sz w:val="4"/>
                <w:szCs w:val="4"/>
              </w:rPr>
            </w:r>
          </w:p>
        </w:tc>
        <w:tc>
          <w:tcPr>
            <w:tcW w:w="7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7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5,625 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5,258 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held interests in 12,012 gross (5,347 net) wells, including 1,123 gross (89 net) wells in which we have non-operated working interest.</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June 30, 2023</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noted in “</w:t>
      </w:r>
      <w:r>
        <w:rPr>
          <w:color w:val="000000"/>
        </w:rPr>
        <w:t>—</w:t>
      </w:r>
      <w:hyperlink w:anchor="ia9e4db464c2249aebaf424c72b2cbe2e_91">
        <w:r>
          <w:rPr>
            <w:rStyle w:val="InternetLink"/>
            <w:rFonts w:ascii="Times New Roman;sans-serif" w:hAnsi="Times New Roman;sans-serif"/>
            <w:b w:val="false"/>
            <w:i/>
            <w:color w:val="0000FF"/>
            <w:sz w:val="20"/>
            <w:u w:val="single"/>
          </w:rPr>
          <w:t>Recent Developments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the markets for oil and natural gas are highly volatile and are influenced by a number of factors which can lead to significant changes in our results of operations and management’s operational strategy on a quarterly basis. Accordingly, our results of operations discussion focuses on a comparison of the current quarter’s results of operations with those of the immediately preceding quarter. We believe our discussion provides investors with a more meaningful analysis of material operational and financial changes which occurred during the quarter based on current market and operational trends.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51155"/>
                <wp:effectExtent l="0" t="0" r="0" b="0"/>
                <wp:wrapNone/>
                <wp:docPr id="35" name="Frame3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three months ended September 30, 2023 and June 30, 2023:</w:t>
      </w:r>
    </w:p>
    <w:p>
      <w:pPr>
        <w:pStyle w:val="TextBody"/>
        <w:bidi w:val="0"/>
        <w:spacing w:before="0" w:after="0"/>
        <w:ind w:left="0" w:right="0" w:firstLine="720"/>
        <w:jc w:val="both"/>
        <w:rPr/>
      </w:pPr>
      <w:r>
        <w:rPr/>
      </w:r>
    </w:p>
    <w:tbl>
      <w:tblPr>
        <w:tblW w:w="7512" w:type="dxa"/>
        <w:jc w:val="left"/>
        <w:tblInd w:w="0" w:type="dxa"/>
        <w:tblLayout w:type="fixed"/>
        <w:tblCellMar>
          <w:top w:w="28" w:type="dxa"/>
          <w:left w:w="28" w:type="dxa"/>
          <w:bottom w:w="28" w:type="dxa"/>
          <w:right w:w="28" w:type="dxa"/>
        </w:tblCellMar>
      </w:tblPr>
      <w:tblGrid>
        <w:gridCol w:w="1587"/>
        <w:gridCol w:w="1391"/>
        <w:gridCol w:w="1402"/>
        <w:gridCol w:w="362"/>
        <w:gridCol w:w="1056"/>
        <w:gridCol w:w="187"/>
        <w:gridCol w:w="109"/>
        <w:gridCol w:w="109"/>
        <w:gridCol w:w="109"/>
        <w:gridCol w:w="258"/>
        <w:gridCol w:w="754"/>
        <w:gridCol w:w="188"/>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6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2,265 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1,896 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49,423 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266,109 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452,848 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449,912 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6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70.41 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provide information on the mix of our production for the three months ended September 30, 2023 and June 30, 2023:</w:t>
      </w:r>
    </w:p>
    <w:p>
      <w:pPr>
        <w:pStyle w:val="TextBody"/>
        <w:bidi w:val="0"/>
        <w:spacing w:before="0" w:after="0"/>
        <w:ind w:left="0" w:right="0" w:firstLine="720"/>
        <w:jc w:val="both"/>
        <w:rPr/>
      </w:pPr>
      <w:r>
        <w:rPr/>
      </w:r>
    </w:p>
    <w:tbl>
      <w:tblPr>
        <w:tblW w:w="5609" w:type="dxa"/>
        <w:jc w:val="left"/>
        <w:tblInd w:w="0" w:type="dxa"/>
        <w:tblLayout w:type="fixed"/>
        <w:tblCellMar>
          <w:top w:w="28" w:type="dxa"/>
          <w:left w:w="28" w:type="dxa"/>
          <w:bottom w:w="28" w:type="dxa"/>
          <w:right w:w="28" w:type="dxa"/>
        </w:tblCellMar>
      </w:tblPr>
      <w:tblGrid>
        <w:gridCol w:w="857"/>
        <w:gridCol w:w="753"/>
        <w:gridCol w:w="760"/>
        <w:gridCol w:w="357"/>
        <w:gridCol w:w="357"/>
        <w:gridCol w:w="891"/>
        <w:gridCol w:w="145"/>
        <w:gridCol w:w="145"/>
        <w:gridCol w:w="145"/>
        <w:gridCol w:w="244"/>
        <w:gridCol w:w="244"/>
        <w:gridCol w:w="711"/>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51155"/>
                <wp:effectExtent l="0" t="0" r="0" b="0"/>
                <wp:wrapNone/>
                <wp:docPr id="36" name="Frame3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tbl>
      <w:tblPr>
        <w:tblW w:w="10260" w:type="dxa"/>
        <w:jc w:val="left"/>
        <w:tblInd w:w="0" w:type="dxa"/>
        <w:tblLayout w:type="fixed"/>
        <w:tblCellMar>
          <w:top w:w="28" w:type="dxa"/>
          <w:left w:w="28" w:type="dxa"/>
          <w:bottom w:w="28" w:type="dxa"/>
          <w:right w:w="28" w:type="dxa"/>
        </w:tblCellMar>
      </w:tblPr>
      <w:tblGrid>
        <w:gridCol w:w="353"/>
        <w:gridCol w:w="311"/>
        <w:gridCol w:w="312"/>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171"/>
        <w:gridCol w:w="109"/>
        <w:gridCol w:w="109"/>
        <w:gridCol w:w="109"/>
        <w:gridCol w:w="414"/>
        <w:gridCol w:w="307"/>
        <w:gridCol w:w="256"/>
        <w:gridCol w:w="109"/>
        <w:gridCol w:w="109"/>
        <w:gridCol w:w="109"/>
        <w:gridCol w:w="434"/>
        <w:gridCol w:w="287"/>
        <w:gridCol w:w="276"/>
        <w:gridCol w:w="109"/>
        <w:gridCol w:w="109"/>
        <w:gridCol w:w="109"/>
        <w:gridCol w:w="200"/>
        <w:gridCol w:w="200"/>
        <w:gridCol w:w="201"/>
        <w:gridCol w:w="109"/>
        <w:gridCol w:w="109"/>
        <w:gridCol w:w="109"/>
        <w:gridCol w:w="360"/>
        <w:gridCol w:w="361"/>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 2023</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5,058 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23,946 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35,515 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15,232 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50,809 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2,232 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(1)Includes the Rockies.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Our revenues are a function of oil, natural gas and natural gas liquids production volumes sold and average sales prices received for those volumes.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third quarter of 2023 increased by $369 million to $2.3 billion compared to the second quarter of 2023. The increase consisted of $325 million attributable to higher average prices received for our oil, natural gas and natural gas liquids production and $44 million attributable to the 2% growth in our combined volumes sold.</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Beginning in the third quarter of 2023, we entered into purchase transactions with third parties and separate sale transactions with third parties to satisfy certain of our unused oil pipeline capacity commitments. The following table presents the net sales of purchased oil from third parties for the three months ended September 30, 2023 and June 30, 2023:</w:t>
      </w:r>
    </w:p>
    <w:p>
      <w:pPr>
        <w:pStyle w:val="TextBody"/>
        <w:bidi w:val="0"/>
        <w:spacing w:before="0" w:after="0"/>
        <w:ind w:left="0" w:right="0" w:firstLine="720"/>
        <w:jc w:val="both"/>
        <w:rPr/>
      </w:pPr>
      <w:r>
        <w:rPr/>
      </w:r>
    </w:p>
    <w:tbl>
      <w:tblPr>
        <w:tblW w:w="5321" w:type="dxa"/>
        <w:jc w:val="left"/>
        <w:tblInd w:w="0" w:type="dxa"/>
        <w:tblLayout w:type="fixed"/>
        <w:tblCellMar>
          <w:top w:w="28" w:type="dxa"/>
          <w:left w:w="28" w:type="dxa"/>
          <w:bottom w:w="28" w:type="dxa"/>
          <w:right w:w="28" w:type="dxa"/>
        </w:tblCellMar>
      </w:tblPr>
      <w:tblGrid>
        <w:gridCol w:w="793"/>
        <w:gridCol w:w="695"/>
        <w:gridCol w:w="702"/>
        <w:gridCol w:w="465"/>
        <w:gridCol w:w="897"/>
        <w:gridCol w:w="243"/>
        <w:gridCol w:w="109"/>
        <w:gridCol w:w="109"/>
        <w:gridCol w:w="109"/>
        <w:gridCol w:w="328"/>
        <w:gridCol w:w="632"/>
        <w:gridCol w:w="239"/>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presents other insignificant revenue for the three months ended September 30, 2023 and June 30, 2023:</w:t>
      </w:r>
    </w:p>
    <w:p>
      <w:pPr>
        <w:pStyle w:val="TextBody"/>
        <w:bidi w:val="0"/>
        <w:spacing w:before="0" w:after="0"/>
        <w:ind w:left="0" w:right="0" w:firstLine="720"/>
        <w:jc w:val="both"/>
        <w:rPr/>
      </w:pPr>
      <w:r>
        <w:rPr/>
      </w:r>
    </w:p>
    <w:tbl>
      <w:tblPr>
        <w:tblW w:w="5182" w:type="dxa"/>
        <w:jc w:val="left"/>
        <w:tblInd w:w="0" w:type="dxa"/>
        <w:tblLayout w:type="fixed"/>
        <w:tblCellMar>
          <w:top w:w="28" w:type="dxa"/>
          <w:left w:w="28" w:type="dxa"/>
          <w:bottom w:w="28" w:type="dxa"/>
          <w:right w:w="28" w:type="dxa"/>
        </w:tblCellMar>
      </w:tblPr>
      <w:tblGrid>
        <w:gridCol w:w="738"/>
        <w:gridCol w:w="648"/>
        <w:gridCol w:w="654"/>
        <w:gridCol w:w="496"/>
        <w:gridCol w:w="850"/>
        <w:gridCol w:w="258"/>
        <w:gridCol w:w="113"/>
        <w:gridCol w:w="113"/>
        <w:gridCol w:w="113"/>
        <w:gridCol w:w="349"/>
        <w:gridCol w:w="597"/>
        <w:gridCol w:w="25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three months ended September 30, 2023 and June 30, 2023:</w:t>
      </w:r>
    </w:p>
    <w:p>
      <w:pPr>
        <w:pStyle w:val="TextBody"/>
        <w:bidi w:val="0"/>
        <w:spacing w:before="0" w:after="0"/>
        <w:ind w:left="0" w:right="0" w:firstLine="720"/>
        <w:jc w:val="both"/>
        <w:rPr/>
      </w:pPr>
      <w:r>
        <w:rPr/>
      </w:r>
    </w:p>
    <w:tbl>
      <w:tblPr>
        <w:tblW w:w="8206"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09"/>
        <w:gridCol w:w="109"/>
        <w:gridCol w:w="109"/>
        <w:gridCol w:w="109"/>
        <w:gridCol w:w="109"/>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operating expenses increased by $26 million in total and increased by $0.54 on a per BOE basis for the third quarter of 2023 compared to the second quarter of 2023, primarily due to (i) $8 million in additional costs incurred for water services as a result of divesting our Water Assets in the third quarter of 2023, (ii) $6 million in increased spend on electrical generation and disposal related costs, (iii) $4 million due to the increase in production volumes, and (iv) other individually insignificant changes, including adjustments of prior period accruals in the second quarter of 2023.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51155"/>
                <wp:effectExtent l="0" t="0" r="0" b="0"/>
                <wp:wrapNone/>
                <wp:docPr id="37" name="Frame3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three months ended September 30, 2023 and June 30, 2023:</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45"/>
        <w:gridCol w:w="1780"/>
        <w:gridCol w:w="1795"/>
        <w:gridCol w:w="211"/>
        <w:gridCol w:w="466"/>
        <w:gridCol w:w="271"/>
        <w:gridCol w:w="109"/>
        <w:gridCol w:w="109"/>
        <w:gridCol w:w="109"/>
        <w:gridCol w:w="211"/>
        <w:gridCol w:w="511"/>
        <w:gridCol w:w="109"/>
        <w:gridCol w:w="109"/>
        <w:gridCol w:w="109"/>
        <w:gridCol w:w="109"/>
        <w:gridCol w:w="211"/>
        <w:gridCol w:w="466"/>
        <w:gridCol w:w="271"/>
        <w:gridCol w:w="109"/>
        <w:gridCol w:w="109"/>
        <w:gridCol w:w="109"/>
        <w:gridCol w:w="211"/>
        <w:gridCol w:w="511"/>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as a % of oil, natural gas and natural gas liquids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production revenues for the third quarter of 2023 increased slightly compared to the second quarter of 2023, primarily due to an increase in our natural gas and natural gas liquids sales, which have a higher production tax rate.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Ad valorem taxes are based, among other factors, on property values driven by prior year commodity prices. In the third quarter of 2023, we lowered our full year estimate of ad valorem taxes based on expected reductions in our tax rates and accordingly, decreased our ad valorem accrual compared to the second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and Transportation Expense.</w:t>
      </w:r>
      <w:r>
        <w:rPr>
          <w:color w:val="000000"/>
        </w:rPr>
        <w:t xml:space="preserve"> </w:t>
      </w:r>
      <w:r>
        <w:rPr>
          <w:rFonts w:ascii="Times New Roman;sans-serif" w:hAnsi="Times New Roman;sans-serif"/>
          <w:b w:val="false"/>
          <w:color w:val="000000"/>
          <w:sz w:val="20"/>
        </w:rPr>
        <w:t>The following table shows gathering and transportation expense for the three months ended September 30, 2023 and June 30, 2023:</w:t>
      </w:r>
    </w:p>
    <w:p>
      <w:pPr>
        <w:pStyle w:val="TextBody"/>
        <w:bidi w:val="0"/>
        <w:spacing w:before="0" w:after="0"/>
        <w:ind w:left="0" w:right="0" w:firstLine="720"/>
        <w:jc w:val="both"/>
        <w:rPr/>
      </w:pPr>
      <w:r>
        <w:rPr/>
      </w:r>
    </w:p>
    <w:tbl>
      <w:tblPr>
        <w:tblW w:w="8136" w:type="dxa"/>
        <w:jc w:val="left"/>
        <w:tblInd w:w="0" w:type="dxa"/>
        <w:tblLayout w:type="fixed"/>
        <w:tblCellMar>
          <w:top w:w="28" w:type="dxa"/>
          <w:left w:w="28" w:type="dxa"/>
          <w:bottom w:w="28" w:type="dxa"/>
          <w:right w:w="28" w:type="dxa"/>
        </w:tblCellMar>
      </w:tblPr>
      <w:tblGrid>
        <w:gridCol w:w="1112"/>
        <w:gridCol w:w="977"/>
        <w:gridCol w:w="985"/>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09"/>
        <w:gridCol w:w="109"/>
        <w:gridCol w:w="109"/>
        <w:gridCol w:w="109"/>
        <w:gridCol w:w="109"/>
        <w:gridCol w:w="109"/>
        <w:gridCol w:w="109"/>
        <w:gridCol w:w="109"/>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9" w:type="dxa"/>
            <w:gridSpan w:val="6"/>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transportation</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increases in gathering and transportation expenses and the per BOE amounts during the third quarter of 2023 compared to the second quarter of 2023 primarily resulted from incurring higher costs for third party oil gathering services after divesting our oil gathering assets in the third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three months ended September 30, 2023 and June 30, 2023:</w:t>
      </w:r>
    </w:p>
    <w:p>
      <w:pPr>
        <w:pStyle w:val="TextBody"/>
        <w:bidi w:val="0"/>
        <w:spacing w:before="0" w:after="0"/>
        <w:ind w:left="0" w:right="0" w:firstLine="720"/>
        <w:jc w:val="both"/>
        <w:rPr/>
      </w:pPr>
      <w:r>
        <w:rPr/>
      </w:r>
    </w:p>
    <w:tbl>
      <w:tblPr>
        <w:tblW w:w="8397" w:type="dxa"/>
        <w:jc w:val="left"/>
        <w:tblInd w:w="0" w:type="dxa"/>
        <w:tblLayout w:type="fixed"/>
        <w:tblCellMar>
          <w:top w:w="28" w:type="dxa"/>
          <w:left w:w="28" w:type="dxa"/>
          <w:bottom w:w="28" w:type="dxa"/>
          <w:right w:w="28" w:type="dxa"/>
        </w:tblCellMar>
      </w:tblPr>
      <w:tblGrid>
        <w:gridCol w:w="1905"/>
        <w:gridCol w:w="1673"/>
        <w:gridCol w:w="1687"/>
        <w:gridCol w:w="362"/>
        <w:gridCol w:w="1056"/>
        <w:gridCol w:w="187"/>
        <w:gridCol w:w="109"/>
        <w:gridCol w:w="109"/>
        <w:gridCol w:w="109"/>
        <w:gridCol w:w="258"/>
        <w:gridCol w:w="754"/>
        <w:gridCol w:w="188"/>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4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14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3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36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8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3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Depletion of proved oil and natural gas properties increased by $16.0 million in the third quarter of 2023 as compared to the second quarter of 2023 due primarily to the growth in production volumes discussed above and an increase in the depletion rate.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51155"/>
                <wp:effectExtent l="0" t="0" r="0" b="0"/>
                <wp:wrapNone/>
                <wp:docPr id="38" name="Frame3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three months ended September 30, 2023 and June 30, 2023:</w:t>
      </w:r>
    </w:p>
    <w:p>
      <w:pPr>
        <w:pStyle w:val="TextBody"/>
        <w:bidi w:val="0"/>
        <w:spacing w:before="0" w:after="0"/>
        <w:ind w:left="0" w:right="0" w:firstLine="720"/>
        <w:jc w:val="both"/>
        <w:rPr/>
      </w:pPr>
      <w:r>
        <w:rPr/>
      </w:r>
    </w:p>
    <w:tbl>
      <w:tblPr>
        <w:tblW w:w="7730" w:type="dxa"/>
        <w:jc w:val="left"/>
        <w:tblInd w:w="0" w:type="dxa"/>
        <w:tblLayout w:type="fixed"/>
        <w:tblCellMar>
          <w:top w:w="28" w:type="dxa"/>
          <w:left w:w="28" w:type="dxa"/>
          <w:bottom w:w="28" w:type="dxa"/>
          <w:right w:w="28" w:type="dxa"/>
        </w:tblCellMar>
      </w:tblPr>
      <w:tblGrid>
        <w:gridCol w:w="1281"/>
        <w:gridCol w:w="1125"/>
        <w:gridCol w:w="1134"/>
        <w:gridCol w:w="232"/>
        <w:gridCol w:w="398"/>
        <w:gridCol w:w="121"/>
        <w:gridCol w:w="109"/>
        <w:gridCol w:w="109"/>
        <w:gridCol w:w="109"/>
        <w:gridCol w:w="211"/>
        <w:gridCol w:w="511"/>
        <w:gridCol w:w="109"/>
        <w:gridCol w:w="109"/>
        <w:gridCol w:w="109"/>
        <w:gridCol w:w="109"/>
        <w:gridCol w:w="232"/>
        <w:gridCol w:w="398"/>
        <w:gridCol w:w="121"/>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remained consistent for the third quarter of 2023 compared to the second quarter of 2023. The decrease in non-cash stock-based compensation is due to forfeitures of unvested restricted stock units and performance restricted stock units during the third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other operating costs and expenses for the three months ended September 30, 2023 and June 30, 2023:</w:t>
      </w:r>
    </w:p>
    <w:p>
      <w:pPr>
        <w:pStyle w:val="TextBody"/>
        <w:bidi w:val="0"/>
        <w:spacing w:before="0" w:after="0"/>
        <w:ind w:left="0" w:right="0" w:firstLine="720"/>
        <w:jc w:val="both"/>
        <w:rPr/>
      </w:pPr>
      <w:r>
        <w:rPr/>
      </w:r>
    </w:p>
    <w:tbl>
      <w:tblPr>
        <w:tblW w:w="6353" w:type="dxa"/>
        <w:jc w:val="left"/>
        <w:tblInd w:w="0" w:type="dxa"/>
        <w:tblLayout w:type="fixed"/>
        <w:tblCellMar>
          <w:top w:w="28" w:type="dxa"/>
          <w:left w:w="28" w:type="dxa"/>
          <w:bottom w:w="28" w:type="dxa"/>
          <w:right w:w="28" w:type="dxa"/>
        </w:tblCellMar>
      </w:tblPr>
      <w:tblGrid>
        <w:gridCol w:w="1004"/>
        <w:gridCol w:w="881"/>
        <w:gridCol w:w="889"/>
        <w:gridCol w:w="496"/>
        <w:gridCol w:w="850"/>
        <w:gridCol w:w="258"/>
        <w:gridCol w:w="113"/>
        <w:gridCol w:w="113"/>
        <w:gridCol w:w="113"/>
        <w:gridCol w:w="358"/>
        <w:gridCol w:w="613"/>
        <w:gridCol w:w="184"/>
        <w:gridCol w:w="109"/>
        <w:gridCol w:w="109"/>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vAlign w:val="center"/>
          </w:tcPr>
          <w:p>
            <w:pPr>
              <w:pStyle w:val="TableContents"/>
              <w:bidi w:val="0"/>
              <w:spacing w:before="0" w:after="283"/>
              <w:jc w:val="left"/>
              <w:rPr>
                <w:sz w:val="4"/>
                <w:szCs w:val="4"/>
              </w:rPr>
            </w:pPr>
            <w:r>
              <w:rPr>
                <w:sz w:val="4"/>
                <w:szCs w:val="4"/>
              </w:rPr>
            </w:r>
          </w:p>
        </w:tc>
        <w:tc>
          <w:tcPr>
            <w:tcW w:w="1604"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operating expenses during the third quarter of 2023 compared to the second quarter of 2023 is primarily due to insignificant losses recorded on disposals of property, plant and equipment in the third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three months ended September 30, 2023 and June 30, 2023:</w:t>
      </w:r>
    </w:p>
    <w:p>
      <w:pPr>
        <w:pStyle w:val="TextBody"/>
        <w:bidi w:val="0"/>
        <w:spacing w:before="0" w:after="0"/>
        <w:ind w:left="0" w:right="0" w:firstLine="720"/>
        <w:jc w:val="both"/>
        <w:rPr/>
      </w:pPr>
      <w:r>
        <w:rPr/>
      </w:r>
    </w:p>
    <w:tbl>
      <w:tblPr>
        <w:tblW w:w="6580" w:type="dxa"/>
        <w:jc w:val="left"/>
        <w:tblInd w:w="0" w:type="dxa"/>
        <w:tblLayout w:type="fixed"/>
        <w:tblCellMar>
          <w:top w:w="28" w:type="dxa"/>
          <w:left w:w="28" w:type="dxa"/>
          <w:bottom w:w="28" w:type="dxa"/>
          <w:right w:w="28" w:type="dxa"/>
        </w:tblCellMar>
      </w:tblPr>
      <w:tblGrid>
        <w:gridCol w:w="1248"/>
        <w:gridCol w:w="1093"/>
        <w:gridCol w:w="1108"/>
        <w:gridCol w:w="486"/>
        <w:gridCol w:w="865"/>
        <w:gridCol w:w="253"/>
        <w:gridCol w:w="109"/>
        <w:gridCol w:w="109"/>
        <w:gridCol w:w="109"/>
        <w:gridCol w:w="279"/>
        <w:gridCol w:w="717"/>
        <w:gridCol w:w="204"/>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received (paid) on settlements</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108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11—</w:t>
      </w:r>
      <w:hyperlink w:anchor="ia9e4db464c2249aebaf424c72b2cbe2e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three months ended September 30, 2023 and June 30, 2023:</w:t>
      </w:r>
    </w:p>
    <w:p>
      <w:pPr>
        <w:pStyle w:val="TextBody"/>
        <w:bidi w:val="0"/>
        <w:spacing w:before="0" w:after="0"/>
        <w:ind w:left="0" w:right="0" w:firstLine="720"/>
        <w:jc w:val="both"/>
        <w:rPr/>
      </w:pPr>
      <w:r>
        <w:rPr/>
      </w:r>
    </w:p>
    <w:tbl>
      <w:tblPr>
        <w:tblW w:w="6777" w:type="dxa"/>
        <w:jc w:val="left"/>
        <w:tblInd w:w="0" w:type="dxa"/>
        <w:tblLayout w:type="fixed"/>
        <w:tblCellMar>
          <w:top w:w="28" w:type="dxa"/>
          <w:left w:w="28" w:type="dxa"/>
          <w:bottom w:w="28" w:type="dxa"/>
          <w:right w:w="28" w:type="dxa"/>
        </w:tblCellMar>
      </w:tblPr>
      <w:tblGrid>
        <w:gridCol w:w="1162"/>
        <w:gridCol w:w="1020"/>
        <w:gridCol w:w="1028"/>
        <w:gridCol w:w="465"/>
        <w:gridCol w:w="897"/>
        <w:gridCol w:w="243"/>
        <w:gridCol w:w="109"/>
        <w:gridCol w:w="109"/>
        <w:gridCol w:w="109"/>
        <w:gridCol w:w="322"/>
        <w:gridCol w:w="666"/>
        <w:gridCol w:w="166"/>
        <w:gridCol w:w="109"/>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4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4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 in net interest expense for the third quarter of 2023 compared to the second quarter of 2023 primarily consists of a $6 million increase in capitalized interest costs, which reduce interest expense, and a $4 million decrease in interest expense on our revolving credit facility, which was undrawn for a portion of the third quarter of 2023.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other income (expense), net is primarily due to the third quarter of 2023 including the $35 million gain on the sale of our equity method investment in OMOG as discussed further in Note 4—</w:t>
      </w:r>
      <w:hyperlink w:anchor="ia9e4db464c2249aebaf424c72b2cbe2e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to the condensed notes to the consolidated financial statements.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51155"/>
                <wp:effectExtent l="0" t="0" r="0" b="0"/>
                <wp:wrapNone/>
                <wp:docPr id="39" name="Frame3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7—</w:t>
      </w:r>
      <w:hyperlink w:anchor="ia9e4db464c2249aebaf424c72b2cbe2e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details regarding outstanding borrowings and gain (loss) on extinguishment of debt.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three months ended September 30, 2023 and June 30, 2023:</w:t>
      </w:r>
    </w:p>
    <w:p>
      <w:pPr>
        <w:pStyle w:val="TextBody"/>
        <w:bidi w:val="0"/>
        <w:spacing w:before="0" w:after="0"/>
        <w:ind w:left="0" w:right="0" w:firstLine="720"/>
        <w:jc w:val="both"/>
        <w:rPr/>
      </w:pPr>
      <w:r>
        <w:rPr/>
      </w:r>
    </w:p>
    <w:tbl>
      <w:tblPr>
        <w:tblW w:w="6565" w:type="dxa"/>
        <w:jc w:val="left"/>
        <w:tblInd w:w="0" w:type="dxa"/>
        <w:tblLayout w:type="fixed"/>
        <w:tblCellMar>
          <w:top w:w="28" w:type="dxa"/>
          <w:left w:w="28" w:type="dxa"/>
          <w:bottom w:w="28" w:type="dxa"/>
          <w:right w:w="28" w:type="dxa"/>
        </w:tblCellMar>
      </w:tblPr>
      <w:tblGrid>
        <w:gridCol w:w="1243"/>
        <w:gridCol w:w="1091"/>
        <w:gridCol w:w="1101"/>
        <w:gridCol w:w="429"/>
        <w:gridCol w:w="950"/>
        <w:gridCol w:w="225"/>
        <w:gridCol w:w="109"/>
        <w:gridCol w:w="109"/>
        <w:gridCol w:w="109"/>
        <w:gridCol w:w="304"/>
        <w:gridCol w:w="673"/>
        <w:gridCol w:w="222"/>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change in our income tax provision for the third quarter of 2023 compared to the second quarter of 2023 was primarily due to the increase in pre-tax income between the periods which resulted largely from the changes in revenues from oil, natural gas and natural gas liquids discussed above. See Note 10—</w:t>
      </w:r>
      <w:hyperlink w:anchor="ia9e4db464c2249aebaf424c72b2cbe2e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discussion of our income tax expense.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selected operating data for the nine months ended September 30, 2023 and 2022:</w:t>
      </w:r>
    </w:p>
    <w:p>
      <w:pPr>
        <w:pStyle w:val="TextBody"/>
        <w:bidi w:val="0"/>
        <w:spacing w:before="0" w:after="0"/>
        <w:jc w:val="both"/>
        <w:rPr/>
      </w:pPr>
      <w:r>
        <w:rPr/>
      </w:r>
    </w:p>
    <w:tbl>
      <w:tblPr>
        <w:tblW w:w="7227" w:type="dxa"/>
        <w:jc w:val="left"/>
        <w:tblInd w:w="0" w:type="dxa"/>
        <w:tblLayout w:type="fixed"/>
        <w:tblCellMar>
          <w:top w:w="28" w:type="dxa"/>
          <w:left w:w="28" w:type="dxa"/>
          <w:bottom w:w="28" w:type="dxa"/>
          <w:right w:w="28" w:type="dxa"/>
        </w:tblCellMar>
      </w:tblPr>
      <w:tblGrid>
        <w:gridCol w:w="1587"/>
        <w:gridCol w:w="1391"/>
        <w:gridCol w:w="1402"/>
        <w:gridCol w:w="268"/>
        <w:gridCol w:w="782"/>
        <w:gridCol w:w="138"/>
        <w:gridCol w:w="138"/>
        <w:gridCol w:w="138"/>
        <w:gridCol w:w="138"/>
        <w:gridCol w:w="268"/>
        <w:gridCol w:w="782"/>
        <w:gridCol w:w="195"/>
      </w:tblGrid>
      <w:tr>
        <w:trPr/>
        <w:tc>
          <w:tcPr>
            <w:tcW w:w="1587"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 (In millions):</w:t>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sales</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sales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 sales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natural gas and natural gas liquid revenues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131,356 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Combined volumes (MBOE)</w:t>
            </w:r>
            <w:r>
              <w:rPr>
                <w:rFonts w:ascii="Times New Roman;sans-serif" w:hAnsi="Times New Roman;sans-serif"/>
                <w:b w:val="false"/>
                <w:color w:val="000000"/>
                <w:sz w:val="13"/>
              </w:rPr>
              <w:t>(1)</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oil volumes (BO/d)</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260,264 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222,758 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Daily combined volumes (BOE/d)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384,187 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Average Prices:</w:t>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 per Bbl)</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 per Mcf)</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 per Bbl)</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Combined ($ per BOE)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hedged ($ per Bbl)</w:t>
            </w:r>
            <w:r>
              <w:rPr>
                <w:rFonts w:ascii="Times New Roman;sans-serif" w:hAnsi="Times New Roman;sans-serif"/>
                <w:b w:val="false"/>
                <w:color w:val="000000"/>
                <w:sz w:val="13"/>
              </w:rPr>
              <w:t>(2)</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hedged ($ per Mcf)</w:t>
            </w:r>
            <w:r>
              <w:rPr>
                <w:rFonts w:ascii="Times New Roman;sans-serif" w:hAnsi="Times New Roman;sans-serif"/>
                <w:b w:val="false"/>
                <w:color w:val="000000"/>
                <w:sz w:val="13"/>
              </w:rPr>
              <w:t>(2)</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liquids, hedged ($ per Bbl)</w:t>
            </w:r>
            <w:r>
              <w:rPr>
                <w:rFonts w:ascii="Times New Roman;sans-serif" w:hAnsi="Times New Roman;sans-serif"/>
                <w:b w:val="false"/>
                <w:color w:val="000000"/>
                <w:sz w:val="13"/>
              </w:rPr>
              <w:t>(2)</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Average price, hedged ($ per BOE)</w:t>
            </w:r>
            <w:r>
              <w:rPr>
                <w:rFonts w:ascii="Times New Roman;sans-serif" w:hAnsi="Times New Roman;sans-serif"/>
                <w:b w:val="false"/>
                <w:color w:val="000000"/>
                <w:sz w:val="13"/>
              </w:rPr>
              <w:t>(2)</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(1)Bbl equivalents are calculated using a conversion rate of six Mcf per Bbl.</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(2)Hedged prices reflect the effect of our commodity derivative transactions on our average sales prices and include gains and losses on cash settlements for matured commodity derivatives, which we do not designate for hedge accounting. Hedged prices exclude gains or losses resulting from the early settlement of commodity derivative contracts.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51155"/>
                <wp:effectExtent l="0" t="0" r="0" b="0"/>
                <wp:wrapNone/>
                <wp:docPr id="40" name="Frame4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Production Data. </w:t>
      </w:r>
      <w:r>
        <w:rPr>
          <w:rFonts w:ascii="Times New Roman;sans-serif" w:hAnsi="Times New Roman;sans-serif"/>
          <w:b w:val="false"/>
          <w:color w:val="000000"/>
          <w:sz w:val="20"/>
        </w:rPr>
        <w:t>Substantially all of our revenues are generated through the sale of oil, natural gas and natural gas liquids production. The following tables set forth the mix of our production data by product and basin for the nine months ended September 30, 2023 and 2022:</w:t>
      </w:r>
    </w:p>
    <w:p>
      <w:pPr>
        <w:pStyle w:val="TextBody"/>
        <w:bidi w:val="0"/>
        <w:spacing w:before="0" w:after="0"/>
        <w:ind w:left="0" w:right="0" w:firstLine="720"/>
        <w:jc w:val="both"/>
        <w:rPr/>
      </w:pPr>
      <w:r>
        <w:rPr/>
      </w:r>
    </w:p>
    <w:tbl>
      <w:tblPr>
        <w:tblW w:w="5351" w:type="dxa"/>
        <w:jc w:val="left"/>
        <w:tblInd w:w="0" w:type="dxa"/>
        <w:tblLayout w:type="fixed"/>
        <w:tblCellMar>
          <w:top w:w="28" w:type="dxa"/>
          <w:left w:w="28" w:type="dxa"/>
          <w:bottom w:w="28" w:type="dxa"/>
          <w:right w:w="28" w:type="dxa"/>
        </w:tblCellMar>
      </w:tblPr>
      <w:tblGrid>
        <w:gridCol w:w="857"/>
        <w:gridCol w:w="753"/>
        <w:gridCol w:w="760"/>
        <w:gridCol w:w="296"/>
        <w:gridCol w:w="230"/>
        <w:gridCol w:w="572"/>
        <w:gridCol w:w="230"/>
        <w:gridCol w:w="230"/>
        <w:gridCol w:w="230"/>
        <w:gridCol w:w="296"/>
        <w:gridCol w:w="230"/>
        <w:gridCol w:w="667"/>
      </w:tblGrid>
      <w:tr>
        <w:trPr/>
        <w:tc>
          <w:tcPr>
            <w:tcW w:w="857"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5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5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5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both"/>
        <w:rPr/>
      </w:pPr>
      <w:r>
        <w:rPr/>
      </w:r>
    </w:p>
    <w:tbl>
      <w:tblPr>
        <w:tblW w:w="10707" w:type="dxa"/>
        <w:jc w:val="left"/>
        <w:tblInd w:w="0" w:type="dxa"/>
        <w:tblLayout w:type="fixed"/>
        <w:tblCellMar>
          <w:top w:w="28" w:type="dxa"/>
          <w:left w:w="28" w:type="dxa"/>
          <w:bottom w:w="28" w:type="dxa"/>
          <w:right w:w="28" w:type="dxa"/>
        </w:tblCellMar>
      </w:tblPr>
      <w:tblGrid>
        <w:gridCol w:w="353"/>
        <w:gridCol w:w="311"/>
        <w:gridCol w:w="312"/>
        <w:gridCol w:w="414"/>
        <w:gridCol w:w="412"/>
        <w:gridCol w:w="256"/>
        <w:gridCol w:w="109"/>
        <w:gridCol w:w="109"/>
        <w:gridCol w:w="109"/>
        <w:gridCol w:w="434"/>
        <w:gridCol w:w="287"/>
        <w:gridCol w:w="276"/>
        <w:gridCol w:w="109"/>
        <w:gridCol w:w="109"/>
        <w:gridCol w:w="109"/>
        <w:gridCol w:w="234"/>
        <w:gridCol w:w="232"/>
        <w:gridCol w:w="201"/>
        <w:gridCol w:w="109"/>
        <w:gridCol w:w="109"/>
        <w:gridCol w:w="109"/>
        <w:gridCol w:w="412"/>
        <w:gridCol w:w="414"/>
        <w:gridCol w:w="171"/>
        <w:gridCol w:w="109"/>
        <w:gridCol w:w="109"/>
        <w:gridCol w:w="109"/>
        <w:gridCol w:w="414"/>
        <w:gridCol w:w="307"/>
        <w:gridCol w:w="256"/>
        <w:gridCol w:w="109"/>
        <w:gridCol w:w="109"/>
        <w:gridCol w:w="109"/>
        <w:gridCol w:w="434"/>
        <w:gridCol w:w="287"/>
        <w:gridCol w:w="276"/>
        <w:gridCol w:w="109"/>
        <w:gridCol w:w="109"/>
        <w:gridCol w:w="109"/>
        <w:gridCol w:w="234"/>
        <w:gridCol w:w="232"/>
        <w:gridCol w:w="201"/>
        <w:gridCol w:w="109"/>
        <w:gridCol w:w="109"/>
        <w:gridCol w:w="109"/>
        <w:gridCol w:w="412"/>
        <w:gridCol w:w="414"/>
        <w:gridCol w:w="232"/>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Midland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 Basin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Other</w:t>
            </w:r>
            <w:r>
              <w:rPr>
                <w:rFonts w:ascii="Times New Roman;sans-serif" w:hAnsi="Times New Roman;sans-serif"/>
                <w:b/>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Production Data:</w:t>
            </w:r>
          </w:p>
        </w:tc>
        <w:tc>
          <w:tcPr>
            <w:tcW w:w="10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71,052 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17,370 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60,813 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(MMcf)</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43,716 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147,620 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44,817 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(MBbls)</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18,889 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6,303 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25,201 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22,177 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(MBOE)</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91,824 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120,856 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31,645 </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104,883 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the Rockies.</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(2)Includes the Eagle Ford Shale and Rockies.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Oil, Natural Gas and Natural Gas Liquids Revenues.</w:t>
      </w:r>
      <w:r>
        <w:rPr>
          <w:color w:val="000000"/>
        </w:rPr>
        <w:t xml:space="preserve"> </w:t>
      </w:r>
      <w:r>
        <w:rPr>
          <w:rFonts w:ascii="Times New Roman;sans-serif" w:hAnsi="Times New Roman;sans-serif"/>
          <w:b w:val="false"/>
          <w:color w:val="000000"/>
          <w:sz w:val="20"/>
        </w:rPr>
        <w:t xml:space="preserve">Our revenues are a function of oil, natural gas and natural gas liquids production volumes sold and average sales prices received for those volumes.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oil, natural gas and natural gas liquids revenues for the nine months ended September 30, 2023 decreased by $1.5 billion, or 20%, to $6.1 billion from the same period in 2022 primarily due to a reduction of $2.7 billion attributable to lower average prices received for our oil production and to a lesser extent, our natural gas and natural gas liquids production. The decrease due to lower average prices was partially offset by an increase of $1.2 billion attributable to the 15% growth in our combined volumes, which was primarily due to additional production from the FireBird Acquisition and the Lario Acquisition.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Net Sales of Purchased Oil</w:t>
      </w:r>
      <w:r>
        <w:rPr>
          <w:rFonts w:ascii="Times New Roman;sans-serif" w:hAnsi="Times New Roman;sans-serif"/>
          <w:b w:val="false"/>
          <w:color w:val="000000"/>
          <w:sz w:val="20"/>
        </w:rPr>
        <w:t>. Beginning in the third quarter of 2023, we entered into purchase transactions with third parties and separate sale transactions with third parties to satisfy certain of our unused oil pipeline capacity commitments. The following table presents the net sales of purchased oil from third parties for the nine months ended September 30, 2023 and 2022:</w:t>
      </w:r>
    </w:p>
    <w:p>
      <w:pPr>
        <w:pStyle w:val="TextBody"/>
        <w:bidi w:val="0"/>
        <w:spacing w:before="0" w:after="0"/>
        <w:ind w:left="0" w:right="0" w:firstLine="720"/>
        <w:jc w:val="both"/>
        <w:rPr/>
      </w:pPr>
      <w:r>
        <w:rPr/>
      </w:r>
    </w:p>
    <w:tbl>
      <w:tblPr>
        <w:tblW w:w="5036" w:type="dxa"/>
        <w:jc w:val="left"/>
        <w:tblInd w:w="0" w:type="dxa"/>
        <w:tblLayout w:type="fixed"/>
        <w:tblCellMar>
          <w:top w:w="28" w:type="dxa"/>
          <w:left w:w="28" w:type="dxa"/>
          <w:bottom w:w="28" w:type="dxa"/>
          <w:right w:w="28" w:type="dxa"/>
        </w:tblCellMar>
      </w:tblPr>
      <w:tblGrid>
        <w:gridCol w:w="793"/>
        <w:gridCol w:w="695"/>
        <w:gridCol w:w="702"/>
        <w:gridCol w:w="329"/>
        <w:gridCol w:w="634"/>
        <w:gridCol w:w="170"/>
        <w:gridCol w:w="170"/>
        <w:gridCol w:w="170"/>
        <w:gridCol w:w="170"/>
        <w:gridCol w:w="329"/>
        <w:gridCol w:w="634"/>
        <w:gridCol w:w="240"/>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oil</w:t>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oil expense</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sales of purchased oil</w:t>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i/>
          <w:color w:val="000000"/>
          <w:sz w:val="20"/>
        </w:rPr>
        <w:t>Other Revenues.</w:t>
      </w:r>
      <w:r>
        <w:rPr>
          <w:color w:val="000000"/>
        </w:rPr>
        <w:t xml:space="preserve"> </w:t>
      </w:r>
      <w:r>
        <w:rPr>
          <w:rFonts w:ascii="Times New Roman;sans-serif" w:hAnsi="Times New Roman;sans-serif"/>
          <w:b w:val="false"/>
          <w:color w:val="000000"/>
          <w:sz w:val="20"/>
        </w:rPr>
        <w:t>The following table shows the other insignificant revenues for the nine months ended September 30, 2023 and 2022:</w:t>
      </w:r>
    </w:p>
    <w:p>
      <w:pPr>
        <w:pStyle w:val="TextBody"/>
        <w:bidi w:val="0"/>
        <w:spacing w:before="0" w:after="0"/>
        <w:ind w:left="0" w:right="0" w:firstLine="720"/>
        <w:jc w:val="both"/>
        <w:rPr/>
      </w:pPr>
      <w:r>
        <w:rPr/>
      </w:r>
    </w:p>
    <w:tbl>
      <w:tblPr>
        <w:tblW w:w="4887" w:type="dxa"/>
        <w:jc w:val="left"/>
        <w:tblInd w:w="0" w:type="dxa"/>
        <w:tblLayout w:type="fixed"/>
        <w:tblCellMar>
          <w:top w:w="28" w:type="dxa"/>
          <w:left w:w="28" w:type="dxa"/>
          <w:bottom w:w="28" w:type="dxa"/>
          <w:right w:w="28" w:type="dxa"/>
        </w:tblCellMar>
      </w:tblPr>
      <w:tblGrid>
        <w:gridCol w:w="738"/>
        <w:gridCol w:w="648"/>
        <w:gridCol w:w="654"/>
        <w:gridCol w:w="346"/>
        <w:gridCol w:w="593"/>
        <w:gridCol w:w="179"/>
        <w:gridCol w:w="179"/>
        <w:gridCol w:w="179"/>
        <w:gridCol w:w="179"/>
        <w:gridCol w:w="346"/>
        <w:gridCol w:w="593"/>
        <w:gridCol w:w="253"/>
      </w:tblGrid>
      <w:tr>
        <w:trPr/>
        <w:tc>
          <w:tcPr>
            <w:tcW w:w="738"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income</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i/>
          <w:color w:val="000000"/>
          <w:sz w:val="20"/>
        </w:rPr>
        <w:t>Lease Operating Expenses.</w:t>
      </w:r>
      <w:r>
        <w:rPr>
          <w:color w:val="000000"/>
        </w:rPr>
        <w:t xml:space="preserve"> </w:t>
      </w:r>
      <w:r>
        <w:rPr>
          <w:rFonts w:ascii="Times New Roman;sans-serif" w:hAnsi="Times New Roman;sans-serif"/>
          <w:b w:val="false"/>
          <w:color w:val="000000"/>
          <w:sz w:val="20"/>
        </w:rPr>
        <w:t>The following table shows lease operating expenses for the nine months ended September 30, 2023 and 2022:</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Lease operating expenses increased by $127 million, or $0.43 per BOE for the nine months ended September 30, 2023 compared to the same period in 2022. The increase primarily consists of (i) $76 million in production and operating expenses incurred in 2023 on wells acquired in the FireBird Acquisition and the Lario Acquisition, (ii) $43 million in additional utility and service costs driven primarily by inflation, and (iii) $8 million in additional costs incurred for water services as a result of divesting our Water Assets in the third quarter of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divestiture of our Water Assets, we expect lease operating expenses to range from approximately $832 million to $881 million in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Production and Ad Valorem Tax Expense.</w:t>
      </w:r>
      <w:r>
        <w:rPr>
          <w:color w:val="000000"/>
        </w:rPr>
        <w:t xml:space="preserve"> </w:t>
      </w:r>
      <w:r>
        <w:rPr>
          <w:rFonts w:ascii="Times New Roman;sans-serif" w:hAnsi="Times New Roman;sans-serif"/>
          <w:b w:val="false"/>
          <w:color w:val="000000"/>
          <w:sz w:val="20"/>
        </w:rPr>
        <w:t>The following table shows production and ad valorem tax expense for the nine months ended September 30, 2023 and 2022:</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2045"/>
        <w:gridCol w:w="1780"/>
        <w:gridCol w:w="1795"/>
        <w:gridCol w:w="211"/>
        <w:gridCol w:w="466"/>
        <w:gridCol w:w="271"/>
        <w:gridCol w:w="109"/>
        <w:gridCol w:w="109"/>
        <w:gridCol w:w="109"/>
        <w:gridCol w:w="211"/>
        <w:gridCol w:w="511"/>
        <w:gridCol w:w="109"/>
        <w:gridCol w:w="109"/>
        <w:gridCol w:w="109"/>
        <w:gridCol w:w="109"/>
        <w:gridCol w:w="211"/>
        <w:gridCol w:w="466"/>
        <w:gridCol w:w="271"/>
        <w:gridCol w:w="109"/>
        <w:gridCol w:w="109"/>
        <w:gridCol w:w="109"/>
        <w:gridCol w:w="211"/>
        <w:gridCol w:w="511"/>
        <w:gridCol w:w="155"/>
      </w:tblGrid>
      <w:tr>
        <w:trPr/>
        <w:tc>
          <w:tcPr>
            <w:tcW w:w="2045"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7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and ad valorem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as a % of oil, natural gas and natural gas liquids revenue</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production taxes are directly related to production revenues and are based upon current year commodity prices. Production taxes as a percentage of production revenues for the 2023 period decreased slightly compared to the same period in 2022, primarily due to a decrease in natural gas and natural gas liquids sales, which have a higher production tax rate.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 valorem taxes are based, among other factors, on property values driven by prior year commodity prices. Ad valorem taxes for the nine months ended September 30, 2023 as compared to the same period in 2022 increased by $23 million, partially due to recording $17 million in ad valorem taxes for properties acquired in the FireBird Acquisition and the Lario Acquisition and $6 million in ad valorem taxes related to new wells added between periods and changes in valuations on existing wells.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expect production and ad valorem taxes to be approximately 7% of oil, natural gas and natural gas liquids revenue during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Gathering and Transportation Expense.</w:t>
      </w:r>
      <w:r>
        <w:rPr>
          <w:color w:val="000000"/>
        </w:rPr>
        <w:t xml:space="preserve"> </w:t>
      </w:r>
      <w:r>
        <w:rPr>
          <w:rFonts w:ascii="Times New Roman;sans-serif" w:hAnsi="Times New Roman;sans-serif"/>
          <w:b w:val="false"/>
          <w:color w:val="000000"/>
          <w:sz w:val="20"/>
        </w:rPr>
        <w:t>The following table shows gathering and transportation expense for the nine months ended September 30, 2023 and 2022:</w:t>
      </w:r>
    </w:p>
    <w:p>
      <w:pPr>
        <w:pStyle w:val="TextBody"/>
        <w:bidi w:val="0"/>
        <w:spacing w:before="0" w:after="0"/>
        <w:ind w:left="0" w:right="0" w:firstLine="720"/>
        <w:jc w:val="both"/>
        <w:rPr/>
      </w:pPr>
      <w:r>
        <w:rPr/>
      </w:r>
    </w:p>
    <w:tbl>
      <w:tblPr>
        <w:tblW w:w="7334" w:type="dxa"/>
        <w:jc w:val="left"/>
        <w:tblInd w:w="0" w:type="dxa"/>
        <w:tblLayout w:type="fixed"/>
        <w:tblCellMar>
          <w:top w:w="28" w:type="dxa"/>
          <w:left w:w="28" w:type="dxa"/>
          <w:bottom w:w="28" w:type="dxa"/>
          <w:right w:w="28" w:type="dxa"/>
        </w:tblCellMar>
      </w:tblPr>
      <w:tblGrid>
        <w:gridCol w:w="1112"/>
        <w:gridCol w:w="977"/>
        <w:gridCol w:w="985"/>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transportation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gathering and transportation expenses for the nine months ended September 30, 2023 compared to the same period in 2022 is primarily attributable to the growth in production volumes discussed above. The rate per BOE decreased between periods, primarily due to the 2022 period including additional fees incurred on minimum volume commitments.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After giving effect to the divestiture of our oil gathering assets, we expect cash gathering and transportation expenses to range from approximately $269 million to $294 million in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Depreciation, Depletion, Amortization and Accretion.</w:t>
      </w:r>
      <w:r>
        <w:rPr>
          <w:color w:val="000000"/>
        </w:rPr>
        <w:t xml:space="preserve"> </w:t>
      </w:r>
      <w:r>
        <w:rPr>
          <w:rFonts w:ascii="Times New Roman;sans-serif" w:hAnsi="Times New Roman;sans-serif"/>
          <w:b w:val="false"/>
          <w:color w:val="000000"/>
          <w:sz w:val="20"/>
        </w:rPr>
        <w:t>The following table provides the components of our depreciation, depletion, amortization and accretion expense for the nine months ended September 30, 2023 and 2022:</w:t>
      </w:r>
    </w:p>
    <w:p>
      <w:pPr>
        <w:pStyle w:val="TextBody"/>
        <w:bidi w:val="0"/>
        <w:spacing w:before="0" w:after="0"/>
        <w:ind w:left="0" w:right="0" w:firstLine="720"/>
        <w:jc w:val="both"/>
        <w:rPr/>
      </w:pPr>
      <w:r>
        <w:rPr/>
      </w:r>
    </w:p>
    <w:tbl>
      <w:tblPr>
        <w:tblW w:w="8114" w:type="dxa"/>
        <w:jc w:val="left"/>
        <w:tblInd w:w="0" w:type="dxa"/>
        <w:tblLayout w:type="fixed"/>
        <w:tblCellMar>
          <w:top w:w="28" w:type="dxa"/>
          <w:left w:w="28" w:type="dxa"/>
          <w:bottom w:w="28" w:type="dxa"/>
          <w:right w:w="28" w:type="dxa"/>
        </w:tblCellMar>
      </w:tblPr>
      <w:tblGrid>
        <w:gridCol w:w="1905"/>
        <w:gridCol w:w="1673"/>
        <w:gridCol w:w="1687"/>
        <w:gridCol w:w="281"/>
        <w:gridCol w:w="821"/>
        <w:gridCol w:w="145"/>
        <w:gridCol w:w="145"/>
        <w:gridCol w:w="145"/>
        <w:gridCol w:w="145"/>
        <w:gridCol w:w="281"/>
        <w:gridCol w:w="681"/>
        <w:gridCol w:w="205"/>
      </w:tblGrid>
      <w:tr>
        <w:trPr/>
        <w:tc>
          <w:tcPr>
            <w:tcW w:w="1905"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BOE amounts)</w:t>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of proved oil and natural gas properties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other property and equipment</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amortization</w:t>
            </w:r>
          </w:p>
        </w:tc>
        <w:tc>
          <w:tcPr>
            <w:tcW w:w="11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 accretion</w:t>
            </w:r>
          </w:p>
        </w:tc>
        <w:tc>
          <w:tcPr>
            <w:tcW w:w="11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 depletion rate per BOE</w:t>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10.07 </w:t>
            </w:r>
          </w:p>
        </w:tc>
        <w:tc>
          <w:tcPr>
            <w:tcW w:w="14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20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depletion, amortization and accretion per BOE</w:t>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depletion of proved oil and natural gas properties of $309 million for the nine months ended September 30, 2023 as compared to the same period in 2022 resulted largely from an increase in the depletion rate and production volumes resulting from the addition of leasehold costs, reserves and production from the FireBird Acquisition and the Lario Acquisition.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General and Administrative Expenses.</w:t>
      </w:r>
      <w:r>
        <w:rPr>
          <w:color w:val="000000"/>
        </w:rPr>
        <w:t xml:space="preserve"> </w:t>
      </w:r>
      <w:r>
        <w:rPr>
          <w:rFonts w:ascii="Times New Roman;sans-serif" w:hAnsi="Times New Roman;sans-serif"/>
          <w:b w:val="false"/>
          <w:color w:val="000000"/>
          <w:sz w:val="20"/>
        </w:rPr>
        <w:t>The following table shows general and administrative expenses for the nine months ended September 30, 2023 and 2022:</w:t>
      </w:r>
    </w:p>
    <w:p>
      <w:pPr>
        <w:pStyle w:val="TextBody"/>
        <w:bidi w:val="0"/>
        <w:spacing w:before="0" w:after="0"/>
        <w:ind w:left="0" w:right="0" w:firstLine="720"/>
        <w:jc w:val="both"/>
        <w:rPr/>
      </w:pPr>
      <w:r>
        <w:rPr/>
      </w:r>
    </w:p>
    <w:tbl>
      <w:tblPr>
        <w:tblW w:w="7800" w:type="dxa"/>
        <w:jc w:val="left"/>
        <w:tblInd w:w="0" w:type="dxa"/>
        <w:tblLayout w:type="fixed"/>
        <w:tblCellMar>
          <w:top w:w="28" w:type="dxa"/>
          <w:left w:w="28" w:type="dxa"/>
          <w:bottom w:w="28" w:type="dxa"/>
          <w:right w:w="28" w:type="dxa"/>
        </w:tblCellMar>
      </w:tblPr>
      <w:tblGrid>
        <w:gridCol w:w="1281"/>
        <w:gridCol w:w="1125"/>
        <w:gridCol w:w="1134"/>
        <w:gridCol w:w="211"/>
        <w:gridCol w:w="466"/>
        <w:gridCol w:w="109"/>
        <w:gridCol w:w="109"/>
        <w:gridCol w:w="109"/>
        <w:gridCol w:w="109"/>
        <w:gridCol w:w="211"/>
        <w:gridCol w:w="511"/>
        <w:gridCol w:w="109"/>
        <w:gridCol w:w="109"/>
        <w:gridCol w:w="109"/>
        <w:gridCol w:w="109"/>
        <w:gridCol w:w="211"/>
        <w:gridCol w:w="466"/>
        <w:gridCol w:w="109"/>
        <w:gridCol w:w="109"/>
        <w:gridCol w:w="109"/>
        <w:gridCol w:w="109"/>
        <w:gridCol w:w="211"/>
        <w:gridCol w:w="511"/>
        <w:gridCol w:w="154"/>
      </w:tblGrid>
      <w:tr>
        <w:trPr/>
        <w:tc>
          <w:tcPr>
            <w:tcW w:w="1281"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 except per BOE amounts)</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BOE</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general and administrative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the nine months ended September 30, 2023 compared to the same period in 2022 was primarily due to higher professional services costs in the current year.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expect cash general and administrative expenses to range from approximately $90 million to $106 million and non-cash stock-based compensation to range from $49 million to $65 million, respectively, in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Operating Costs and Expenses.</w:t>
      </w:r>
      <w:r>
        <w:rPr>
          <w:color w:val="000000"/>
        </w:rPr>
        <w:t xml:space="preserve"> </w:t>
      </w:r>
      <w:r>
        <w:rPr>
          <w:rFonts w:ascii="Times New Roman;sans-serif" w:hAnsi="Times New Roman;sans-serif"/>
          <w:b w:val="false"/>
          <w:color w:val="000000"/>
          <w:sz w:val="20"/>
        </w:rPr>
        <w:t>The following table shows the other operating costs and expenses for the nine months ended September 30, 2023 and 2022:</w:t>
      </w:r>
    </w:p>
    <w:p>
      <w:pPr>
        <w:pStyle w:val="TextBody"/>
        <w:bidi w:val="0"/>
        <w:spacing w:before="0" w:after="0"/>
        <w:ind w:left="0" w:right="0" w:firstLine="720"/>
        <w:jc w:val="both"/>
        <w:rPr/>
      </w:pPr>
      <w:r>
        <w:rPr/>
      </w:r>
    </w:p>
    <w:tbl>
      <w:tblPr>
        <w:tblW w:w="5619" w:type="dxa"/>
        <w:jc w:val="left"/>
        <w:tblInd w:w="0" w:type="dxa"/>
        <w:tblLayout w:type="fixed"/>
        <w:tblCellMar>
          <w:top w:w="28" w:type="dxa"/>
          <w:left w:w="28" w:type="dxa"/>
          <w:bottom w:w="28" w:type="dxa"/>
          <w:right w:w="28" w:type="dxa"/>
        </w:tblCellMar>
      </w:tblPr>
      <w:tblGrid>
        <w:gridCol w:w="1004"/>
        <w:gridCol w:w="881"/>
        <w:gridCol w:w="889"/>
        <w:gridCol w:w="327"/>
        <w:gridCol w:w="722"/>
        <w:gridCol w:w="168"/>
        <w:gridCol w:w="168"/>
        <w:gridCol w:w="168"/>
        <w:gridCol w:w="168"/>
        <w:gridCol w:w="327"/>
        <w:gridCol w:w="559"/>
        <w:gridCol w:w="238"/>
      </w:tblGrid>
      <w:tr>
        <w:trPr/>
        <w:tc>
          <w:tcPr>
            <w:tcW w:w="100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and integration expenses</w:t>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other operating expenses for the nine months ended September 30, 2023 compared to the same period in 2022 primarily resulted from additional midstream services expenses incurred for activity on leasehold acreage obtained in the FireBird Acquisition and Lario Acquisition.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Derivative Instruments.</w:t>
      </w:r>
      <w:r>
        <w:rPr>
          <w:color w:val="000000"/>
        </w:rPr>
        <w:t xml:space="preserve"> </w:t>
      </w:r>
      <w:r>
        <w:rPr>
          <w:rFonts w:ascii="Times New Roman;sans-serif" w:hAnsi="Times New Roman;sans-serif"/>
          <w:b w:val="false"/>
          <w:color w:val="000000"/>
          <w:sz w:val="20"/>
        </w:rPr>
        <w:t>The following table shows the net gain (loss) on derivative instruments and the net cash receipts (payments) on settlements of derivative instruments for the nine months ended September 30, 2023 and 2022:</w:t>
      </w:r>
    </w:p>
    <w:p>
      <w:pPr>
        <w:pStyle w:val="TextBody"/>
        <w:bidi w:val="0"/>
        <w:spacing w:before="0" w:after="0"/>
        <w:ind w:left="0" w:right="0" w:firstLine="720"/>
        <w:jc w:val="both"/>
        <w:rPr/>
      </w:pPr>
      <w:r>
        <w:rPr/>
      </w:r>
    </w:p>
    <w:tbl>
      <w:tblPr>
        <w:tblW w:w="6296" w:type="dxa"/>
        <w:jc w:val="left"/>
        <w:tblInd w:w="0" w:type="dxa"/>
        <w:tblLayout w:type="fixed"/>
        <w:tblCellMar>
          <w:top w:w="28" w:type="dxa"/>
          <w:left w:w="28" w:type="dxa"/>
          <w:bottom w:w="28" w:type="dxa"/>
          <w:right w:w="28" w:type="dxa"/>
        </w:tblCellMar>
      </w:tblPr>
      <w:tblGrid>
        <w:gridCol w:w="1248"/>
        <w:gridCol w:w="1093"/>
        <w:gridCol w:w="1108"/>
        <w:gridCol w:w="287"/>
        <w:gridCol w:w="736"/>
        <w:gridCol w:w="148"/>
        <w:gridCol w:w="148"/>
        <w:gridCol w:w="148"/>
        <w:gridCol w:w="148"/>
        <w:gridCol w:w="287"/>
        <w:gridCol w:w="736"/>
        <w:gridCol w:w="209"/>
      </w:tblGrid>
      <w:tr>
        <w:trPr/>
        <w:tc>
          <w:tcPr>
            <w:tcW w:w="124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derivative instruments,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Net cash received (paid) on settlements</w:t>
            </w:r>
            <w:r>
              <w:rPr>
                <w:rFonts w:ascii="Times New Roman;sans-serif" w:hAnsi="Times New Roman;sans-serif"/>
                <w:b w:val="false"/>
                <w:color w:val="000000"/>
                <w:sz w:val="13"/>
              </w:rPr>
              <w:t>(1)</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(1)The nine months ended September 30, 2022 includes cash paid on commodity contracts terminated prior to their contractual maturity of $138 million.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51155"/>
                <wp:effectExtent l="0" t="0" r="0" b="0"/>
                <wp:wrapNone/>
                <wp:docPr id="43" name="Frame4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11—</w:t>
      </w:r>
      <w:hyperlink w:anchor="ia9e4db464c2249aebaf424c72b2cbe2e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our derivative instruments.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Other Income (Expense).</w:t>
      </w:r>
      <w:r>
        <w:rPr>
          <w:color w:val="000000"/>
        </w:rPr>
        <w:t xml:space="preserve"> </w:t>
      </w:r>
      <w:r>
        <w:rPr>
          <w:rFonts w:ascii="Times New Roman;sans-serif" w:hAnsi="Times New Roman;sans-serif"/>
          <w:b w:val="false"/>
          <w:color w:val="000000"/>
          <w:sz w:val="20"/>
        </w:rPr>
        <w:t>The following table shows other income and expenses for the nine months ended September 30, 2023 and 2022:</w:t>
      </w:r>
    </w:p>
    <w:p>
      <w:pPr>
        <w:pStyle w:val="TextBody"/>
        <w:bidi w:val="0"/>
        <w:spacing w:before="0" w:after="0"/>
        <w:ind w:left="0" w:right="0" w:firstLine="720"/>
        <w:jc w:val="both"/>
        <w:rPr/>
      </w:pPr>
      <w:r>
        <w:rPr/>
      </w:r>
    </w:p>
    <w:tbl>
      <w:tblPr>
        <w:tblW w:w="6057" w:type="dxa"/>
        <w:jc w:val="left"/>
        <w:tblInd w:w="0" w:type="dxa"/>
        <w:tblLayout w:type="fixed"/>
        <w:tblCellMar>
          <w:top w:w="28" w:type="dxa"/>
          <w:left w:w="28" w:type="dxa"/>
          <w:bottom w:w="28" w:type="dxa"/>
          <w:right w:w="28" w:type="dxa"/>
        </w:tblCellMar>
      </w:tblPr>
      <w:tblGrid>
        <w:gridCol w:w="1162"/>
        <w:gridCol w:w="1020"/>
        <w:gridCol w:w="1028"/>
        <w:gridCol w:w="287"/>
        <w:gridCol w:w="736"/>
        <w:gridCol w:w="148"/>
        <w:gridCol w:w="148"/>
        <w:gridCol w:w="148"/>
        <w:gridCol w:w="148"/>
        <w:gridCol w:w="287"/>
        <w:gridCol w:w="736"/>
        <w:gridCol w:w="209"/>
      </w:tblGrid>
      <w:tr>
        <w:trPr/>
        <w:tc>
          <w:tcPr>
            <w:tcW w:w="1162"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equity investments</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net interest expense for the nine months ended September 30, 2023 compared to the same period in 2022, reflects (i) a net increase of $46 million in interest expense on our senior notes due primarily to $82 million in additional interest costs on senior notes issued in the fourth quarter of 2022, partially offset by the impact of retirements of various senior notes in 2023 and 2022, and (ii) a $14 million increase in interest expense on our and Viper’s revolving credit facilities due primarily to higher weighted average interest rates and borrowings to fund the cash portion of acquisitions and other corporate expenses. These increases were partially offset by a $34 million increase in capitalized interest costs, which reduce interest expense, and other insignificant reductions in interest income and the amortization of debt issuances costs and discounts.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expect interest expense to range from approximately $180 million to $204 million in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Other income (expense), net for the nine months ended September 30, 2023 includes a $53 million gain on the sale of equity method investment in Gray Oak and $35 million gain on the sale of equity method investment in OMOG as discussed further in Note 4—</w:t>
      </w:r>
      <w:hyperlink w:anchor="ia9e4db464c2249aebaf424c72b2cbe2e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to the condensed notes to the consolidated financial statements, partially offset by various other insignificant expenses.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Gain (loss) on extinguishment of debt reflects the difference between the carrying value and reacquisition price for the repurchase and redemption of various senior notes during 2023 and 2022.</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7—</w:t>
      </w:r>
      <w:hyperlink w:anchor="ia9e4db464c2249aebaf424c72b2cbe2e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 for further details regarding outstanding borrowings.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i/>
          <w:color w:val="000000"/>
          <w:sz w:val="20"/>
        </w:rPr>
        <w:t xml:space="preserve">Provision for (Benefit from) Income Taxes. </w:t>
      </w:r>
      <w:r>
        <w:rPr>
          <w:rFonts w:ascii="Times New Roman;sans-serif" w:hAnsi="Times New Roman;sans-serif"/>
          <w:b w:val="false"/>
          <w:color w:val="000000"/>
          <w:sz w:val="20"/>
        </w:rPr>
        <w:t>The following table shows the provision for (benefit from) income taxes for the nine months ended September 30, 2023 and 2022:</w:t>
      </w:r>
    </w:p>
    <w:p>
      <w:pPr>
        <w:pStyle w:val="TextBody"/>
        <w:bidi w:val="0"/>
        <w:spacing w:before="0" w:after="0"/>
        <w:ind w:left="0" w:right="0" w:firstLine="720"/>
        <w:jc w:val="both"/>
        <w:rPr/>
      </w:pPr>
      <w:r>
        <w:rPr/>
      </w:r>
    </w:p>
    <w:tbl>
      <w:tblPr>
        <w:tblW w:w="6280" w:type="dxa"/>
        <w:jc w:val="left"/>
        <w:tblInd w:w="0" w:type="dxa"/>
        <w:tblLayout w:type="fixed"/>
        <w:tblCellMar>
          <w:top w:w="28" w:type="dxa"/>
          <w:left w:w="28" w:type="dxa"/>
          <w:bottom w:w="28" w:type="dxa"/>
          <w:right w:w="28" w:type="dxa"/>
        </w:tblCellMar>
      </w:tblPr>
      <w:tblGrid>
        <w:gridCol w:w="1243"/>
        <w:gridCol w:w="1091"/>
        <w:gridCol w:w="1101"/>
        <w:gridCol w:w="309"/>
        <w:gridCol w:w="683"/>
        <w:gridCol w:w="159"/>
        <w:gridCol w:w="159"/>
        <w:gridCol w:w="159"/>
        <w:gridCol w:w="159"/>
        <w:gridCol w:w="309"/>
        <w:gridCol w:w="683"/>
        <w:gridCol w:w="225"/>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millions)</w:t>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The change in our income tax provision for the nine months ended September 30, 2023 compared to the same period in 2022 was primarily due to the decrease in pre-tax income resulting largely from the decline in revenues from oil, natural gas and natural gas liquids and was partially offset by the discrete income tax benefit recognized for the nine months ended September 30, 2022 related to a reduction in Viper’s valuation allowance against its deferred tax assets. See Note 10—</w:t>
      </w:r>
      <w:hyperlink w:anchor="ia9e4db464c2249aebaf424c72b2cbe2e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further discussion of our income tax expense.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both"/>
        <w:rPr>
          <w:rFonts w:ascii="Times New Roman;sans-serif" w:hAnsi="Times New Roman;sans-serif"/>
          <w:b/>
          <w:i/>
          <w:color w:val="000000"/>
          <w:sz w:val="20"/>
        </w:rPr>
      </w:pPr>
      <w:r>
        <w:rPr>
          <w:rFonts w:ascii="Times New Roman;sans-serif" w:hAnsi="Times New Roman;sans-serif"/>
          <w:b/>
          <w:i/>
          <w:color w:val="000000"/>
          <w:sz w:val="20"/>
        </w:rPr>
        <w:t>Overview of Sources and Uses of Cash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sources of liquidity have included cash flows from operations, proceeds from our public equity offerings, borrowings under our revolving credit facility, proceeds from the issuance of senior notes and sales of non-core assets. Our primary uses of capital have been for the acquisition, development and exploration of oil and natural gas properties. At September 30, 2023, we had approximately $2.3 billion of liquidity consisting of $680 million in standalone cash and cash equivalents and $1.6 billion available under our credit facility. As discussed below, our revised capital budget for 2023 is $2.66 billion to $2.70 billion. As of September 30, 2023, we have no debt maturities until 2026.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51155"/>
                <wp:effectExtent l="0" t="0" r="0" b="0"/>
                <wp:wrapNone/>
                <wp:docPr id="44" name="Frame4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Future cash flows are subject to a number of variables, including the level of oil and natural gas production and volatility of commodity prices. Further, significant additional capital expenditures will be required to more fully develop our properties. Prices for our commodities are determined primarily by prevailing market conditions, regional and worldwide economic activity, weather and other substantially variable factors. These factors are beyond our control and are difficult to predict as discussed further in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 In order to mitigate this volatility, we enter into derivative contracts with a number of financial institutions, all of which are participants in our credit facility, to economically hedge a portion of our estimated future crude oil and natural gas production as discussed further in Note 11—</w:t>
      </w:r>
      <w:hyperlink w:anchor="ia9e4db464c2249aebaf424c72b2cbe2e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and </w:t>
      </w:r>
      <w:hyperlink w:anchor="ia9e4db464c2249aebaf424c72b2cbe2e_127">
        <w:r>
          <w:rPr>
            <w:rStyle w:val="InternetLink"/>
            <w:rFonts w:ascii="Times New Roman;sans-serif" w:hAnsi="Times New Roman;sans-serif"/>
            <w:b w:val="false"/>
            <w:color w:val="0000FF"/>
            <w:sz w:val="20"/>
            <w:u w:val="single"/>
          </w:rPr>
          <w:t>Item 3. Quantitative and Qualitative Disclosures About Market Risk—Commodity Price Risk</w:t>
        </w:r>
      </w:hyperlink>
      <w:r>
        <w:rPr>
          <w:rFonts w:ascii="Times New Roman;sans-serif" w:hAnsi="Times New Roman;sans-serif"/>
          <w:b w:val="false"/>
          <w:color w:val="000000"/>
          <w:sz w:val="20"/>
        </w:rPr>
        <w:t>. The level of our hedging activity and duration of the financial instruments employed depend on our desired cash flow protection, available hedge prices, the magnitude of our capital program and our operating strategy.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flows for the nine months ended September 30, 2023 and 2022 are presented below: </w:t>
      </w:r>
    </w:p>
    <w:tbl>
      <w:tblPr>
        <w:tblW w:w="7061" w:type="dxa"/>
        <w:jc w:val="left"/>
        <w:tblInd w:w="0" w:type="dxa"/>
        <w:tblLayout w:type="fixed"/>
        <w:tblCellMar>
          <w:top w:w="28" w:type="dxa"/>
          <w:left w:w="28" w:type="dxa"/>
          <w:bottom w:w="28" w:type="dxa"/>
          <w:right w:w="28" w:type="dxa"/>
        </w:tblCellMar>
      </w:tblPr>
      <w:tblGrid>
        <w:gridCol w:w="1524"/>
        <w:gridCol w:w="1340"/>
        <w:gridCol w:w="1350"/>
        <w:gridCol w:w="268"/>
        <w:gridCol w:w="782"/>
        <w:gridCol w:w="138"/>
        <w:gridCol w:w="138"/>
        <w:gridCol w:w="138"/>
        <w:gridCol w:w="138"/>
        <w:gridCol w:w="268"/>
        <w:gridCol w:w="782"/>
        <w:gridCol w:w="195"/>
      </w:tblGrid>
      <w:tr>
        <w:trPr/>
        <w:tc>
          <w:tcPr>
            <w:tcW w:w="1524"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4,884 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Operating Activities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cash flow is sensitive to many variables, the most significant of which is the volatility of prices for the oil and natural gas we produce. Prices for these commodities are determined primarily by prevailing market conditions, which are influenced by regional and worldwide economic activity, weather and other substantially variable factors. These factors are beyond our control and are difficult to predict.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decrease in operating cash flows for the nine months ended September 30, 2023 compared to the same period in 2022 primarily resulted from (i) a decrease of $1.4 billion in total revenue, and (ii) an increase in our cash operating expenses of approximately $162 million. These were partially offset by (i) a reduction of $754 million in net cash paid on settlements of derivative contracts, (ii) a reduction of $365 million in cash paid for taxes, and (iii) fluctuations in other working capital balances due primarily to the timing of when collections were made on accounts receivable, including taxes receivable, and payments made on accounts payable. See “</w:t>
      </w:r>
      <w:r>
        <w:rPr>
          <w:color w:val="000000"/>
        </w:rPr>
        <w:t>—</w:t>
      </w:r>
      <w:hyperlink w:anchor="ia9e4db464c2249aebaf424c72b2cbe2e_94">
        <w:r>
          <w:rPr>
            <w:rStyle w:val="InternetLink"/>
            <w:rFonts w:ascii="Times New Roman;sans-serif" w:hAnsi="Times New Roman;sans-serif"/>
            <w:b w:val="false"/>
            <w:i/>
            <w:color w:val="0000FF"/>
            <w:sz w:val="20"/>
            <w:u w:val="single"/>
          </w:rPr>
          <w:t>Results of Operations</w:t>
        </w:r>
      </w:hyperlink>
      <w:r>
        <w:rPr>
          <w:color w:val="000000"/>
        </w:rPr>
        <w:t xml:space="preserve">” </w:t>
      </w:r>
      <w:r>
        <w:rPr>
          <w:rFonts w:ascii="Times New Roman;sans-serif" w:hAnsi="Times New Roman;sans-serif"/>
          <w:b w:val="false"/>
          <w:color w:val="000000"/>
          <w:sz w:val="20"/>
        </w:rPr>
        <w:t>for discussion of significant changes in our revenues and expenses.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majority of our net cash used for investing activities during the nine months ended September 30, 2023 and 2022 was for drilling and completion costs in conjunction with our development program as well as the purchase of oil and gas properties including the Lario Acquisition. These cash outflows were partially offset by proceeds received from the divestitures of various oil and gas properties and other assets, which are discussed further in Note 4—</w:t>
      </w:r>
      <w:hyperlink w:anchor="ia9e4db464c2249aebaf424c72b2cbe2e_49">
        <w:r>
          <w:rPr>
            <w:rStyle w:val="InternetLink"/>
            <w:rFonts w:ascii="Times New Roman;sans-serif" w:hAnsi="Times New Roman;sans-serif"/>
            <w:b w:val="false"/>
            <w:color w:val="0000FF"/>
            <w:sz w:val="20"/>
            <w:u w:val="single"/>
          </w:rPr>
          <w:t>Acquisitions and Divestitures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51155"/>
                <wp:effectExtent l="0" t="0" r="0" b="0"/>
                <wp:wrapNone/>
                <wp:docPr id="45" name="Frame4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capital expenditures excluding acquisitions and equity method investments (on a cash basis) were as follows for the specified period:</w:t>
      </w:r>
    </w:p>
    <w:tbl>
      <w:tblPr>
        <w:tblW w:w="9761" w:type="dxa"/>
        <w:jc w:val="left"/>
        <w:tblInd w:w="0" w:type="dxa"/>
        <w:tblLayout w:type="fixed"/>
        <w:tblCellMar>
          <w:top w:w="28" w:type="dxa"/>
          <w:left w:w="28" w:type="dxa"/>
          <w:bottom w:w="28" w:type="dxa"/>
          <w:right w:w="28" w:type="dxa"/>
        </w:tblCellMar>
      </w:tblPr>
      <w:tblGrid>
        <w:gridCol w:w="2504"/>
        <w:gridCol w:w="2199"/>
        <w:gridCol w:w="2211"/>
        <w:gridCol w:w="268"/>
        <w:gridCol w:w="782"/>
        <w:gridCol w:w="138"/>
        <w:gridCol w:w="138"/>
        <w:gridCol w:w="138"/>
        <w:gridCol w:w="138"/>
        <w:gridCol w:w="268"/>
        <w:gridCol w:w="782"/>
        <w:gridCol w:w="195"/>
      </w:tblGrid>
      <w:tr>
        <w:trPr/>
        <w:tc>
          <w:tcPr>
            <w:tcW w:w="2504"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Drilling, completions and non-operated additions to oil and natural gas properties</w:t>
            </w:r>
            <w:r>
              <w:rPr>
                <w:rFonts w:ascii="Times New Roman;sans-serif" w:hAnsi="Times New Roman;sans-serif"/>
                <w:b w:val="false"/>
                <w:color w:val="000000"/>
                <w:sz w:val="13"/>
              </w:rPr>
              <w:t>(1)</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Infrastructure additions to oil and natural gas properties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midstream assets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2,052 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ans-serif" w:hAnsi="Times New Roman;sans-serif"/>
          <w:b w:val="false"/>
          <w:color w:val="000000"/>
          <w:sz w:val="20"/>
        </w:rPr>
        <w:t>(1) See “—</w:t>
      </w:r>
      <w:hyperlink w:anchor="ia9e4db464c2249aebaf424c72b2cbe2e_1506">
        <w:r>
          <w:rPr>
            <w:rStyle w:val="InternetLink"/>
            <w:rFonts w:ascii="Times New Roman;sans-serif" w:hAnsi="Times New Roman;sans-serif"/>
            <w:b w:val="false"/>
            <w:i/>
            <w:color w:val="0000FF"/>
            <w:sz w:val="20"/>
            <w:u w:val="single"/>
          </w:rPr>
          <w:t>Recent Developments - Upstream Operations</w:t>
        </w:r>
      </w:hyperlink>
      <w:r>
        <w:rPr>
          <w:color w:val="000000"/>
        </w:rPr>
        <w:t xml:space="preserve">” </w:t>
      </w:r>
      <w:r>
        <w:rPr>
          <w:rFonts w:ascii="Times New Roman;sans-serif" w:hAnsi="Times New Roman;sans-serif"/>
          <w:b w:val="false"/>
          <w:color w:val="000000"/>
          <w:sz w:val="20"/>
        </w:rPr>
        <w:t>above for additional detail on wells drilled and turned to production during the three and nine months ended September 30, 2023 and 2022.</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net cash used in financing activities was primarily attributable to (i) $776 million of repurchases as part of the share and unit repurchase programs, (ii) $841 million of dividends paid to stockholders, (iii) $134 million paid for the retirement of principal outstanding on certain senior notes, and (iv) $84 million in distributions to non-controlling interest. These cash outflows were partially offset by an additional $98 million in borrowings under credit facilities, net of repayments.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2022, net cash used in financing activities was primarily attributable to (i) $1.9 billion paid for the repurchase, repayment and redemption of principal outstanding on certain senior notes, as well as $49 million of additional premiums paid in connection with the redemptions, (ii) $1.2 billion of dividends paid to stockholders, (iii) $904 million of repurchases as part of the share and unit repurchase programs, and (iv) $181 million in distributions to non-controlling interests. These cash outflows were partially offset by $750 million in proceeds from the 4.250% Senior Notes due March 15, 2052.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Resources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working capital requirements are supported by our cash and cash equivalents and available borrowings under our revolving credit facility. We may draw on our revolving credit facility to meet short-term cash requirements, or issue debt or equity securities as part of our longer-term liquidity and capital management program. Because of the alternatives available to us, we believe that our short-term and long-term liquidity are adequate to fund not only our current operations, but also our near-term and long-term capital requirements.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war in Ukraine and/or adverse macroeconomic conditions may limit our access to, or increase our cost of, capital or make capital unavailable on terms acceptable to us or at all.</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Revolving Credit Facilities and Other Debt Instruments </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our debt, including the debt of Viper, consisted of approximately $6.1 billion in aggregate outstanding principal amount of senior notes, and $250 million in aggregate outstanding borrowings under revolving credit facilities.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maximum credit amount available under our credit agreement was $1.6 billion, with no outstanding borrowings and $1.6 billion available for future borrowings. During the second quarter of 2023, we extended the maturity date of our revolving credit facility from June 2, 2027 to June 2, 2028, which further improved our long-term liquidity position.</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1155"/>
                <wp:effectExtent l="0" t="0" r="0" b="0"/>
                <wp:wrapNone/>
                <wp:docPr id="46" name="Frame4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Repurchases of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2023, we opportunistically repurchased principal amounts of $30 million of our 3.250% Senior Notes due 2026 and $100 million of our 3.500% Senior Notes due 2029 in open market transactions for total cash consideration of $124 million, at an average of 95.5% of par value.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may continue to repurchase some of our outstanding senior notes in open market purchases or in privately negotiated transactions in future periods.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Viper’s Credit Agreement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22, 2023, Viper LLC entered into an eleventh and separately a twelfth amendment to its existing credit agreement, which among other things, (i) extended the maturity date from June 2, 2025, to September 22, 2028, (ii) maintained the maximum credit amount of $2.0 billion, (iii) increased the borrowing base from $1.0 billion to $1.3 billion upon consummation of the Viper Acquisition, (iv) increased the elected commitment amount from $750 million to $850 million, and (v) waived the automatic reduction of the borrowing base that would otherwise occur upon the consummation of the Viper 2031 Notes. The Viper credit agreement had $250 million of outstanding borrowings and $600 million available for future borrowings as of September 30, 2023.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Viper 2031 Notes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19, 2023, Viper completed the Viper 2031 Notes Offering of $400 million in aggregate principal amount of its 7.375% Senior Notes maturing on November 1, 2031. Through maturity, Viper expects to incur approximately $236 million in aggregate interest costs (approximately $30 million annually) for the Viper 2031 Notes.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For additional discussion of our outstanding debt as of September 30, 2023, see Note 7—</w:t>
      </w:r>
      <w:hyperlink w:anchor="ia9e4db464c2249aebaf424c72b2cbe2e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and Note 15—</w:t>
      </w:r>
      <w:hyperlink w:anchor="ia9e4db464c2249aebaf424c72b2cbe2e_82">
        <w:r>
          <w:rPr>
            <w:rStyle w:val="InternetLink"/>
            <w:rFonts w:ascii="Times New Roman;sans-serif" w:hAnsi="Times New Roman;sans-serif"/>
            <w:b w:val="false"/>
            <w:color w:val="0000FF"/>
            <w:sz w:val="20"/>
            <w:u w:val="single"/>
          </w:rPr>
          <w:t>Subsequent Events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Capital Requirements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future operating expenses and working capital commitments discussed in </w:t>
      </w:r>
      <w:r>
        <w:rPr>
          <w:color w:val="000000"/>
        </w:rPr>
        <w:t>—</w:t>
      </w:r>
      <w:hyperlink w:anchor="ia9e4db464c2249aebaf424c72b2cbe2e_94">
        <w:r>
          <w:rPr>
            <w:rStyle w:val="InternetLink"/>
            <w:rFonts w:ascii="Times New Roman;sans-serif" w:hAnsi="Times New Roman;sans-serif"/>
            <w:b w:val="false"/>
            <w:i/>
            <w:color w:val="0000FF"/>
            <w:sz w:val="20"/>
            <w:u w:val="single"/>
          </w:rPr>
          <w:t>Results of Operations</w:t>
        </w:r>
      </w:hyperlink>
      <w:r>
        <w:rPr>
          <w:rFonts w:ascii="Times New Roman;sans-serif" w:hAnsi="Times New Roman;sans-serif"/>
          <w:b w:val="false"/>
          <w:i/>
          <w:color w:val="000000"/>
          <w:sz w:val="20"/>
        </w:rPr>
        <w:t>,</w:t>
      </w:r>
      <w:r>
        <w:rPr>
          <w:color w:val="000000"/>
        </w:rPr>
        <w:t xml:space="preserve"> </w:t>
      </w:r>
      <w:r>
        <w:rPr>
          <w:rFonts w:ascii="Times New Roman;sans-serif" w:hAnsi="Times New Roman;sans-serif"/>
          <w:b w:val="false"/>
          <w:color w:val="000000"/>
          <w:sz w:val="20"/>
        </w:rPr>
        <w:t xml:space="preserve">our primary short and long-term liquidity requirements, excluding those of Viper, consist primarily of (i) capital expenditures, (ii) payments of principal and interest on our revolving credit agreements and senior notes, (iii) payments of other contractual obligations, and (iv) cash used to pay for dividends and repurchases of securities as discussed below.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Capital Spending Plan</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approved a revised 2023 capital budget for drilling, midstream, infrastructure and environmental of approximately $2.66 billion to $2.70 billion, or the high end of our initial 2023 guidance range. We estimate that, of these expenditures, approximately:</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$2.37 billion to $2.39 billion will be spent primarily on drilling 340 to 350 gross (306 to 315 net) horizontal wells and completing 325 to 335 gross (305 to 315 net) horizontal wells across our operated and non-operated leasehold acreage in the Northern Midland and Southern Delaware Basins, with an average lateral length of approximately 11,000+ feet; </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$120 million to $130 million will be spent on midstream infrastructure, excluding equity method investments; and</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Approximately $170 million to $180 million will be spent on infrastructure and environmental expenditures, excluding the cost of any leasehold and mineral interest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have a specific acquisition budget since the timing and size of acquisitions cannot be accurately forecasted. </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13 drilling rigs and 4 completion crews. We will continue monitoring commodity prices and overall market conditions and can adjust our rig cadence and our capital expenditure budget in response to changes in commodity prices and overall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1155"/>
                <wp:effectExtent l="0" t="0" r="0" b="0"/>
                <wp:wrapNone/>
                <wp:docPr id="47" name="Frame4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Return of Capital Commitment</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our board of directors has approved a return of capital commitment of at least 75% of free cash flow to our shareholders through repurchases under our share repurchase program, base dividends and variable dividends. The remainder of our free cash flow will be used primarily to reduce debt. On November 2, 2023, our board of directors declared a combined base and variable dividend for the third quarter of 2023 of $3.37 per share of common stock.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Free cash flow is a non-GAAP financial measure. As used by us, free cash flow is defined as cash flow from operating activities before changes in working capital in excess of cash capital expenditures and other adjustments as determined by us. We believe that free cash flow is useful to investors as it provides a measure to compare both cash flow from operating activities and additions to oil and natural gas properties across periods on a consistent basis.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As of November 3, 2023, we have repurchased 18.4 million shares of our common stock for a total cost of $2.3 billion since the inception of the stock repurchase program, excluding excise tax. We intend to continue to purchase shares under this repurchase program opportunistically with available funds primarily from cash flow from operations and liquidity events such as the sale of assets while maintaining sufficient liquidity to fund our capital expenditure programs, however, the stock repurchase program is at the discretion of our board of directors and can be amended, terminated or suspended at any time. See Note 8—</w:t>
      </w:r>
      <w:hyperlink w:anchor="ia9e4db464c2249aebaf424c72b2cbe2e_61">
        <w:r>
          <w:rPr>
            <w:rStyle w:val="InternetLink"/>
            <w:rFonts w:ascii="Times New Roman;sans-serif" w:hAnsi="Times New Roman;sans-serif"/>
            <w:b w:val="false"/>
            <w:color w:val="0000FF"/>
            <w:sz w:val="20"/>
            <w:u w:val="single"/>
          </w:rPr>
          <w:t>Stockholders' Equity and Earnings (Loss) Per Share</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Other Commitments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and Five Point currently anticipate collectively contributing $500 million in follow-on capital to fund future Deep Blue growth projects and 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Income Taxes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expect our cash tax rate to be 15% to 17% of pre-tax income for the year ended December 31, 2023. See Note 10—</w:t>
      </w:r>
      <w:hyperlink w:anchor="ia9e4db464c2249aebaf424c72b2cbe2e_67">
        <w:r>
          <w:rPr>
            <w:rStyle w:val="InternetLink"/>
            <w:rFonts w:ascii="Times New Roman;sans-serif" w:hAnsi="Times New Roman;sans-serif"/>
            <w:b w:val="false"/>
            <w:color w:val="0000FF"/>
            <w:sz w:val="20"/>
            <w:u w:val="single"/>
          </w:rPr>
          <w:t>Income Taxes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Guarantor Financial Information</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Diamondback E&amp;P is the sole guarantor under the indentures governing the outstanding Guaranteed Senior Notes.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Guarantees are “full and unconditional,” as that term is used in Regulation S-X, Rule 3-10(b)(3), except that such guarantees will be released or terminated in certain circumstances set forth in the indentures governing the Guaranteed Senior Notes, such as, with certain exceptions, (i) in the event Diamondback E&amp;P (or all or substantially all of its assets) is sold or disposed of, (ii) in the event Diamondback E&amp;P ceases to be a guarantor of or otherwise be an obligor under certain other indebtedness, and (iii) in connection with any covenant defeasance, legal defeasance or satisfaction and discharge of the relevant indenture.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Diamondback E&amp;P’s guarantees of the Guaranteed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rights of holders of the Guaranteed Senior Notes against Diamondback E&amp;P may be limited under the U.S. Bankruptcy Code or state fraudulent transfer or conveyance law. Each guarantee contains a provision intended to limit Diamondback E&amp;P’s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E&amp;P. Moreover, this provision may not be effective to protect the guarantee from being voided under fraudulent conveyance laws. There is a possibility that the entire guarantee may be set aside, in which case the entire liability may be extinguished.</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1155"/>
                <wp:effectExtent l="0" t="0" r="0" b="0"/>
                <wp:wrapNone/>
                <wp:docPr id="48" name="Frame4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for Diamondback Energy, Inc., as the parent, and Diamondback E&amp;P,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51" w:type="dxa"/>
        <w:jc w:val="center"/>
        <w:tblInd w:w="0" w:type="dxa"/>
        <w:tblLayout w:type="fixed"/>
        <w:tblCellMar>
          <w:top w:w="28" w:type="dxa"/>
          <w:left w:w="28" w:type="dxa"/>
          <w:bottom w:w="28" w:type="dxa"/>
          <w:right w:w="28" w:type="dxa"/>
        </w:tblCellMar>
      </w:tblPr>
      <w:tblGrid>
        <w:gridCol w:w="1749"/>
        <w:gridCol w:w="1538"/>
        <w:gridCol w:w="1542"/>
        <w:gridCol w:w="325"/>
        <w:gridCol w:w="1112"/>
        <w:gridCol w:w="168"/>
        <w:gridCol w:w="109"/>
        <w:gridCol w:w="109"/>
        <w:gridCol w:w="109"/>
        <w:gridCol w:w="309"/>
        <w:gridCol w:w="1056"/>
        <w:gridCol w:w="225"/>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Balance Sheets:</w:t>
            </w:r>
          </w:p>
        </w:tc>
        <w:tc>
          <w:tcPr>
            <w:tcW w:w="35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18,252 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w:t>
            </w:r>
          </w:p>
        </w:tc>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Intercompany accounts payable, non-guarantor subsidiary</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5,647 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3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330" w:type="dxa"/>
        <w:jc w:val="center"/>
        <w:tblInd w:w="0" w:type="dxa"/>
        <w:tblLayout w:type="fixed"/>
        <w:tblCellMar>
          <w:top w:w="28" w:type="dxa"/>
          <w:left w:w="28" w:type="dxa"/>
          <w:bottom w:w="28" w:type="dxa"/>
          <w:right w:w="28" w:type="dxa"/>
        </w:tblCellMar>
      </w:tblPr>
      <w:tblGrid>
        <w:gridCol w:w="1114"/>
        <w:gridCol w:w="979"/>
        <w:gridCol w:w="982"/>
        <w:gridCol w:w="700"/>
        <w:gridCol w:w="2044"/>
        <w:gridCol w:w="511"/>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Summarized Statement of Operations:</w:t>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from operations</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7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There have been no changes in our critical accounting estimates from those disclosed in our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"ia595866015b4400388c840bd76dbe1a1_67"</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See Note 2—</w:t>
      </w:r>
      <w:hyperlink w:anchor="ia9e4db464c2249aebaf424c72b2cbe2e_43">
        <w:r>
          <w:rPr>
            <w:rStyle w:val="InternetLink"/>
            <w:rFonts w:ascii="Times New Roman;sans-serif" w:hAnsi="Times New Roman;sans-serif"/>
            <w:b w:val="false"/>
            <w:color w:val="0000FF"/>
            <w:sz w:val="20"/>
            <w:u w:val="single"/>
          </w:rPr>
          <w:t>Summary of Significant Accounting Policies</w:t>
        </w:r>
      </w:hyperlink>
      <w:r>
        <w:rPr>
          <w:color w:val="000000"/>
        </w:rPr>
        <w:t xml:space="preserve"> </w:t>
      </w:r>
      <w:r>
        <w:rPr>
          <w:rFonts w:ascii="Times New Roman;sans-serif" w:hAnsi="Times New Roman;sans-serif"/>
          <w:b w:val="false"/>
          <w:color w:val="000000"/>
          <w:sz w:val="20"/>
        </w:rPr>
        <w:t xml:space="preserve">of the condensed notes to the consolidated financial statements for recent accounting pronouncements not yet adopted, if any.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Commodity Price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Although demand and market prices for oil and natural gas have recently increased, we cannot predict events, including the outcome of the war in Ukraine and Israel-Hamas war, rising interest rates, global supply chain disruptions, a potential economic downturn or recession that may lead to future price volatility and the near term energy outlook remains subject to heightened levels of uncertainty. Further, the prices we receive for production depend on many other factors outside of our control.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derivatives, including swaps, basis swaps, roll swaps, costless collars, puts and basis puts, to reduce price volatility associated with certain of our oil and natural gas sales.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we had a net liability derivative position of $105 million, related to our commodity price risk derivatives. Utilizing actual derivative contractual volumes under our commodity price derivatives as of September 30, 2023, a 10% increase in forward curves associated with the underlying commodity would have increased the net liability position by $11 million to $116 million, while a 10% decrease in forward curves associated with the underlying commodity would have decreased the net liability position by $19 million to $86 million. However, any cash derivative gain or loss would be substantially offset by a decrease or increase, respectively, in the actual sales value of production covered by the derivative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1155"/>
                <wp:effectExtent l="0" t="0" r="0" b="0"/>
                <wp:wrapNone/>
                <wp:docPr id="49" name="Frame4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pPr>
      <w:r>
        <w:rPr>
          <w:rFonts w:ascii="Times New Roman;sans-serif" w:hAnsi="Times New Roman;sans-serif"/>
          <w:b w:val="false"/>
          <w:color w:val="000000"/>
          <w:sz w:val="20"/>
        </w:rPr>
        <w:t>instrument. For additional information on our open commodity derivative instruments at September 30, 2023, see Note 11—</w:t>
      </w:r>
      <w:hyperlink w:anchor="ia9e4db464c2249aebaf424c72b2cbe2e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Counterparty and Customer Credit Risk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principal exposures to credit risk are due to the concentration of receivables from the sale of our oil and natural gas production (approximately $789 million at September 30, 2023), and to a lesser extent, receivables resulting from joint interest and other receivables (approximately $133 million at September 30, 2023).</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do not require our customers to post collateral, and the failure or inability of our significant customers to meet their obligations to us due to their liquidity issues, bankruptcy, insolvency or liquidation may adversely affect our financial results.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Rate Risk </w:t>
      </w:r>
    </w:p>
    <w:p>
      <w:pPr>
        <w:pStyle w:val="TextBody"/>
        <w:bidi w:val="0"/>
        <w:spacing w:before="0" w:after="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We are subject to market risk exposure related to changes in interest rates on our indebtedness under our revolving credit facilities and changes in the fair value of our fixed rate debt. Outstanding borrowings under the credit agreement bear interest at a per annum rate elected by Diamondback E&amp;P. At September 30, 2023, the applicable margin ranges from 0.125% to 1.000% per annum in the case of the alternate base rate, and from 1.125% to 2.000% per annum in the case of Adjusted Term SOFR, in each case based on the pricing level. The pricing level depends on certain rating agencies’ ratings of our long-term senior unsecure debt. We believe significant interest rate changes would not have a material near-term impact on our future earnings or cash flows. For additional information on our variable interest rate debt at September 30, 2023, see Note 7—</w:t>
      </w:r>
      <w:hyperlink w:anchor="ia9e4db464c2249aebaf424c72b2cbe2e_58">
        <w:r>
          <w:rPr>
            <w:rStyle w:val="InternetLink"/>
            <w:rFonts w:ascii="Times New Roman;sans-serif" w:hAnsi="Times New Roman;sans-serif"/>
            <w:b w:val="false"/>
            <w:color w:val="0000FF"/>
            <w:sz w:val="20"/>
            <w:u w:val="single"/>
          </w:rPr>
          <w:t>Debt</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Historically, we have at times used interest rates swaps to manage our exposure to (i) interest rate changes on our floating-rate date, and (ii) fair value changes on our fixed rate debt. At September 30, 2023, we have interest rate swap agreements for a notional amount of $1.2 billion to manage the impact of changes to the fair value of our fixed rate senior notes due to changes in market interest rates through December 2029. We pay an average variable rate of interest for these swaps based on three month SOFR plus 2.1865% and receive a fixed interest rate of 3.50% from our counterparties. At September 30, 2023, our receive-fixed, pay-variable interest rate swaps were in a net liability position of $231 million, and the weighted average variable rate was 6.69%. For additional information on our interest rate swaps, see Note 11—</w:t>
      </w:r>
      <w:hyperlink w:anchor="ia9e4db464c2249aebaf424c72b2cbe2e_70">
        <w:r>
          <w:rPr>
            <w:rStyle w:val="InternetLink"/>
            <w:rFonts w:ascii="Times New Roman;sans-serif" w:hAnsi="Times New Roman;sans-serif"/>
            <w:b w:val="false"/>
            <w:color w:val="0000FF"/>
            <w:sz w:val="20"/>
            <w:u w:val="single"/>
          </w:rPr>
          <w:t>Derivatives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Evaluation of Disclosure Controls and Procedures</w:t>
      </w:r>
      <w:r>
        <w:rPr>
          <w:rFonts w:ascii="Times New Roman;sans-serif" w:hAnsi="Times New Roman;sans-serif"/>
          <w:b w:val="false"/>
          <w:color w:val="000000"/>
          <w:sz w:val="20"/>
        </w:rPr>
        <w:t>. Under the direction of our Chief Executive Officer and Chief Financial Officer, we have established disclosure controls and procedures, as defined in Rule 13a-15(e) and 15d-15(e) under the Exchange Act,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2023, our disclosure controls and procedures are effective.</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Changes in Internal Control over Financial Reporting</w:t>
      </w:r>
      <w:r>
        <w:rPr>
          <w:rFonts w:ascii="Times New Roman;sans-serif" w:hAnsi="Times New Roman;sans-serif"/>
          <w:b w:val="false"/>
          <w:color w:val="000000"/>
          <w:sz w:val="20"/>
        </w:rPr>
        <w:t>. There have not been any changes in our internal control over financial reporting that occurred during the quarter ended September 30, 2023, that have materially affected, or are reasonably likely to materially affect, internal controls over financial reporting.</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1155"/>
                <wp:effectExtent l="0" t="0" r="0" b="0"/>
                <wp:wrapNone/>
                <wp:docPr id="50" name="Frame5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natural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 See Note 14—</w:t>
      </w:r>
      <w:hyperlink w:anchor="ia9e4db464c2249aebaf424c72b2cbe2e_79">
        <w:r>
          <w:rPr>
            <w:rStyle w:val="InternetLink"/>
            <w:rFonts w:ascii="Times New Roman;sans-serif" w:hAnsi="Times New Roman;sans-serif"/>
            <w:b w:val="false"/>
            <w:color w:val="0000FF"/>
            <w:sz w:val="20"/>
            <w:u w:val="single"/>
          </w:rPr>
          <w:t>Commitments and Contingencies</w:t>
        </w:r>
      </w:hyperlink>
      <w:r>
        <w:rPr>
          <w:color w:val="000000"/>
        </w:rPr>
        <w:t xml:space="preserve"> </w:t>
      </w:r>
      <w:r>
        <w:rPr>
          <w:rFonts w:ascii="Times New Roman;sans-serif" w:hAnsi="Times New Roman;sans-serif"/>
          <w:b w:val="false"/>
          <w:color w:val="000000"/>
          <w:sz w:val="20"/>
        </w:rPr>
        <w:t>of the condensed notes to the consolidated financial statements.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 </w:t>
      </w:r>
    </w:p>
    <w:p>
      <w:pPr>
        <w:pStyle w:val="TextBody"/>
        <w:bidi w:val="0"/>
        <w:spacing w:before="0" w:after="0"/>
        <w:ind w:left="0" w:right="0" w:firstLine="495"/>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the date of this filing, in addition to the factors discussed elsewhere in this report, we continue to be subject to the risk factors previously disclosed in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Part I, Item 1A. Risk Factors in our 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 xml:space="preserve">for the year ended December 31, 2022, filed with the SEC on February 23, 2023 and in subsequent filings we make with the SEC. There have been no material changes in our risk factors from those described in our </w:t>
      </w:r>
      <w:r>
        <w:fldChar w:fldCharType="begin"/>
      </w:r>
      <w:r>
        <w:rPr>
          <w:rStyle w:val="InternetLink"/>
          <w:sz w:val="20"/>
          <w:u w:val="single"/>
          <w:b w:val="false"/>
          <w:rFonts w:ascii="Times New Roman;sans-serif" w:hAnsi="Times New Roman;sans-serif"/>
          <w:color w:val="0000FF"/>
        </w:rPr>
        <w:instrText xml:space="preserve"> HYPERLINK "http://www.sec.gov/ix?doc=/Archives/edgar/data/1539838/000153983823000022/fang-20221231.htm" \l "ia595866015b4400388c840bd76dbe1a1_25"</w:instrText>
      </w:r>
      <w:r>
        <w:rPr>
          <w:rStyle w:val="InternetLink"/>
          <w:sz w:val="20"/>
          <w:u w:val="single"/>
          <w:b w:val="false"/>
          <w:rFonts w:ascii="Times New Roman;sans-serif" w:hAnsi="Times New Roman;sans-serif"/>
          <w:color w:val="0000FF"/>
        </w:rPr>
        <w:fldChar w:fldCharType="separate"/>
      </w:r>
      <w:r>
        <w:rPr>
          <w:rStyle w:val="InternetLink"/>
          <w:rFonts w:ascii="Times New Roman;sans-serif" w:hAnsi="Times New Roman;sans-serif"/>
          <w:b w:val="false"/>
          <w:color w:val="0000FF"/>
          <w:sz w:val="20"/>
          <w:u w:val="single"/>
        </w:rPr>
        <w:t>Annual Report on Form 10-K</w:t>
      </w:r>
      <w:r>
        <w:rPr>
          <w:rStyle w:val="InternetLink"/>
          <w:sz w:val="20"/>
          <w:u w:val="single"/>
          <w:b w:val="false"/>
          <w:rFonts w:ascii="Times New Roman;sans-serif" w:hAnsi="Times New Roman;sans-serif"/>
          <w:color w:val="0000FF"/>
        </w:rPr>
        <w:fldChar w:fldCharType="end"/>
      </w:r>
      <w:r>
        <w:rPr>
          <w:color w:val="000000"/>
        </w:rPr>
        <w:t xml:space="preserve"> </w:t>
      </w:r>
      <w:r>
        <w:rPr>
          <w:rFonts w:ascii="Times New Roman;sans-serif" w:hAnsi="Times New Roman;sans-serif"/>
          <w:b w:val="false"/>
          <w:color w:val="000000"/>
          <w:sz w:val="20"/>
        </w:rPr>
        <w:t>for the year ended December 31, 2022.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Unregistered Sales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Issuer Repurchases of Equity Securities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repurchase activity for the three months ended September 30, 2023 was as follows: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813"/>
        <w:gridCol w:w="400"/>
        <w:gridCol w:w="401"/>
        <w:gridCol w:w="109"/>
        <w:gridCol w:w="109"/>
        <w:gridCol w:w="109"/>
        <w:gridCol w:w="473"/>
        <w:gridCol w:w="473"/>
        <w:gridCol w:w="475"/>
        <w:gridCol w:w="109"/>
        <w:gridCol w:w="109"/>
        <w:gridCol w:w="109"/>
        <w:gridCol w:w="278"/>
        <w:gridCol w:w="951"/>
        <w:gridCol w:w="143"/>
        <w:gridCol w:w="109"/>
        <w:gridCol w:w="109"/>
        <w:gridCol w:w="109"/>
        <w:gridCol w:w="686"/>
        <w:gridCol w:w="686"/>
        <w:gridCol w:w="688"/>
        <w:gridCol w:w="109"/>
        <w:gridCol w:w="109"/>
        <w:gridCol w:w="109"/>
        <w:gridCol w:w="519"/>
        <w:gridCol w:w="1522"/>
        <w:gridCol w:w="389"/>
      </w:tblGrid>
      <w:tr>
        <w:trPr/>
        <w:tc>
          <w:tcPr>
            <w:tcW w:w="81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Total Number of Shares Purchased</w:t>
            </w:r>
            <w:r>
              <w:rPr>
                <w:rFonts w:ascii="Times New Roman;sans-serif" w:hAnsi="Times New Roman;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Average Price Paid Per Share</w:t>
            </w:r>
            <w:r>
              <w:rPr>
                <w:rFonts w:ascii="Times New Roman;sans-serif" w:hAnsi="Times New Roman;sans-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Publicly Announced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Approximate Dollar Value of Shares that May Yet Be Purchased Under the Plan</w:t>
            </w:r>
            <w:r>
              <w:rPr>
                <w:rFonts w:ascii="Times New Roman;sans-serif" w:hAnsi="Times New Roman;sans-serif"/>
                <w:b/>
                <w:color w:val="000000"/>
                <w:sz w:val="12"/>
              </w:rPr>
              <w:t>(3)(4)</w:t>
            </w:r>
          </w:p>
        </w:tc>
      </w:tr>
      <w:tr>
        <w:trPr/>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In millions, except per share amounts, shares in thousands)</w:t>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2023 - July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2023 - August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2023 - 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(1)Includes 981 shares of common stock repurchased from executives in order to satisfy tax withholding requirements. Such shares are cancelled and retired immediately upon repurchase.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average price paid per share includes any commissions paid to repurchase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(3)On July 28, 2022, our board of directors approved an increase in our common stock repurchase program from $2.0 billion to $4.0 billion, excluding excise tax. The stock repurchase program has no time limit and may be suspended, modified, or discontinued by the board of directors at any time.</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Inflation Reduction Act of 2022, which was enacted into law on August 16, 2022, imposed a nondeductible 1% excise tax on the net value of certain stock repurchases made after December 31, 2022. All dollar amounts presented exclude such excise taxes, as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21, 2023, Travis D. Stice, the Company's Chief Executive Officer and Chairman of the board of directors of the Company, adopted a trading plan intended to satisfy Rule 10b5-1(c), as amended. The plan relates to the sale of up to 90,000 shares of common stock between November 22, 2023 and November 22, 2024. The shares covered by this plan include shares of common stock which will be acquired upon (i) the exercise of any employee stock options, and (ii) vesting of restricted stock units, including the net settlement of such restricted stock units to satisfy tax withholding obligations.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Company’s other directors or officers adopted or terminated a Rule 10b5-1 trading arrangement or a non-Rule 10b5-1 trading arrangement during the Company’s fiscal quarter ended September 30,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left"/>
        <w:rPr>
          <w:rFonts w:ascii="Times New Roman;sans-serif" w:hAnsi="Times New Roman;sans-serif"/>
          <w:b/>
          <w:color w:val="000000"/>
          <w:sz w:val="19"/>
        </w:rPr>
      </w:pPr>
      <w:r>
        <w:rPr>
          <w:rFonts w:ascii="Times New Roman;sans-serif" w:hAnsi="Times New Roman;sans-serif"/>
          <w:b/>
          <w:color w:val="000000"/>
          <w:sz w:val="19"/>
        </w:rPr>
        <w:t>ITEM 6.    EXHIBITS</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EXHIBIT INDEX</w:t>
      </w:r>
    </w:p>
    <w:tbl>
      <w:tblPr>
        <w:tblW w:w="10205" w:type="dxa"/>
        <w:jc w:val="center"/>
        <w:tblInd w:w="0" w:type="dxa"/>
        <w:tblLayout w:type="fixed"/>
        <w:tblCellMar>
          <w:top w:w="28" w:type="dxa"/>
          <w:left w:w="28" w:type="dxa"/>
          <w:bottom w:w="28" w:type="dxa"/>
          <w:right w:w="28" w:type="dxa"/>
        </w:tblCellMar>
      </w:tblPr>
      <w:tblGrid>
        <w:gridCol w:w="339"/>
        <w:gridCol w:w="297"/>
        <w:gridCol w:w="298"/>
        <w:gridCol w:w="109"/>
        <w:gridCol w:w="109"/>
        <w:gridCol w:w="109"/>
        <w:gridCol w:w="2628"/>
        <w:gridCol w:w="2604"/>
        <w:gridCol w:w="3712"/>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8"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12" w:type="dxa"/>
            <w:tcBorders/>
            <w:vAlign w:val="center"/>
          </w:tcPr>
          <w:p>
            <w:pPr>
              <w:pStyle w:val="TableContents"/>
              <w:bidi w:val="0"/>
              <w:spacing w:before="0" w:after="283"/>
              <w:jc w:val="left"/>
              <w:rPr>
                <w:sz w:val="4"/>
                <w:szCs w:val="4"/>
              </w:rPr>
            </w:pPr>
            <w:r>
              <w:rPr>
                <w:sz w:val="4"/>
                <w:szCs w:val="4"/>
              </w:rPr>
            </w:r>
          </w:p>
        </w:tc>
      </w:tr>
      <w:tr>
        <w:trPr/>
        <w:tc>
          <w:tcPr>
            <w:tcW w:w="93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ans-serif" w:hAnsi="Times New Roman;sans-serif"/>
                <w:b/>
                <w:color w:val="000000"/>
                <w:sz w:val="19"/>
              </w:rPr>
            </w:pPr>
            <w:r>
              <w:rPr>
                <w:rFonts w:ascii="Times New Roman;sans-serif" w:hAnsi="Times New Roman;sans-serif"/>
                <w:b/>
                <w:color w:val="000000"/>
                <w:sz w:val="19"/>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120"/>
              <w:jc w:val="left"/>
              <w:rPr>
                <w:rFonts w:ascii="Times New Roman;sans-serif" w:hAnsi="Times New Roman;sans-serif"/>
                <w:b/>
                <w:color w:val="000000"/>
                <w:sz w:val="19"/>
              </w:rPr>
            </w:pPr>
            <w:r>
              <w:rPr>
                <w:rFonts w:ascii="Times New Roman;sans-serif" w:hAnsi="Times New Roman;sans-serif"/>
                <w:b/>
                <w:color w:val="000000"/>
                <w:sz w:val="19"/>
              </w:rPr>
              <w:t>Description</w:t>
            </w:r>
          </w:p>
        </w:tc>
      </w:tr>
      <w:tr>
        <w:trPr/>
        <w:tc>
          <w:tcPr>
            <w:tcW w:w="9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ans-serif" w:hAnsi="Times New Roman;sans-serif"/>
                  <w:b w:val="false"/>
                  <w:color w:val="0000FF"/>
                  <w:sz w:val="19"/>
                  <w:u w:val="single"/>
                </w:rPr>
                <w:t>Agreement and Plan of Merger, dated as of May 15, 2022, by and among Diamondback Energy, Inc., Rattler Midstream GP LLC, Bacchus Merger Sub Company and Rattler Midstream LP (incorporated by reference to Exhibit 2.1 of the Registrant’s Current Report on Form 8-K (File 001-38919) filed on May 16, 2022</w:t>
              </w:r>
            </w:hyperlink>
            <w:r>
              <w:rPr>
                <w:rFonts w:ascii="Times New Roman;sans-serif" w:hAnsi="Times New Roman;sans-serif"/>
                <w:b w:val="false"/>
                <w:color w:val="000000"/>
                <w:sz w:val="19"/>
              </w:rPr>
              <w:t>).</w:t>
            </w:r>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4">
              <w:r>
                <w:rPr>
                  <w:rStyle w:val="InternetLink"/>
                  <w:rFonts w:ascii="Times New Roman;sans-serif" w:hAnsi="Times New Roman;sans-serif"/>
                  <w:b w:val="false"/>
                  <w:color w:val="0000FF"/>
                  <w:sz w:val="19"/>
                  <w:u w:val="single"/>
                </w:rPr>
                <w:t>Second Amended and Restated Certificate of Incorporation of the Company (incorporated by reference to Exhibit 3.1 to the Form 8-K, File No. 001-35700, filed by the Company with the SEC on June 14, 2023).</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5">
              <w:r>
                <w:rPr>
                  <w:rStyle w:val="InternetLink"/>
                  <w:rFonts w:ascii="Times New Roman;sans-serif" w:hAnsi="Times New Roman;sans-serif"/>
                  <w:b w:val="false"/>
                  <w:color w:val="0000FF"/>
                  <w:sz w:val="19"/>
                  <w:u w:val="single"/>
                </w:rPr>
                <w:t>Fourth Amended and Restated Bylaws of the Company, adopted as of June 8, 2023 (incorporated by reference to Exhibit 3.2 to the Form 8-K, File No. 001-35700, filed by the Company with the SEC on June 14, 2023).</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6">
              <w:r>
                <w:rPr>
                  <w:rStyle w:val="InternetLink"/>
                  <w:rFonts w:ascii="Times New Roman;sans-serif" w:hAnsi="Times New Roman;sans-serif"/>
                  <w:b w:val="false"/>
                  <w:color w:val="0000FF"/>
                  <w:sz w:val="19"/>
                  <w:u w:val="single"/>
                </w:rPr>
                <w:t>Specimen certificate for shares of common stock, par value $0.01 per share, of the Company (incorporated by reference to Exhibit 4.1 to Amendment No. 4 to the Registration Statement on Form S-1, File No. 333-179502, filed by the Company with the SEC on August 20, 2012).</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
              <w:r>
                <w:rPr>
                  <w:rStyle w:val="InternetLink"/>
                  <w:rFonts w:ascii="Times New Roman;sans-serif" w:hAnsi="Times New Roman;sans-serif"/>
                  <w:b w:val="false"/>
                  <w:color w:val="000080"/>
                  <w:sz w:val="19"/>
                  <w:u w:val="single"/>
                </w:rPr>
                <w:t>Registration Rights Agreement, dated as of February 26, 2021, by and among the Company, Guidon Operating LLC and Guidon Energy Holdings LP (incorporated by reference to Exhibit 4.3 to the Company’s Registration Statement on Form S-3, File No. 333-255731, filed by the Company with the SEC on May 3, 2021</w:t>
              </w:r>
            </w:hyperlink>
            <w:hyperlink r:id="rId8">
              <w:r>
                <w:rPr>
                  <w:rStyle w:val="InternetLink"/>
                  <w:rFonts w:ascii="Times New Roman;sans-serif" w:hAnsi="Times New Roman;sans-serif"/>
                  <w:b w:val="false"/>
                  <w:color w:val="000080"/>
                  <w:sz w:val="19"/>
                  <w:u w:val="single"/>
                </w:rPr>
                <w:t>)</w:t>
              </w:r>
            </w:hyperlink>
            <w:hyperlink r:id="rId9">
              <w:r>
                <w:rPr>
                  <w:rStyle w:val="InternetLink"/>
                  <w:rFonts w:ascii="Times New Roman;sans-serif" w:hAnsi="Times New Roman;sans-serif"/>
                  <w:b w:val="false"/>
                  <w:color w:val="000080"/>
                  <w:sz w:val="19"/>
                  <w:u w:val="single"/>
                </w:rPr>
                <w:t>.</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10">
              <w:r>
                <w:rPr>
                  <w:rStyle w:val="InternetLink"/>
                  <w:rFonts w:ascii="Times New Roman;sans-serif" w:hAnsi="Times New Roman;sans-serif"/>
                  <w:b w:val="false"/>
                  <w:color w:val="000080"/>
                  <w:sz w:val="19"/>
                  <w:u w:val="single"/>
                </w:rPr>
                <w:t>Letter Agreement, dated as of April 27, 2021, by and among the Company, Guidon Operating LLC and Guidon Energy Holdings LP relating to the Registration Rights Agreement referenced as Exhibit 4.</w:t>
              </w:r>
            </w:hyperlink>
            <w:hyperlink r:id="rId11">
              <w:r>
                <w:rPr>
                  <w:rStyle w:val="InternetLink"/>
                  <w:rFonts w:ascii="Times New Roman;sans-serif" w:hAnsi="Times New Roman;sans-serif"/>
                  <w:b w:val="false"/>
                  <w:color w:val="000080"/>
                  <w:sz w:val="19"/>
                  <w:u w:val="single"/>
                </w:rPr>
                <w:t>3</w:t>
              </w:r>
            </w:hyperlink>
            <w:hyperlink r:id="rId12">
              <w:r>
                <w:rPr>
                  <w:rStyle w:val="InternetLink"/>
                  <w:rFonts w:ascii="Times New Roman;sans-serif" w:hAnsi="Times New Roman;sans-serif"/>
                  <w:b w:val="false"/>
                  <w:color w:val="000080"/>
                  <w:sz w:val="19"/>
                  <w:u w:val="single"/>
                </w:rPr>
                <w:t xml:space="preserve"> hereto (incorporated by reference to Exhibit 4.4 to the Company’s Registration Statement on Form S-3, File No. 333-255731, filed by the Company with the SEC on May 3, 2021).</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3">
              <w:r>
                <w:rPr>
                  <w:rStyle w:val="InternetLink"/>
                  <w:rFonts w:ascii="Times New Roman;sans-serif" w:hAnsi="Times New Roman;sans-serif"/>
                  <w:b w:val="false"/>
                  <w:color w:val="0000FF"/>
                  <w:sz w:val="19"/>
                  <w:u w:val="single"/>
                </w:rPr>
                <w:t>Tenth Amendment to Amended and Restated Senior Secured Revolving Credit Agreement and Second Amendment to Guaranty and Collateral Agreement, dated as of May 31, 2023, by and among Viper Energy Partners LLC, as borrower, Viper Energy Partners LP, as parent guarantor, Wells Fargo Bank, National Association, as administrative agent, and the lenders party thereto (incorporated by reference to Exhibit 10.1 to Viper Energy Partners LP’s Current Report on Form 8-K (File No. 001-36505) filed on June 6, 2023).</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14">
              <w:r>
                <w:rPr>
                  <w:rStyle w:val="InternetLink"/>
                  <w:rFonts w:ascii="Times New Roman;sans-serif" w:hAnsi="Times New Roman;sans-serif"/>
                  <w:b w:val="false"/>
                  <w:color w:val="000080"/>
                  <w:sz w:val="19"/>
                  <w:u w:val="single"/>
                </w:rPr>
                <w:t>Eleventh Amendment to Amended and Restated Senior Secured Revolving Credit Agreement dated as of September 22, 2023, by and among Viper Energy Partners LLC, as borrower, Viper Energy Partners LP, as parent guarantor, Wells Fargo Bank, National Association, as administrative agent, and the lenders party thereto</w:t>
              </w:r>
            </w:hyperlink>
            <w:hyperlink r:id="rId15">
              <w:r>
                <w:rPr>
                  <w:rStyle w:val="InternetLink"/>
                  <w:rFonts w:ascii="Times New Roman;sans-serif" w:hAnsi="Times New Roman;sans-serif"/>
                  <w:b w:val="false"/>
                  <w:color w:val="000080"/>
                  <w:sz w:val="19"/>
                  <w:u w:val="single"/>
                </w:rPr>
                <w:t xml:space="preserve"> </w:t>
              </w:r>
            </w:hyperlink>
            <w:hyperlink r:id="rId16">
              <w:r>
                <w:rPr>
                  <w:rStyle w:val="InternetLink"/>
                  <w:rFonts w:ascii="Times New Roman;sans-serif" w:hAnsi="Times New Roman;sans-serif"/>
                  <w:b w:val="false"/>
                  <w:color w:val="000080"/>
                  <w:sz w:val="19"/>
                  <w:u w:val="single"/>
                </w:rPr>
                <w:t xml:space="preserve">(incorporated by reference to Exhibit 10.1 of </w:t>
              </w:r>
            </w:hyperlink>
            <w:hyperlink r:id="rId17">
              <w:r>
                <w:rPr>
                  <w:rStyle w:val="InternetLink"/>
                  <w:rFonts w:ascii="Times New Roman;sans-serif" w:hAnsi="Times New Roman;sans-serif"/>
                  <w:b w:val="false"/>
                  <w:color w:val="000080"/>
                  <w:sz w:val="19"/>
                  <w:u w:val="single"/>
                </w:rPr>
                <w:t>Viper</w:t>
              </w:r>
            </w:hyperlink>
            <w:hyperlink r:id="rId18">
              <w:r>
                <w:rPr>
                  <w:rStyle w:val="InternetLink"/>
                  <w:rFonts w:ascii="Times New Roman;sans-serif" w:hAnsi="Times New Roman;sans-serif"/>
                  <w:b w:val="false"/>
                  <w:color w:val="000080"/>
                  <w:sz w:val="19"/>
                  <w:u w:val="single"/>
                </w:rPr>
                <w:t>’s Current Report on Form 8-K (File No. 001-36505) filed on September 28, 2023)</w:t>
              </w:r>
            </w:hyperlink>
            <w:hyperlink r:id="rId19">
              <w:r>
                <w:rPr>
                  <w:rStyle w:val="InternetLink"/>
                  <w:rFonts w:ascii="Times New Roman;sans-serif" w:hAnsi="Times New Roman;sans-serif"/>
                  <w:b w:val="false"/>
                  <w:color w:val="000080"/>
                  <w:sz w:val="19"/>
                  <w:u w:val="single"/>
                </w:rPr>
                <w:t>.</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r:id="rId20">
              <w:r>
                <w:rPr>
                  <w:rStyle w:val="InternetLink"/>
                  <w:rFonts w:ascii="Times New Roman;sans-serif" w:hAnsi="Times New Roman;sans-serif"/>
                  <w:b w:val="false"/>
                  <w:color w:val="000080"/>
                  <w:sz w:val="19"/>
                  <w:u w:val="single"/>
                </w:rPr>
                <w:t>Twelfth Amendment to Amended and Restated Senior Secured Revolving Credit Agreement dated as of September 22, 2023, by and among Viper Energy Partners LLC, as borrower, Viper Energy Partners LP, as parent guarantor, Wells Fargo Bank, National Association, as administrative agent, and the lenders party thereto</w:t>
              </w:r>
            </w:hyperlink>
            <w:hyperlink r:id="rId21">
              <w:r>
                <w:rPr>
                  <w:rStyle w:val="InternetLink"/>
                  <w:rFonts w:ascii="Times New Roman;sans-serif" w:hAnsi="Times New Roman;sans-serif"/>
                  <w:b w:val="false"/>
                  <w:color w:val="000080"/>
                  <w:sz w:val="19"/>
                  <w:u w:val="single"/>
                </w:rPr>
                <w:t xml:space="preserve"> </w:t>
              </w:r>
            </w:hyperlink>
            <w:hyperlink r:id="rId22">
              <w:r>
                <w:rPr>
                  <w:rStyle w:val="InternetLink"/>
                  <w:rFonts w:ascii="Times New Roman;sans-serif" w:hAnsi="Times New Roman;sans-serif"/>
                  <w:b w:val="false"/>
                  <w:color w:val="000080"/>
                  <w:sz w:val="19"/>
                  <w:u w:val="single"/>
                </w:rPr>
                <w:t xml:space="preserve">(incorporated by reference to Exhibit 10.2 of </w:t>
              </w:r>
            </w:hyperlink>
            <w:hyperlink r:id="rId23">
              <w:r>
                <w:rPr>
                  <w:rStyle w:val="InternetLink"/>
                  <w:rFonts w:ascii="Times New Roman;sans-serif" w:hAnsi="Times New Roman;sans-serif"/>
                  <w:b w:val="false"/>
                  <w:color w:val="000080"/>
                  <w:sz w:val="19"/>
                  <w:u w:val="single"/>
                </w:rPr>
                <w:t>Viper</w:t>
              </w:r>
            </w:hyperlink>
            <w:hyperlink r:id="rId24">
              <w:r>
                <w:rPr>
                  <w:rStyle w:val="InternetLink"/>
                  <w:rFonts w:ascii="Times New Roman;sans-serif" w:hAnsi="Times New Roman;sans-serif"/>
                  <w:b w:val="false"/>
                  <w:color w:val="000080"/>
                  <w:sz w:val="19"/>
                  <w:u w:val="single"/>
                </w:rPr>
                <w:t>’s Current Report on Form 8-K (File No. 001-36505) filed on September 28, 2023</w:t>
              </w:r>
            </w:hyperlink>
            <w:r>
              <w:rPr>
                <w:rFonts w:ascii="Times New Roman;sans-serif" w:hAnsi="Times New Roman;sans-serif"/>
                <w:b w:val="false"/>
                <w:color w:val="000000"/>
                <w:sz w:val="19"/>
              </w:rPr>
              <w:t>)</w:t>
            </w:r>
            <w:hyperlink r:id="rId25">
              <w:r>
                <w:rPr>
                  <w:rStyle w:val="InternetLink"/>
                  <w:rFonts w:ascii="Times New Roman;sans-serif" w:hAnsi="Times New Roman;sans-serif"/>
                  <w:b w:val="false"/>
                  <w:color w:val="0000FF"/>
                  <w:sz w:val="19"/>
                  <w:u w:val="single"/>
                </w:rPr>
                <w:t>.</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22.1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r:id="rId26">
              <w:r>
                <w:rPr>
                  <w:rStyle w:val="InternetLink"/>
                  <w:rFonts w:ascii="Times New Roman;sans-serif" w:hAnsi="Times New Roman;sans-serif"/>
                  <w:b w:val="false"/>
                  <w:color w:val="0000FF"/>
                  <w:sz w:val="19"/>
                  <w:u w:val="single"/>
                </w:rPr>
                <w:t>List of Issuers and Guarantor Subsidiaries (incorporated by reference to Exhibit 22.1 to the Form 10-Q, File No. 001-35700, filed by the Company with the SEC on August 5, 2021).</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32023diamondback10-qxex311.htm">
              <w:r>
                <w:rPr>
                  <w:rStyle w:val="InternetLink"/>
                  <w:rFonts w:ascii="Times New Roman;sans-serif" w:hAnsi="Times New Roman;sans-serif"/>
                  <w:b w:val="false"/>
                  <w:color w:val="0000FF"/>
                  <w:sz w:val="19"/>
                  <w:u w:val="single"/>
                </w:rPr>
                <w:t>Certification of Chief Executive Officer of the Registrant pursuant to Rule 13a-14(a) promulgated under the Securities Exchange Act of 1934, as amended.</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32023diamondback10-qxex312.htm">
              <w:r>
                <w:rPr>
                  <w:rStyle w:val="InternetLink"/>
                  <w:rFonts w:ascii="Times New Roman;sans-serif" w:hAnsi="Times New Roman;sans-serif"/>
                  <w:b w:val="false"/>
                  <w:color w:val="0000FF"/>
                  <w:sz w:val="19"/>
                  <w:u w:val="single"/>
                </w:rPr>
                <w:t>Certification of Chief Financial Officer of the Registrant pursuant to Rule 13a-14(a) promulgated under the Securities Exchange Act of 1934, as amended.</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both"/>
              <w:rPr/>
            </w:pPr>
            <w:hyperlink w:anchor="q32023diamondback10-qxex321.htm">
              <w:r>
                <w:rPr>
                  <w:rStyle w:val="InternetLink"/>
                  <w:rFonts w:ascii="Times New Roman;sans-serif" w:hAnsi="Times New Roman;sans-serif"/>
                  <w:b w:val="false"/>
                  <w:color w:val="0000FF"/>
                  <w:sz w:val="19"/>
                  <w:u w:val="single"/>
                </w:rPr>
                <w:t>Certification of Chief Executive Officer of the Registrant pursuant to Rule 13a-14(b) promulgated under the Securities Exchange Act of 1934, as amended, and Section 1350 of Chapter 63 of Title 18 of the United States Code.</w:t>
              </w:r>
            </w:hyperlink>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9"/>
              </w:rPr>
            </w:pPr>
            <w:r>
              <w:rPr>
                <w:rFonts w:ascii="Times New Roman;sans-serif" w:hAnsi="Times New Roman;sans-serif"/>
                <w:b w:val="false"/>
                <w:color w:val="000000"/>
                <w:sz w:val="19"/>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pPr>
            <w:hyperlink w:anchor="q32023diamondback10-qxex322.htm">
              <w:r>
                <w:rPr>
                  <w:rStyle w:val="InternetLink"/>
                  <w:rFonts w:ascii="Times New Roman;sans-serif" w:hAnsi="Times New Roman;sans-serif"/>
                  <w:b w:val="false"/>
                  <w:color w:val="0000FF"/>
                  <w:sz w:val="19"/>
                  <w:u w:val="single"/>
                </w:rPr>
                <w:t>Certification of Chief Financial Officer of the Registrant pursuant to Rule 13a-14(b) promulgated under the Securities Exchange Act of 1934, as amended, and Section 1350 of Chapter 63 of Title 18 of the United States Code.</w:t>
              </w:r>
            </w:hyperlink>
          </w:p>
        </w:tc>
      </w:tr>
      <w:tr>
        <w:trPr/>
        <w:tc>
          <w:tcPr>
            <w:tcW w:w="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The following financial information from the Company’s Quarterly Report on Form 10-Q for the quarter ended September 30, 2023,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tc>
      </w:tr>
      <w:tr>
        <w:trPr/>
        <w:tc>
          <w:tcPr>
            <w:tcW w:w="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19"/>
              </w:rPr>
            </w:pPr>
            <w:r>
              <w:rPr>
                <w:rFonts w:ascii="Times New Roman;sans-serif" w:hAnsi="Times New Roman;sans-serif"/>
                <w:b w:val="false"/>
                <w:color w:val="000000"/>
                <w:sz w:val="19"/>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Filed herewith.</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120"/>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120"/>
              <w:jc w:val="both"/>
              <w:rPr>
                <w:rFonts w:ascii="Times New Roman;sans-serif" w:hAnsi="Times New Roman;sans-serif"/>
                <w:b w:val="false"/>
                <w:color w:val="000000"/>
                <w:sz w:val="19"/>
              </w:rPr>
            </w:pPr>
            <w:r>
              <w:rPr>
                <w:rFonts w:ascii="Times New Roman;sans-serif" w:hAnsi="Times New Roman;sans-serif"/>
                <w:b w:val="false"/>
                <w:color w:val="000000"/>
                <w:sz w:val="19"/>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a9e4db464c2249aebaf424c72b2cbe2e_7">
        <w:r>
          <w:rPr>
            <w:rStyle w:val="InternetLink"/>
            <w:rFonts w:ascii="Times New Roman;sans-serif" w:hAnsi="Times New Roman;sans-serif"/>
            <w:b w:val="false"/>
            <w:color w:val="0000FF"/>
            <w:sz w:val="16"/>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and Exchange Act of 1934, the Registrant has duly caused this report to be signed on its behalf by the undersigned thereunto duly authorized.</w:t>
      </w:r>
    </w:p>
    <w:p>
      <w:pPr>
        <w:pStyle w:val="TextBody"/>
        <w:bidi w:val="0"/>
        <w:spacing w:before="0" w:after="0"/>
        <w:ind w:left="0" w:right="0" w:firstLine="720"/>
        <w:jc w:val="both"/>
        <w:rPr/>
      </w:pPr>
      <w:r>
        <w:rPr/>
      </w:r>
    </w:p>
    <w:tbl>
      <w:tblPr>
        <w:tblW w:w="5053"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847"/>
        <w:gridCol w:w="847"/>
        <w:gridCol w:w="120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DIAMONDBACK ENERGY,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Travis D. Stice,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599"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Kaes Van't Hof, certify that: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I have reviewed this Quarterly Report on Form 10-Q of Diamondback Energy, Inc.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00" w:after="283"/>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00" w:after="60"/>
        <w:ind w:left="0" w:right="0" w:hanging="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Travis D. Stice, Chief Executive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599"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603"/>
        <w:gridCol w:w="603"/>
        <w:gridCol w:w="863"/>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Travis D. Stice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12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PERIOD REPORT </w:t>
      </w:r>
    </w:p>
    <w:p>
      <w:pPr>
        <w:pStyle w:val="TextBody"/>
        <w:bidi w:val="0"/>
        <w:spacing w:lineRule="auto" w:line="288" w:before="18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Diamondback Energy, Inc. (the "Company"), as filed with the Securities and Exchange Commission on the date hereof (the "Report"), I, the undersigned, Kaes Van't Hof, Chief Financial Officer of Diamondback Energy, Inc., certify, pursuant to Section 906 of the Sarbanes-Oxley Act of 2002, 18 U.S.C. Section 1350, that, to the best of my knowledge: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the Report fully complies with the requirements of Section 13(a) or 15(d) of the Securities Exchange Act of 1934 (15 U.S.C. 78m(a) or 78o(d)); and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 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4540" w:type="dxa"/>
        <w:jc w:val="left"/>
        <w:tblInd w:w="0" w:type="dxa"/>
        <w:tblLayout w:type="fixed"/>
        <w:tblCellMar>
          <w:top w:w="28" w:type="dxa"/>
          <w:left w:w="28" w:type="dxa"/>
          <w:bottom w:w="28" w:type="dxa"/>
          <w:right w:w="28" w:type="dxa"/>
        </w:tblCellMar>
      </w:tblPr>
      <w:tblGrid>
        <w:gridCol w:w="216"/>
        <w:gridCol w:w="191"/>
        <w:gridCol w:w="192"/>
        <w:gridCol w:w="534"/>
        <w:gridCol w:w="534"/>
        <w:gridCol w:w="536"/>
        <w:gridCol w:w="109"/>
        <w:gridCol w:w="109"/>
        <w:gridCol w:w="109"/>
        <w:gridCol w:w="588"/>
        <w:gridCol w:w="588"/>
        <w:gridCol w:w="834"/>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8,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Kaes Van't Hof</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30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1539838/000153983823000022/fang-20221231.htm" TargetMode="External"/><Relationship Id="rId3" Type="http://schemas.openxmlformats.org/officeDocument/2006/relationships/hyperlink" Target="https://www.sec.gov/Archives/edgar/data/1748773/000119312522151937/d360984dex21.htm" TargetMode="External"/><Relationship Id="rId4" Type="http://schemas.openxmlformats.org/officeDocument/2006/relationships/hyperlink" Target="http://www.sec.gov/Archives/edgar/data/1539838/000153983823000086/diamondbackex31-6x14x23.htm" TargetMode="External"/><Relationship Id="rId5" Type="http://schemas.openxmlformats.org/officeDocument/2006/relationships/hyperlink" Target="http://www.sec.gov/Archives/edgar/data/1539838/000153983823000086/diamondbackex32-6x14x23.htm" TargetMode="External"/><Relationship Id="rId6" Type="http://schemas.openxmlformats.org/officeDocument/2006/relationships/hyperlink" Target="http://www.sec.gov/Archives/edgar/data/1539838/000119312512360997/d295327dex41.htm" TargetMode="External"/><Relationship Id="rId7" Type="http://schemas.openxmlformats.org/officeDocument/2006/relationships/hyperlink" Target="https://www.sec.gov/Archives/edgar/data/1539838/000119312521148164/d301323dex43.htm" TargetMode="External"/><Relationship Id="rId8" Type="http://schemas.openxmlformats.org/officeDocument/2006/relationships/hyperlink" Target="https://www.sec.gov/Archives/edgar/data/1539838/000119312521148164/d301323dex43.htm" TargetMode="External"/><Relationship Id="rId9" Type="http://schemas.openxmlformats.org/officeDocument/2006/relationships/hyperlink" Target="https://www.sec.gov/Archives/edgar/data/1539838/000119312521148164/d301323dex43.htm" TargetMode="External"/><Relationship Id="rId10" Type="http://schemas.openxmlformats.org/officeDocument/2006/relationships/hyperlink" Target="https://www.sec.gov/Archives/edgar/data/1539838/000119312521148164/d301323dex44.htm" TargetMode="External"/><Relationship Id="rId11" Type="http://schemas.openxmlformats.org/officeDocument/2006/relationships/hyperlink" Target="https://www.sec.gov/Archives/edgar/data/1539838/000119312521148164/d301323dex44.htm" TargetMode="External"/><Relationship Id="rId12" Type="http://schemas.openxmlformats.org/officeDocument/2006/relationships/hyperlink" Target="https://www.sec.gov/Archives/edgar/data/1539838/000119312521148164/d301323dex44.htm" TargetMode="External"/><Relationship Id="rId13" Type="http://schemas.openxmlformats.org/officeDocument/2006/relationships/hyperlink" Target="http://www.sec.gov/Archives/edgar/data/1602065/000160206523000024/viperex101-6x6x22.htm" TargetMode="External"/><Relationship Id="rId14" Type="http://schemas.openxmlformats.org/officeDocument/2006/relationships/hyperlink" Target="https://www.sec.gov/Archives/edgar/data/1602065/000160206523000059/viperex101-9x28x23.htm" TargetMode="External"/><Relationship Id="rId15" Type="http://schemas.openxmlformats.org/officeDocument/2006/relationships/hyperlink" Target="https://www.sec.gov/Archives/edgar/data/1602065/000160206523000059/viperex101-9x28x23.htm" TargetMode="External"/><Relationship Id="rId16" Type="http://schemas.openxmlformats.org/officeDocument/2006/relationships/hyperlink" Target="https://www.sec.gov/Archives/edgar/data/1602065/000160206523000056/viperex101-9x7x23.htm" TargetMode="External"/><Relationship Id="rId17" Type="http://schemas.openxmlformats.org/officeDocument/2006/relationships/hyperlink" Target="https://www.sec.gov/Archives/edgar/data/1602065/000160206523000056/viperex101-9x7x23.htm" TargetMode="External"/><Relationship Id="rId18" Type="http://schemas.openxmlformats.org/officeDocument/2006/relationships/hyperlink" Target="https://www.sec.gov/Archives/edgar/data/1602065/000160206523000056/viperex101-9x7x23.htm" TargetMode="External"/><Relationship Id="rId19" Type="http://schemas.openxmlformats.org/officeDocument/2006/relationships/hyperlink" Target="https://www.sec.gov/Archives/edgar/data/1602065/000160206523000059/viperex101-9x28x23.htm" TargetMode="External"/><Relationship Id="rId20" Type="http://schemas.openxmlformats.org/officeDocument/2006/relationships/hyperlink" Target="https://www.sec.gov/Archives/edgar/data/1602065/000160206523000059/viperex102-9x28x23.htm" TargetMode="External"/><Relationship Id="rId21" Type="http://schemas.openxmlformats.org/officeDocument/2006/relationships/hyperlink" Target="https://www.sec.gov/Archives/edgar/data/1602065/000160206523000059/viperex102-9x28x23.htm" TargetMode="External"/><Relationship Id="rId22" Type="http://schemas.openxmlformats.org/officeDocument/2006/relationships/hyperlink" Target="https://www.sec.gov/Archives/edgar/data/1602065/000160206523000056/viperex101-9x7x23.htm" TargetMode="External"/><Relationship Id="rId23" Type="http://schemas.openxmlformats.org/officeDocument/2006/relationships/hyperlink" Target="https://www.sec.gov/Archives/edgar/data/1602065/000160206523000056/viperex101-9x7x23.htm" TargetMode="External"/><Relationship Id="rId24" Type="http://schemas.openxmlformats.org/officeDocument/2006/relationships/hyperlink" Target="https://www.sec.gov/Archives/edgar/data/1602065/000160206523000056/viperex101-9x7x23.htm" TargetMode="External"/><Relationship Id="rId25" Type="http://schemas.openxmlformats.org/officeDocument/2006/relationships/hyperlink" Target="https://www.sec.gov/Archives/edgar/data/1602065/000160206523000059/viperex102-9x28x23.htm" TargetMode="External"/><Relationship Id="rId26" Type="http://schemas.openxmlformats.org/officeDocument/2006/relationships/hyperlink" Target="https://www.sec.gov/Archives/edgar/data/1539838/000153983821000117/diamondback-ex211x82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27180</Words>
  <Characters>147617</Characters>
  <CharactersWithSpaces>172525</CharactersWithSpaces>
  <Paragraphs>4394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