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236220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190500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UNDER SECTION 13 OR 15(d) OF THE SECURITIES EXCHANGE ACT OF</w:t>
      </w:r>
    </w:p>
    <w:p>
      <w:pPr>
        <w:spacing w:after="0" w:line="3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680" w:hanging="645"/>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UNDER SECTION 13 OR 15(d) OF SECURITIES EXCHANGE ACT OF 1934</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001-35700</w:t>
      </w: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-274320</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3700" w:type="dxa"/>
            <w:vAlign w:val="bottom"/>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4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00" w:type="dxa"/>
            <w:vAlign w:val="bottom"/>
          </w:tcPr>
          <w:p>
            <w:pPr>
              <w:jc w:val="center"/>
              <w:ind w:left="1123"/>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625"/>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9"/>
              </w:rPr>
              <w:t>500 West Texas</w:t>
            </w:r>
          </w:p>
        </w:tc>
        <w:tc>
          <w:tcPr>
            <w:tcW w:w="3700" w:type="dxa"/>
            <w:vAlign w:val="bottom"/>
          </w:tcPr>
          <w:p>
            <w:pPr>
              <w:spacing w:after="0"/>
              <w:rPr>
                <w:sz w:val="24"/>
                <w:szCs w:val="24"/>
                <w:color w:val="auto"/>
              </w:rPr>
            </w:pPr>
          </w:p>
        </w:tc>
      </w:tr>
      <w:tr>
        <w:trPr>
          <w:trHeight w:val="270"/>
        </w:trPr>
        <w:tc>
          <w:tcPr>
            <w:tcW w:w="5020" w:type="dxa"/>
            <w:vAlign w:val="bottom"/>
          </w:tcPr>
          <w:p>
            <w:pPr>
              <w:jc w:val="center"/>
              <w:ind w:right="1102"/>
              <w:spacing w:after="0"/>
              <w:rPr>
                <w:sz w:val="20"/>
                <w:szCs w:val="20"/>
                <w:color w:val="auto"/>
              </w:rPr>
            </w:pPr>
            <w:r>
              <w:rPr>
                <w:rFonts w:ascii="Times New Roman" w:cs="Times New Roman" w:eastAsia="Times New Roman" w:hAnsi="Times New Roman"/>
                <w:sz w:val="16"/>
                <w:szCs w:val="16"/>
                <w:b w:val="1"/>
                <w:bCs w:val="1"/>
                <w:color w:val="auto"/>
              </w:rPr>
              <w:t>Suite 1200</w:t>
            </w:r>
          </w:p>
        </w:tc>
        <w:tc>
          <w:tcPr>
            <w:tcW w:w="3700" w:type="dxa"/>
            <w:vAlign w:val="bottom"/>
          </w:tcPr>
          <w:p>
            <w:pPr>
              <w:spacing w:after="0"/>
              <w:rPr>
                <w:sz w:val="23"/>
                <w:szCs w:val="23"/>
                <w:color w:val="auto"/>
              </w:rPr>
            </w:pPr>
          </w:p>
        </w:tc>
      </w:tr>
      <w:tr>
        <w:trPr>
          <w:trHeight w:val="270"/>
        </w:trPr>
        <w:tc>
          <w:tcPr>
            <w:tcW w:w="502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3700" w:type="dxa"/>
            <w:vAlign w:val="bottom"/>
          </w:tcPr>
          <w:p>
            <w:pPr>
              <w:jc w:val="right"/>
              <w:ind w:right="963"/>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44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00" w:type="dxa"/>
            <w:vAlign w:val="bottom"/>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420"/>
          </w:cols>
          <w:pgMar w:left="240" w:top="889" w:right="239" w:bottom="757" w:gutter="0" w:footer="0" w:header="0"/>
        </w:sectPr>
      </w:pPr>
    </w:p>
    <w:p>
      <w:pPr>
        <w:spacing w:after="0" w:line="197"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75" w:lineRule="exact"/>
        <w:rPr>
          <w:sz w:val="24"/>
          <w:szCs w:val="24"/>
          <w:color w:val="auto"/>
        </w:rPr>
      </w:pPr>
    </w:p>
    <w:p>
      <w:pPr>
        <w:sectPr>
          <w:pgSz w:w="11900" w:h="16838" w:orient="portrait"/>
          <w:cols w:equalWidth="0" w:num="3">
            <w:col w:w="3540" w:space="420"/>
            <w:col w:w="1300" w:space="620"/>
            <w:col w:w="5540"/>
          </w:cols>
          <w:pgMar w:left="240" w:top="889" w:right="239" w:bottom="757" w:gutter="0" w:footer="0" w:header="0"/>
          <w:type w:val="continuous"/>
        </w:sectPr>
      </w:pPr>
    </w:p>
    <w:p>
      <w:pPr>
        <w:ind w:left="2440"/>
        <w:spacing w:after="0"/>
        <w:rPr>
          <w:sz w:val="20"/>
          <w:szCs w:val="20"/>
          <w:color w:val="auto"/>
        </w:rPr>
      </w:pPr>
      <w:r>
        <w:rPr>
          <w:rFonts w:ascii="Times New Roman" w:cs="Times New Roman" w:eastAsia="Times New Roman" w:hAnsi="Times New Roman"/>
          <w:sz w:val="15"/>
          <w:szCs w:val="15"/>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86" w:lineRule="exact"/>
        <w:rPr>
          <w:sz w:val="24"/>
          <w:szCs w:val="24"/>
          <w:color w:val="auto"/>
        </w:rPr>
      </w:pPr>
    </w:p>
    <w:p>
      <w:pPr>
        <w:sectPr>
          <w:pgSz w:w="11900" w:h="16838" w:orient="portrait"/>
          <w:cols w:equalWidth="0" w:num="3">
            <w:col w:w="3680" w:space="720"/>
            <w:col w:w="1240" w:space="720"/>
            <w:col w:w="5060"/>
          </w:cols>
          <w:pgMar w:left="240" w:top="889" w:right="239" w:bottom="757" w:gutter="0" w:footer="0" w:header="0"/>
          <w:type w:val="continuous"/>
        </w:sectPr>
      </w:pPr>
    </w:p>
    <w:p>
      <w:pPr>
        <w:ind w:left="6280"/>
        <w:spacing w:after="0"/>
        <w:rPr>
          <w:sz w:val="20"/>
          <w:szCs w:val="20"/>
          <w:color w:val="auto"/>
        </w:rPr>
      </w:pPr>
      <w:r>
        <w:rPr>
          <w:rFonts w:ascii="Times New Roman" w:cs="Times New Roman" w:eastAsia="Times New Roman" w:hAnsi="Times New Roman"/>
          <w:sz w:val="16"/>
          <w:szCs w:val="16"/>
          <w:color w:val="auto"/>
        </w:rPr>
        <w:t>(NASDAQ Global Select Market)</w:t>
      </w:r>
    </w:p>
    <w:p>
      <w:pPr>
        <w:sectPr>
          <w:pgSz w:w="11900" w:h="16838" w:orient="portrait"/>
          <w:cols w:equalWidth="0" w:num="1">
            <w:col w:w="11420"/>
          </w:cols>
          <w:pgMar w:left="240" w:top="889" w:right="239" w:bottom="757" w:gutter="0" w:footer="0" w:header="0"/>
          <w:type w:val="continuous"/>
        </w:sectPr>
      </w:pPr>
    </w:p>
    <w:p>
      <w:pPr>
        <w:spacing w:after="0" w:line="208" w:lineRule="exact"/>
        <w:rPr>
          <w:sz w:val="24"/>
          <w:szCs w:val="24"/>
          <w:color w:val="auto"/>
        </w:rPr>
      </w:pPr>
    </w:p>
    <w:p>
      <w:pPr>
        <w:jc w:val="both"/>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p>
    <w:p>
      <w:pPr>
        <w:spacing w:after="0" w:line="376" w:lineRule="exact"/>
        <w:rPr>
          <w:sz w:val="24"/>
          <w:szCs w:val="24"/>
          <w:color w:val="auto"/>
        </w:rPr>
      </w:pPr>
    </w:p>
    <w:p>
      <w:pPr>
        <w:ind w:right="12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p>
    <w:p>
      <w:pPr>
        <w:spacing w:after="0" w:line="213" w:lineRule="exact"/>
        <w:rPr>
          <w:sz w:val="24"/>
          <w:szCs w:val="24"/>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23"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84" w:lineRule="exact"/>
        <w:tabs>
          <w:tab w:leader="none" w:pos="7520" w:val="left"/>
          <w:tab w:leader="none" w:pos="81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1, 2019, the registrant had 160,444,608 shares of common stock outstanding.</w:t>
      </w:r>
    </w:p>
    <w:p>
      <w:pPr>
        <w:sectPr>
          <w:pgSz w:w="11900" w:h="16838" w:orient="portrait"/>
          <w:cols w:equalWidth="0" w:num="1">
            <w:col w:w="11420"/>
          </w:cols>
          <w:pgMar w:left="240" w:top="889" w:right="239" w:bottom="75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9"/>
            <w:shd w:val="clear" w:color="auto" w:fill="CCEEFF"/>
          </w:tcPr>
          <w:p>
            <w:pPr>
              <w:spacing w:after="0" w:line="163"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Glossary of Oil and Natural Gas Terms</w:t>
              </w:r>
            </w:hyperlink>
          </w:p>
        </w:tc>
        <w:tc>
          <w:tcPr>
            <w:tcW w:w="7880" w:type="dxa"/>
            <w:vAlign w:val="bottom"/>
            <w:tcBorders>
              <w:bottom w:val="single" w:sz="8" w:color="CCEEFF"/>
            </w:tcBorders>
            <w:gridSpan w:val="14"/>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ii</w:t>
              </w:r>
            </w:hyperlink>
          </w:p>
        </w:tc>
        <w:tc>
          <w:tcPr>
            <w:tcW w:w="28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4"/>
          </w:tcPr>
          <w:p>
            <w:pPr>
              <w:jc w:val="center"/>
              <w:ind w:right="260"/>
              <w:spacing w:after="0" w:line="202" w:lineRule="exact"/>
              <w:rPr>
                <w:rFonts w:ascii="Times New Roman" w:cs="Times New Roman" w:eastAsia="Times New Roman" w:hAnsi="Times New Roman"/>
                <w:sz w:val="18"/>
                <w:szCs w:val="18"/>
                <w:color w:val="0000EE"/>
                <w:w w:val="85"/>
              </w:rPr>
            </w:pPr>
            <w:hyperlink w:anchor="page5">
              <w:r>
                <w:rPr>
                  <w:rFonts w:ascii="Times New Roman" w:cs="Times New Roman" w:eastAsia="Times New Roman" w:hAnsi="Times New Roman"/>
                  <w:sz w:val="18"/>
                  <w:szCs w:val="18"/>
                  <w:color w:val="0000EE"/>
                  <w:w w:val="85"/>
                </w:rPr>
                <w:t>iv</w:t>
              </w:r>
            </w:hyperlink>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4"/>
            <w:shd w:val="clear" w:color="auto" w:fill="CCEEFF"/>
          </w:tcPr>
          <w:p>
            <w:pPr>
              <w:jc w:val="center"/>
              <w:ind w:right="30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560" w:type="dxa"/>
            <w:vAlign w:val="bottom"/>
            <w:gridSpan w:val="10"/>
            <w:shd w:val="clear" w:color="auto" w:fill="CCEEFF"/>
          </w:tcPr>
          <w:p>
            <w:pPr>
              <w:jc w:val="center"/>
              <w:ind w:right="35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gridSpan w:val="13"/>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Item 1. Consolidated Financial Statements (Unaudited)</w:t>
              </w:r>
            </w:hyperlink>
          </w:p>
        </w:tc>
        <w:tc>
          <w:tcPr>
            <w:tcW w:w="3060" w:type="dxa"/>
            <w:vAlign w:val="bottom"/>
            <w:tcBorders>
              <w:top w:val="single" w:sz="8" w:color="auto"/>
            </w:tcBorders>
            <w:gridSpan w:val="9"/>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Consolidated Balance Sheets</w:t>
              </w:r>
            </w:hyperlink>
          </w:p>
        </w:tc>
        <w:tc>
          <w:tcPr>
            <w:tcW w:w="7940" w:type="dxa"/>
            <w:vAlign w:val="bottom"/>
            <w:gridSpan w:val="15"/>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1</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22"/>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Statements of Operations</w:t>
              </w:r>
            </w:hyperlink>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54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Consolidated Statements of Stockholders’ Equity</w:t>
              </w:r>
            </w:hyperlink>
          </w:p>
        </w:tc>
        <w:tc>
          <w:tcPr>
            <w:tcW w:w="6480" w:type="dxa"/>
            <w:vAlign w:val="bottom"/>
            <w:gridSpan w:val="9"/>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4</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gridSpan w:val="13"/>
          </w:tcPr>
          <w:p>
            <w:pPr>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Consolidated Statements of Cash Flows</w:t>
              </w:r>
            </w:hyperlink>
          </w:p>
        </w:tc>
        <w:tc>
          <w:tcPr>
            <w:tcW w:w="6480" w:type="dxa"/>
            <w:vAlign w:val="bottom"/>
            <w:gridSpan w:val="9"/>
          </w:tcPr>
          <w:p>
            <w:pPr>
              <w:spacing w:after="0"/>
              <w:rPr>
                <w:sz w:val="17"/>
                <w:szCs w:val="17"/>
                <w:color w:val="auto"/>
              </w:rPr>
            </w:pPr>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6</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2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Condensed Notes to Consolidated Financial Statements</w:t>
              </w:r>
            </w:hyperlink>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8</w:t>
              </w:r>
            </w:hyperlink>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2. Management’s Discussion and Analysis of Financial Conditions and Results of Operations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54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3. Quantitative and Qualitative Disclosures about Market Risk</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74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4. Controls and Procedures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75</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364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 Legal Proceedings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76</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1A. Risk Factors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76</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2. Unregistered Sales of Equity Securities and Use of Proceeds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76</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6. Exhibits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77</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gridSpan w:val="2"/>
          </w:tcPr>
          <w:p>
            <w:pPr>
              <w:spacing w:after="0" w:line="202" w:lineRule="exact"/>
              <w:rPr>
                <w:rFonts w:ascii="Times New Roman" w:cs="Times New Roman" w:eastAsia="Times New Roman" w:hAnsi="Times New Roman"/>
                <w:sz w:val="18"/>
                <w:szCs w:val="18"/>
                <w:color w:val="0000EE"/>
                <w:w w:val="97"/>
              </w:rPr>
            </w:pPr>
            <w:hyperlink w:anchor="page85">
              <w:r>
                <w:rPr>
                  <w:rFonts w:ascii="Times New Roman" w:cs="Times New Roman" w:eastAsia="Times New Roman" w:hAnsi="Times New Roman"/>
                  <w:sz w:val="18"/>
                  <w:szCs w:val="18"/>
                  <w:color w:val="0000EE"/>
                  <w:w w:val="97"/>
                </w:rPr>
                <w:t>Signatures</w:t>
              </w:r>
            </w:hyperlink>
          </w:p>
        </w:tc>
        <w:tc>
          <w:tcPr>
            <w:tcW w:w="9940" w:type="dxa"/>
            <w:vAlign w:val="bottom"/>
            <w:gridSpan w:val="21"/>
          </w:tcPr>
          <w:p>
            <w:pPr>
              <w:spacing w:after="0"/>
              <w:rPr>
                <w:sz w:val="17"/>
                <w:szCs w:val="17"/>
                <w:color w:val="auto"/>
              </w:rPr>
            </w:pPr>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79</w:t>
              </w:r>
            </w:hyperlink>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671"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gas terms that are used in this Quarterly Report on Form 10-Q (this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Basin</w:t>
            </w:r>
          </w:p>
        </w:tc>
        <w:tc>
          <w:tcPr>
            <w:tcW w:w="866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Bbl</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tank barrel, or 42 U.S. gallons liquid volume, used in this report in reference to crude oil or other liquid</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BOE/d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Finding and development costs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working interest is owned.</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drilling</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Thousand barrels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Thousand cubic feet of natural gas.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Mineral interests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extracted resources.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acres or net wells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sum of the fractional working interest owned in gross acres.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Operator</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Plugging and abandonment</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Refers to the sealing off of fluids in the strata penetrated by a well so that the fluids from one stratum will not</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escape into another or to the surface. Regulations of all states require plugging of abandoned wells.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Prospect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preliminary economic analysis using reasonably anticipated prices and costs, is deemed to have potential for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discovery of commercial 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Proved reserves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demonstrate with reasonable certainty to be commercially recoverable in future years from known reservoirs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 existing economic and operating conditions.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must exist, or there must be a reasonable expectation that there will exist, the legal right to produce or a revenue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in the production, installed means of delivering oil and natural gas or related substances to the market</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all permits and financing required to implement the project. Reserves are not assigned to adjacent reservoirs</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isolated by major, potentially sealing, faults until those reservoirs are penetrated and evaluated as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Reserves should not be assigned to areas that are clearly separated from a known accumulation by 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non-productive reservoir (i.e., absence of reservoir, structurally low reservoir or negative test results). Such areas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contain prospective resources (i.e., potentially recoverable resources from undiscovered accumulations).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Reservoir</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and/or oil that is confined by impermeable rock or water barriers and is separate from other reservoirs.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interest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any costs of development.</w:t>
            </w:r>
          </w:p>
        </w:tc>
      </w:tr>
      <w:tr>
        <w:trPr>
          <w:trHeight w:val="27"/>
        </w:trPr>
        <w:tc>
          <w:tcPr>
            <w:tcW w:w="27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r>
        <w:trPr>
          <w:trHeight w:val="453"/>
        </w:trPr>
        <w:tc>
          <w:tcPr>
            <w:tcW w:w="2760" w:type="dxa"/>
            <w:vAlign w:val="bottom"/>
          </w:tcPr>
          <w:p>
            <w:pPr>
              <w:spacing w:after="0"/>
              <w:rPr>
                <w:sz w:val="24"/>
                <w:szCs w:val="24"/>
                <w:color w:val="auto"/>
              </w:rPr>
            </w:pPr>
          </w:p>
        </w:tc>
        <w:tc>
          <w:tcPr>
            <w:tcW w:w="86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Spacing</w:t>
            </w:r>
          </w:p>
        </w:tc>
        <w:tc>
          <w:tcPr>
            <w:tcW w:w="9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w:t>
            </w:r>
          </w:p>
        </w:tc>
      </w:tr>
      <w:tr>
        <w:trPr>
          <w:trHeight w:val="241"/>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(e.g., 40-acre spacing) and is often established by regulatory agencies.</w:t>
            </w:r>
          </w:p>
        </w:tc>
      </w:tr>
      <w:tr>
        <w:trPr>
          <w:trHeight w:val="225"/>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interest</w:t>
            </w: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w:t>
            </w:r>
          </w:p>
        </w:tc>
      </w:tr>
      <w:tr>
        <w:trPr>
          <w:trHeight w:val="216"/>
        </w:trPr>
        <w:tc>
          <w:tcPr>
            <w:tcW w:w="2240" w:type="dxa"/>
            <w:vAlign w:val="bottom"/>
          </w:tcPr>
          <w:p>
            <w:pPr>
              <w:spacing w:after="0"/>
              <w:rPr>
                <w:sz w:val="18"/>
                <w:szCs w:val="18"/>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property and receive a share of production and requires the owner to pay a share of the costs of drilling and</w:t>
            </w:r>
          </w:p>
        </w:tc>
      </w:tr>
      <w:tr>
        <w:trPr>
          <w:trHeight w:val="234"/>
        </w:trPr>
        <w:tc>
          <w:tcPr>
            <w:tcW w:w="224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production operations.</w:t>
            </w:r>
          </w:p>
        </w:tc>
      </w:tr>
      <w:tr>
        <w:trPr>
          <w:trHeight w:val="27"/>
        </w:trPr>
        <w:tc>
          <w:tcPr>
            <w:tcW w:w="224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r>
      <w:tr>
        <w:trPr>
          <w:trHeight w:val="453"/>
        </w:trPr>
        <w:tc>
          <w:tcPr>
            <w:tcW w:w="2240" w:type="dxa"/>
            <w:vAlign w:val="bottom"/>
          </w:tcPr>
          <w:p>
            <w:pPr>
              <w:spacing w:after="0"/>
              <w:rPr>
                <w:sz w:val="24"/>
                <w:szCs w:val="24"/>
                <w:color w:val="auto"/>
              </w:rPr>
            </w:pPr>
          </w:p>
        </w:tc>
        <w:tc>
          <w:tcPr>
            <w:tcW w:w="91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5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35"/>
        </w:trPr>
        <w:tc>
          <w:tcPr>
            <w:tcW w:w="2920" w:type="dxa"/>
            <w:vAlign w:val="bottom"/>
            <w:tcBorders>
              <w:bottom w:val="single" w:sz="8" w:color="auto"/>
            </w:tcBorders>
          </w:tcPr>
          <w:p>
            <w:pPr>
              <w:spacing w:after="0"/>
              <w:rPr>
                <w:sz w:val="11"/>
                <w:szCs w:val="11"/>
                <w:color w:val="auto"/>
              </w:rPr>
            </w:pPr>
          </w:p>
        </w:tc>
        <w:tc>
          <w:tcPr>
            <w:tcW w:w="8500" w:type="dxa"/>
            <w:vAlign w:val="bottom"/>
            <w:tcBorders>
              <w:bottom w:val="single" w:sz="8" w:color="auto"/>
            </w:tcBorders>
          </w:tcPr>
          <w:p>
            <w:pPr>
              <w:spacing w:after="0"/>
              <w:rPr>
                <w:sz w:val="11"/>
                <w:szCs w:val="11"/>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Plan</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Company’s Equity Incentive Plan.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2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Indenture</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indenture relating to the 2024 Senior Notes, dated as of October 28, 2016, among the Company, the</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5"/>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Indenture</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indenture relating to the 2025 Senior Notes, dated as of December 20, 2016, among the Company, the</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NYMEX</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Rattler Midstream LP, a Delaware limited partnership.</w:t>
            </w:r>
          </w:p>
        </w:tc>
      </w:tr>
      <w:tr>
        <w:trPr>
          <w:trHeight w:val="387"/>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Rattler’s General Partner</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 Midstream GP LLC, a Delaware limited liability company; the general partner of Rattler Midstream</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LP and a wholly-owned subsidiary of the Company.</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 LLC</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Rattler Midstream Operating LLC, a Delaware limited liability company and a subsidiary of Rattler.</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 LTIP</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 Midstream LP Long-Term Incentive Plan.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 Offering</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Rattler’s initial public offering.</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Rattler’s Partnership Agreement</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first amended and restated agreement of limited partnership, dated May 28, 2019.</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5"/>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Company’s 4.750% senior unsecured notes due 2024 in the aggregate principal amount of $1,250</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million.</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Company’s 5.375% senior unsecured notes due 2025 in the aggregate principal amount of $800 million.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2024 Senior Notes and the 2025 Senior Notes.</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387"/>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Viper’s General Partner</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Partnership.</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 LLC</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subsidiary of the Partnership.</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LTIP</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 Offering</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Viper’s initial public offering.</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387"/>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Viper’s Partnership Agreement</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second amended and restated agreement of limited partnership, dated May 9, 2018, as amended as of</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May 10, 2018.</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Wells Fargo</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7"/>
        </w:trPr>
        <w:tc>
          <w:tcPr>
            <w:tcW w:w="292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i w:val="1"/>
          <w:iCs w:val="1"/>
          <w:color w:val="auto"/>
        </w:rPr>
        <w:t>Part II, Item 1A. Risk Factors</w:t>
      </w:r>
      <w:r>
        <w:rPr>
          <w:rFonts w:ascii="Times New Roman" w:cs="Times New Roman" w:eastAsia="Times New Roman" w:hAnsi="Times New Roman"/>
          <w:sz w:val="18"/>
          <w:szCs w:val="18"/>
          <w:color w:val="auto"/>
        </w:rPr>
        <w:t xml:space="preserve"> in this report and our Annual Report on Form 10–K for the year ended December 31, 2018 could affect our actual results and cause our actual results to differ materially from expectations, estimates or assumptions expressed, forecasted or implied in such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development drilling prospects, inventories, projects and programs;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reserves;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 of Energen Corporation, or Energen, discussed elsewhere in this report;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completed drop-down transaction with our subsidiary Viper Energy Partners LP, or Viper;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drilling locations;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permits and governmental approvals;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oil and natural gas prices and effects of hedging arrangements;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operating expenses, general and administrative costs and finding and development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results;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plans;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plans, objectives, expectations and intentions.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91"/>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Diamondback Energy, Inc. and Subsidiaries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58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837"/>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14"/>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values and</w:t>
            </w:r>
          </w:p>
        </w:tc>
      </w:t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r>
      <w:tr>
        <w:trPr>
          <w:trHeight w:val="270"/>
        </w:trPr>
        <w:tc>
          <w:tcPr>
            <w:tcW w:w="85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Joint interest and other, net</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full cost method of accounting ($9,464 million and $9,670 million excluded from</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at September 30, 2019 and December 31, 2018, respectively)</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24,822</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23,553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14"/>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values and</w:t>
            </w:r>
          </w:p>
        </w:tc>
      </w:t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7,429</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161,142,305 issued and outstanding at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30, 2019; 200,000,000 shares authorized, 164,273,447 issued and outstanding at December 31, 2018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076"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076"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8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8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740" w:type="dxa"/>
            <w:vAlign w:val="bottom"/>
          </w:tcPr>
          <w:p>
            <w:pPr>
              <w:spacing w:after="0"/>
              <w:rPr>
                <w:sz w:val="2"/>
                <w:szCs w:val="2"/>
                <w:color w:val="auto"/>
              </w:rPr>
            </w:pPr>
          </w:p>
        </w:tc>
        <w:tc>
          <w:tcPr>
            <w:tcW w:w="4680" w:type="dxa"/>
            <w:vAlign w:val="bottom"/>
            <w:tcBorders>
              <w:bottom w:val="single" w:sz="8" w:color="auto"/>
            </w:tcBorders>
            <w:gridSpan w:val="9"/>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6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shares in thousands)</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Natural gas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bonus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1,781</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Diamondback Energy,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162,543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164,070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98,603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162,780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164,466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0.1875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0.5625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0.375</w:t>
            </w:r>
          </w:p>
        </w:tc>
      </w:tr>
      <w:tr>
        <w:trPr>
          <w:trHeight w:val="27"/>
        </w:trPr>
        <w:tc>
          <w:tcPr>
            <w:tcW w:w="6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6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6"/>
                <w:szCs w:val="16"/>
                <w:color w:val="auto"/>
              </w:rPr>
            </w:pPr>
          </w:p>
        </w:tc>
        <w:tc>
          <w:tcPr>
            <w:tcW w:w="12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1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 in millions, shares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164,273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units - Viper Energy</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 LP</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 shares for tax withholding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2019</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164,616</w:t>
            </w:r>
          </w:p>
        </w:tc>
        <w:tc>
          <w:tcPr>
            <w:tcW w:w="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13,019</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units - Rattler Midstream</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 shares for share buyback program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163,949</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 shares for share buyback program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September 30, 2019</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161,142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2017</w:t>
      </w:r>
    </w:p>
    <w:p>
      <w:pPr>
        <w:spacing w:after="0" w:line="67" w:lineRule="exact"/>
        <w:rPr>
          <w:sz w:val="20"/>
          <w:szCs w:val="20"/>
          <w:color w:val="auto"/>
        </w:rPr>
      </w:pPr>
    </w:p>
    <w:p>
      <w:pPr>
        <w:ind w:left="180" w:right="1020"/>
        <w:spacing w:after="0" w:line="313" w:lineRule="auto"/>
        <w:rPr>
          <w:sz w:val="20"/>
          <w:szCs w:val="20"/>
          <w:color w:val="auto"/>
        </w:rPr>
      </w:pPr>
      <w:r>
        <w:rPr>
          <w:rFonts w:ascii="Times New Roman" w:cs="Times New Roman" w:eastAsia="Times New Roman" w:hAnsi="Times New Roman"/>
          <w:sz w:val="18"/>
          <w:szCs w:val="18"/>
          <w:color w:val="auto"/>
        </w:rPr>
        <w:t>Impact of adoption of ASU 2016-01, net of tax Unit-based compensation</w:t>
      </w:r>
    </w:p>
    <w:p>
      <w:pPr>
        <w:ind w:left="180" w:right="1620"/>
        <w:spacing w:after="0" w:line="331" w:lineRule="auto"/>
        <w:rPr>
          <w:sz w:val="20"/>
          <w:szCs w:val="20"/>
          <w:color w:val="auto"/>
        </w:rPr>
      </w:pPr>
      <w:r>
        <w:rPr>
          <w:rFonts w:ascii="Times New Roman" w:cs="Times New Roman" w:eastAsia="Times New Roman" w:hAnsi="Times New Roman"/>
          <w:sz w:val="17"/>
          <w:szCs w:val="17"/>
          <w:color w:val="auto"/>
        </w:rPr>
        <w:t>Stock-based compensation Distribution to non-controlling interest</w:t>
      </w:r>
    </w:p>
    <w:p>
      <w:pPr>
        <w:spacing w:after="0" w:line="1" w:lineRule="exact"/>
        <w:rPr>
          <w:sz w:val="20"/>
          <w:szCs w:val="20"/>
          <w:color w:val="auto"/>
        </w:rPr>
      </w:pPr>
    </w:p>
    <w:p>
      <w:pPr>
        <w:ind w:left="180"/>
        <w:spacing w:after="0" w:line="318" w:lineRule="auto"/>
        <w:rPr>
          <w:sz w:val="20"/>
          <w:szCs w:val="20"/>
          <w:color w:val="auto"/>
        </w:rPr>
      </w:pPr>
      <w:r>
        <w:rPr>
          <w:rFonts w:ascii="Times New Roman" w:cs="Times New Roman" w:eastAsia="Times New Roman" w:hAnsi="Times New Roman"/>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2018</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Unit-based compensation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 paid</w:t>
      </w:r>
    </w:p>
    <w:p>
      <w:pPr>
        <w:spacing w:after="0" w:line="63" w:lineRule="exact"/>
        <w:rPr>
          <w:sz w:val="20"/>
          <w:szCs w:val="20"/>
          <w:color w:val="auto"/>
        </w:rPr>
      </w:pPr>
    </w:p>
    <w:p>
      <w:pPr>
        <w:ind w:left="180"/>
        <w:spacing w:after="0" w:line="318" w:lineRule="auto"/>
        <w:rPr>
          <w:sz w:val="20"/>
          <w:szCs w:val="20"/>
          <w:color w:val="auto"/>
        </w:rPr>
      </w:pPr>
      <w:r>
        <w:rPr>
          <w:rFonts w:ascii="Times New Roman" w:cs="Times New Roman" w:eastAsia="Times New Roman" w:hAnsi="Times New Roman"/>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2018</w:t>
      </w:r>
    </w:p>
    <w:p>
      <w:pPr>
        <w:spacing w:after="0" w:line="67" w:lineRule="exact"/>
        <w:rPr>
          <w:sz w:val="20"/>
          <w:szCs w:val="20"/>
          <w:color w:val="auto"/>
        </w:rPr>
      </w:pPr>
    </w:p>
    <w:p>
      <w:pPr>
        <w:ind w:left="180" w:right="40"/>
        <w:spacing w:after="0" w:line="281" w:lineRule="auto"/>
        <w:rPr>
          <w:sz w:val="20"/>
          <w:szCs w:val="20"/>
          <w:color w:val="auto"/>
        </w:rPr>
      </w:pPr>
      <w:r>
        <w:rPr>
          <w:rFonts w:ascii="Times New Roman" w:cs="Times New Roman" w:eastAsia="Times New Roman" w:hAnsi="Times New Roman"/>
          <w:sz w:val="18"/>
          <w:szCs w:val="18"/>
          <w:color w:val="auto"/>
        </w:rPr>
        <w:t>Net proceeds from issuance of common units - Viper Energy Partners LP</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 paid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Exercise of stock options and vesting of restricted stock units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6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16"/>
                <w:szCs w:val="16"/>
                <w:color w:val="auto"/>
              </w:rPr>
            </w:pPr>
          </w:p>
        </w:tc>
        <w:tc>
          <w:tcPr>
            <w:tcW w:w="12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1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 in millions, shares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98,610</w:t>
            </w:r>
          </w:p>
        </w:tc>
        <w:tc>
          <w:tcPr>
            <w:tcW w:w="36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98,620</w:t>
            </w:r>
          </w:p>
        </w:tc>
        <w:tc>
          <w:tcPr>
            <w:tcW w:w="36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6,012</w:t>
            </w: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-4133215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-3789680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-3446780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-3103880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-2752090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-2409190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-2066290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-1723390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-1234440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-891540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460"/>
            <w:col w:w="638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12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equity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Drilling, completions and non-operated additions to 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Infrastructure additions to oil and natural gas properties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held in escrow</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investments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senior notes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joint venture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Public offering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public offerings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Repurchased shares for tax withholdings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Repurchased as part of share buyback</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022"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022"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4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97"/>
        </w:trPr>
        <w:tc>
          <w:tcPr>
            <w:tcW w:w="8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84"/>
        </w:trPr>
        <w:tc>
          <w:tcPr>
            <w:tcW w:w="80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accrued capital expenditures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obligations acquired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the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Energy, Inc., together with its subsidiaries (collectively referred to as “Diamondback” or the “Company” unless the context otherwise requires),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wholly-owned subsidiaries of Diamondback, as of September 30, 2019,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(“Energen”). The consolidated subsidiaries include these wholly-owned subsidiaries as well as Viper Energy Partners LP, a Delaware limited partnership (“Viper”), Viper’s subsidiary Viper Energy Partners LLC, a Delaware limited liability company (“Viper LLC”), Rattler Midstream LP (formerly known as Rattler Midstream Partners LP), a Delaware limited partnership (“Rattler”), Rattler Midstream Operating LLC (formerly known as Rattler Midstream LLC), a Delaware limited liability company (“Rattler LLC”), Rattler LLC’s wholly-owned subsidiary Tall City Towers LLC, a Delaware limited liability company (“Tall City”), and Energen’s wholly-owned subsidiaries Energen Resources Corporation, an Alabama corporation, and EGN Services, Inc., an Alabama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Viper is consolidated in the financial statements of the Company. As of September 30, 2019, the Company owned approximately 54% of Viper’s total units outstanding. The Company’s wholly-owned subsidiary, Viper Energy Partners GP LLC, is the general partner of Viper. Immediately following the completion of the Drop-Down on October 1, 2019, the Company owned 731,500 common units and 90,709,946 Class B units, representing approximately 60% of Viper’s total units outstanding. See Note 4—Acquisitions and Divestitures and Note 20—Subsequent Events for additional information regarding this transaction.</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Rattler is consolidated in the financial statements of the Company. As of September 30, 2019, the Company owned approximately 71% of Rattler’s total units outstanding. The Company’s wholly-owned subsidiary, Rattler Midstream GP LLC, is the general partner of Rattler.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2018,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contingent assets and liabilities at the date of the consolidated financial statements. Actual results could differ from those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2019 presentation. These reclassifications had no impact on net income, total assets, liabilities and stockholders’ equity or total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Viper has an equity interest in a limited partnership that is so minor that Viper has no influence over the limited partnership’s operating and financial policies. This interest was acquired during the year ended December 31, 2014 and was accounted for under the cost method. Effective January 1, 2018, Viper adopted Accounting Standards Update (“ASU”) 2016-01 which requires Viper to measure its investment at fair value which resulted in a downward adjustment of $19 million to record the impact of this adoption. See Note 17—Fair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Entities will be required to recognize and measure leases at the beginning of the earliest period presented using a modified retrospective approach. The Company enters into lease agreements to support its operations. These agreements are for leases on assets such as office space, vehicles and compressors. The Company has completed the process of reviewing and determining the agreements to which this new guidance applies. Upon adoption effective January 1, 2019, the Company recognized approximately $13 million of right-of-use assets, of which the total amount relates to the Company’s operating leases.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FASB issued ASU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 842. The Company adopted this standard effective January 1, 2019. The adoption of this update did not have an impact on its financial position, results of operations or liquidity.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2018, the FASB issued ASU 2018-10, “Codification Improvements to Topic 842, Leases”. This update provides clarification and corrects unintended application of certain sections in the new lease guidance. The Company adopted this standard effective January 1, 2019. The adoption of this update did not have an impact on its financial position, results of operations or liquidity.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2018, the FASB issued ASU 2018-11, “Leases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The Company adopted this standard effective January 1, 2019. The adoption of this update did not have an impact on its financial position, results of operations or liquidity.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the FASB issued ASU 2018-20, “Leases (Topic 842) - Narrow-Scope Improvements for Lessors”. This update provides a practical expedient for lessors to elect not to evaluate whether sales taxes and other similar taxes are lessor costs. The update also requires a lessor to exclude from variable payments those costs paid directly by the lessee to third parties and include lessor costs paid by the lessor and reimbursed by the lessee. The Company adopted this standard effective January 1, 2019. The adoption of this update did not have an impact on its financial position, results of operations or liquidity.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18—Leases for more information on the adoption of these standards.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2018-07, “Stock Compensation - Improvements to Nonemployee Share-Based Payment Accounting”. This update applies the existing employee guidance to nonemployee share-based transactions, with the exception of specific guidance related to the attribution of compensation cost. The Company adopted this standard effective January 1, 2019. The adoption of this update did not have an impact on its financial position, results of operations or liquidity because the Company currently accounts for nonemployee share-based transactions in the same manner as employee share-based transactions.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2018, the FASB issued ASU 2018-09, “Codification Improvements”. This update provides clarification and corrects unintended application of the guidance in various sections. The Company adopted this standard effective January 1, 2019. The adoption of this update did not have a material impact on its financial position, results of operations or liquidity.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2019, the FASB issued ASU 2019-07, “Codification Updates to SEC Sections”. This update simplifies the guidance in various sections that was duplicative, redundant or outdated. The Company adopted this update effective July 2019. It did not have a material impact on its financial position, results of operations or liquidity.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believes the adoption of this update will not have an impact on its financial position, results of operations or liquidity since it does not have a history of credit losses.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The Company believes the adoption of this update will not have an impact on its financial position, results of operations or liquidity.</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2018, the FASB issued ASU 2018-15, “Intangibles - Goodwill and Other - Internal - Use Software (Subtopic 350-40): Customer’s Accounting for Implementation Costs Incurred in a Cloud Computing Arrangement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 the date of adoption. The Company believes the adoption of this update will not have an impact on its financial position, results of operations or liquidity.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2018, the FASB issued ASU 2018-19, “Codification Improvements to Topic 326, Financial Instruments-Credit Losses”. This update clarifies that receivables arising from operating leases are not within the scope of this topic, but rather Topic 842, Leases.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believes the adoption of this update will not have an impact on its financial position, results of operations or liquidity since it does not have a history of credit losses.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2019, the FASB issued ASU 2019-04, “Codification Improvements to Topic 326, Financial Instruments-Credit Losses, Topic 815, Derivatives and Hedging, and Topic 825, Financial Instruments ”. This update clarifies guidance previously issued in ASU 2016-01, ASU 2016-13 and ASU 2017-12. This update will be effective for financial statements issued for fiscal years beginning after December 15, 2019, including interim periods within those fiscal years. The Company does not believe the updates to the referenced standards will have an impact on its financial position, results of operations or liquidity.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2019, the FASB issued ASU 2019-05, “Financial Instruments-Credit Losses (Topic 326)”. This update allows a fair value option to be elected for certain financial assets, other than held-to-maturity debt securities, that were previously required to be measured at amortized cost basis. This update will be effective for financial statements issued for fiscal years beginning after December 15, 2019, including interim periods within those fiscal years. The Company does not believe the adoption of this standard will have an impact on its financial position, results of operations or liquidity.</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 FROM CONTRACTS WITH CUSTOMERS</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Oil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and natural gas liquids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the Company recognizes revenue on a gross basis, with transportation, gathering, processing, treating and compression fees presented as an expense in its consolidated statements of operations.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majority of the Company’s midstream revenue agreements have a term greater than one year, and as such the Company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remainder of the Company’s midstream revenue agreements, which relate to agreements with third parties, are short-term in nature with a term of one year or less. The Company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ASC 606.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Prior-period performance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revenue in the month production is delivered to the purchaser. However, settlement statements for certain natural gas and natural gas liquids sales may not be received for 30 to 90 days after the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and nine months ended September 30, 2019,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81" w:lineRule="exact"/>
        <w:rPr>
          <w:sz w:val="20"/>
          <w:szCs w:val="20"/>
          <w:color w:val="auto"/>
        </w:rPr>
      </w:pPr>
    </w:p>
    <w:p>
      <w:pPr>
        <w:ind w:right="7960" w:firstLine="8"/>
        <w:spacing w:after="0" w:line="501" w:lineRule="auto"/>
        <w:tabs>
          <w:tab w:leader="none" w:pos="3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2019 Activity</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23, 2019, the Company completed its divestiture of 6,589 net acres of certain conventional and non-core Permian assets, which were acquired by the Company in its merger with Energen (as described below), for an aggregate sale price of $37 million. This divestiture did not result in a gain or loss because it did not have a significant effect on the Company’s reserve base or depreciation, depletion and amortization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2019, the Company completed its divestiture of 103,750 net acres of certain conventional and non-core Permian assets, which were acquired by the Company in the merger with Energen (as described below), for an aggregate sale price of $285 million. This divestiture did not result in a gain or loss because it did not have a significant effect on the Company’s reserve base or depreciation, depletion and amortization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Drop-Down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29, 2019, the Company entered into a definitive purchase agreement to divest certain mineral and royalty interests to Viper for approximately 18.3 million of Viper’s newly-issued Class B units, approximately 18.3 million newly-issued units of Viper LLC and $190 million in cash, after giving effect to closing adjustments for net title benefits (the “Drop-Down”). Based on the volume weighted average sales price of Viper’s common units for the ten trading-day period ended July 26, 2019 of $30.07, the transaction is valued at $740 million. The mineral and royalty interests being divested in the Drop-Down represent approximately 5,490 net royalty acres across the Midland and Delaware Basins, of which over 95% are operated by the Company, and have an average net royalty interest of approximately 3.2% (the “Drop-Down Assets”). The Drop-Down closed on October 1, 2019 and was effective as of July 1, 2019. Viper funded the cash portion of the purchase price of the Drop-Down Assets through a combination of cash on hand and borrowings under Viper LLC’s revolving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Tall City Towers LLC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2018, Tall City, a subsidiary of the Company, completed its acquisition of the Fasken Center office buildings in Midland, TX where the Company’s corporate offices are located for a net purchase price of $110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Ajax Resources, LLC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31, 2018, the Company completed its acquisition of leasehold interests and related assets of Ajax Resources, LLC, which included approximately 25,493 net leasehold acres in the Northern Midland Basin, for $900 million in cash and approximately 2.6 million shares of the Company’s common stock (the “Ajax acquisition”). This transaction was effective as of July 1, 2018. The cash portion of this transaction was funded through a combination of cash on hand, proceeds from the sale of mineral interests to Viper (described below under the caption “2018 Drop-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Down Transaction”), borrowing under the Company’s revolving credit facility and a portion of the proceeds from the Company’s September 2018 senior note offering. See Note 11—Debt for information relating to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Drop-Down Transaction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15, 2018, the Company completed a transaction to sell to Viper mineral interests underlying 32,424 gross (1,696 net royalty) acres primarily in Pecos County, Texas, in the Permian Basin, approximately 80% of which are operated by the Company, for $175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ExL Petroleum Management, LLC and EnergyQuest II LLC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31, 2018, the Company completed its acquisitions of leasehold interests and related assets, one with ExL Petroleum Management, LLC and ExL Petroleum Operating, Inc. and one with EnergyQuest II LLC, for an aggregate of approximately 3,646 net leasehold acres in the Northern Midland Basin for a total of $313 million in cash. These transactions were effective as of August 1, 2018 and were funded through a combination of cash on hand, proceeds from the sale of assets to Viper (described immediately above) and borrowing under the Company’s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Corporation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29, 2018, the Company completed its acquisition of Energen in an all-stock transaction, which was accounted for as a business combination (the “Merger”). Upon completion of the Merger, the addition of Energen’s assets increased the Company’s assets to: (i) 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 the closing date, resulting in total consideration paid by the Company to the former Energen shareholders of approximately $7 billion.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Company repaid outstanding principal under Energen’s revolving credit facility and assumed all of Energen’s other long-term debt. See Note 11—Debt for additional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 has been accounted for as a business combination, using the acquisition method. The following table represents the preliminary allocation of the total purchase price of Energen to the identifiable assets acquired and the liabilities assumed based on the fair values on the acquisition date, with any excess of the purchase price over the estimated fair value of the identifiable net assets acquired. Certain data necessary to complete the purchase price allocation is not yet available, and includes, but is not limited to, valuation of pre-acquisition contingencies, final tax returns that provide the underlying tax basis of Energen’s assets and liabilities and final appraisals of assets acquired and liabilities assumed. The Company will complete the purchase price allocation during the fourth quarter of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preliminary purchase price allocation as of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of the Company's common stock issued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consideration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Noncurrent derivative instruments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9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Amount attributable to liabilities assumed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3,013</w:t>
            </w:r>
          </w:p>
        </w:tc>
      </w:tr>
      <w:tr>
        <w:trPr>
          <w:trHeight w:val="311"/>
        </w:trPr>
        <w:tc>
          <w:tcPr>
            <w:tcW w:w="9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9,313</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postretirement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income tax receivable, net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 term assets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Amount attributable to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10,149</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summary pro forma consolidated statement of operations data of Diamondback for the three and nine months ended September 30, 2018 have been prepared to give effect to the Merger as if it had occurred on January 1, 2018.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 stock issued to convert Energen’s outstanding shares of common stock and equity awards as of the closing date of the Merger, (ii) the depletion of Energen’s fair-valued proved oil and natural gas properties and (iii) the estimated tax impacts of the pro forma adjustments.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 forma consolidated statement of operations data has been included for comparative purposes only and is not necessarily indicative of the results that might have occurred had the Merger taken place on January 1, 2018 and is not intended to be a projection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2018</w:t>
            </w:r>
          </w:p>
        </w:tc>
      </w:tr>
      <w:tr>
        <w:trPr>
          <w:trHeight w:val="27"/>
        </w:trPr>
        <w:tc>
          <w:tcPr>
            <w:tcW w:w="6400" w:type="dxa"/>
            <w:vAlign w:val="bottom"/>
          </w:tcPr>
          <w:p>
            <w:pPr>
              <w:spacing w:after="0"/>
              <w:rPr>
                <w:sz w:val="2"/>
                <w:szCs w:val="2"/>
                <w:color w:val="auto"/>
              </w:rPr>
            </w:pPr>
          </w:p>
        </w:tc>
        <w:tc>
          <w:tcPr>
            <w:tcW w:w="5020" w:type="dxa"/>
            <w:vAlign w:val="bottom"/>
            <w:tcBorders>
              <w:bottom w:val="single" w:sz="8" w:color="auto"/>
            </w:tcBorders>
            <w:gridSpan w:val="4"/>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50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r>
      <w:tr>
        <w:trPr>
          <w:trHeight w:val="27"/>
        </w:trPr>
        <w:tc>
          <w:tcPr>
            <w:tcW w:w="6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tcBorders>
              <w:bottom w:val="single" w:sz="8" w:color="CCEEFF"/>
            </w:tcBorders>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1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r>
      <w:tr>
        <w:trPr>
          <w:trHeight w:val="27"/>
        </w:trPr>
        <w:tc>
          <w:tcPr>
            <w:tcW w:w="6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tcBorders>
              <w:bottom w:val="single" w:sz="8" w:color="CCEEFF"/>
            </w:tcBorders>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1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0.97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7"/>
        </w:trPr>
        <w:tc>
          <w:tcPr>
            <w:tcW w:w="6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10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0.96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64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VIPER ENERGY PARTNERS LP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Viper is a publicly traded Delaware limited partnership, the common units of which are listed on the Nasdaq Global Select Market under the symbol “VNOM”. Viper was formed by Diamondback on February 27, 2014, to, among other things, own, acquire and exploit oil and natural gas properties in North America. Viper is currently focused on oil and natural gas properties in the Permian Basin and the Eagle Ford Shale. Viper Energy Partners GP LLC, a fully-consolidated subsidiary of Diamondback, serves as the general partner of Viper. As of September 30, 2019, the Company owned approximately 54% of Viper’s total units outstanding. Immediately following the completion of the Drop-Down on October 1, 2019, the Company owned 731,500 common units and 90,709,946 Class B units, representing approximately 60% of Viper’s total units outstanding. See Note 4—Acquisitions and Note 20—Subsequent Events for additional information regarding this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the Company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 LLC in turn used the net proceeds to repay a portion of the outstanding borrowings under the revolving credit facility and finance acquisitions during the period.</w:t>
      </w:r>
    </w:p>
    <w:p>
      <w:pPr>
        <w:spacing w:after="0" w:line="18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this public offering and Viper’s issuance of unit-based compensation, the Company’s ownership percentage in Viper was reduced. During the nine months ended September 30, 2019, the Company recorded a $74 million decrease to non-controlling interest in Viper with an increase to additional paid-in capital, which represents the difference between the Company’s share of the underlying net book value in Viper before and after the respective Partnership common unit transactions, on the Company’s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 Tax Status Election and Related Transactions by Viper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2018, Viper announced that the Board of Directors of Viper’s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LLC, (iii) amended and restated its existing registration rights agreement with the Company and</w:t>
      </w:r>
    </w:p>
    <w:p>
      <w:pPr>
        <w:spacing w:after="0" w:line="3" w:lineRule="exact"/>
        <w:rPr>
          <w:sz w:val="20"/>
          <w:szCs w:val="20"/>
          <w:color w:val="auto"/>
        </w:rPr>
      </w:pPr>
    </w:p>
    <w:p>
      <w:pPr>
        <w:jc w:val="both"/>
        <w:ind w:firstLine="8"/>
        <w:spacing w:after="0" w:line="252"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exchange agreement with the Company, Viper’s General Partner and Viper LLC. Simultaneously with the effectiveness of these agreements, the Company delivered and assigned to Viper the 73,150,000 common units the Company owned in exchange for (i) 73,150,000 of Viper’s newly-issued Class B units and (ii) 73,150,000 newly-issued units of Viper LLC pursuant to the terms of a Recapitalization Agreement dated March 28, 2018, as amended as of May 9, 2018 (the “Recapitalization Agreement”). Immediately following that exchange, Viper continued to be the managing member of Viper LLC, with sole control of its operations, and owned approximately 36% of the outstanding units issued by Viper LLC, and the Company owned the remaining approximately 64% of the outstanding units issued by Viper LLC. Upon completion of Viper’s July 2018 offering of units, it owned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41% of the outstanding units issued by Viper LLC and the Company owned the remaining approximately 59%. Viper LLC units and Viper’s Class B units owned by the Company are exchangeable from time to time for Viper’s common units (that is, one Viper LLC unit and one Viper Class B unit, together, will be exchangeable for one Viper common unit).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10, 2018, the change in Viper’s income tax status became effective. On that date, pursuant to the terms of the Recapitalization Agreement,</w:t>
      </w:r>
    </w:p>
    <w:p>
      <w:pPr>
        <w:spacing w:after="0" w:line="27" w:lineRule="exact"/>
        <w:rPr>
          <w:sz w:val="20"/>
          <w:szCs w:val="20"/>
          <w:color w:val="auto"/>
        </w:rPr>
      </w:pPr>
    </w:p>
    <w:p>
      <w:pPr>
        <w:jc w:val="both"/>
        <w:ind w:firstLine="8"/>
        <w:spacing w:after="0" w:line="251"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General Partner made a cash capital contribution of $1 million to Viper in respect of its general partner interest and (ii) the Company made a cash capital contribution of $1 million to Viper in respect of the Class B units. The Company, as the holder of the Class B units, and Viper’s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Viper LLC for 731,500 common units of Viper and a cash amount of $10,000 representing a proportionate return of the $1 million invested capital in respect of the Class B units. Viper’s General Partner continues to serve as Viper’s general partner and the Company continues to control Viper. After the effectiveness of the tax status election and the completion of related transactions, Viper’s minerals business continues to be conducted through Viper LLC,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 and Viper’s Current Report on Form 8-K filed with the SEC on May 15, 2018.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second amended and restated agreement of limited partnership, dated as of May 9, 2018, as amended as of May 10, 2018 (the “Viper Partnership Agreement”), requires Viper to reimburse Viper’s General Partner for all direct and indirect expenses incurred or paid on Viper’s behalf and all other expenses allocable to Viper or otherwise incurred by Viper’s General Partner in connection with operating Viper’s business. The Viper Partnership Agreement does not set a limit on the amount of expenses for which Viper’s General Partner and its affiliates may be reimbursed. These expenses include salary, bonus, incentive compensation and other amounts paid to persons who perform services for Viper or on its behalf and expenses allocated to Viper’s General Partner by its affiliates. Viper’s General Partner is entitled to determine the expenses that are allocable to Viper. For each of the three months ended September 30, 2019 and 2018, Viper’s General Partner allocated $1 million to Viper. For each of the nine months ended September 30, 2019 and 2018, Viper’s General Partner allocated $2 million to Viper.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Viper Offering, Viper entered into a tax sharing agreement with Diamondback, dated June 23, 2014, pursuant to which Viper agreed to reimburse Diamondback for its share of state and local income and other taxes for which Viper’s results are included in a combined or consolidated tax return filed by Diamondback with respect to taxable periods including or beginning on June 23, 2014. The amount of any such reimbursement is limited to the tax Viper would have paid had it not been included in a combined group with Diamondback. Diamondback may use its tax attributes to cause its combined or consolidated group, of which Viper may be a member for this purpose, to owe less or no tax. In such a situation, Viper agreed to reimburse Diamondback for the tax Viper would have owed had the tax attributes not been available or used for Viper’s benefit, even though Diamondback had no cash tax expense for that period. For the three months and nine months ended September 30, 2019 and the three months and nine months ended September 30, 2018, Viper accrued a minimal amount of state income tax expense for its share of Texas margin tax for which Viper’s results are included in a combined tax return filed by Diamondback.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 LLC’s Revolving Credit Facility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Viper LLC has entered into a secured revolving credit facility with Wells Fargo, as administrative agent sole book runner and lead arranger. See Note 11—Debt for a description of this credit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RATTLER MIDSTREAM LP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wholly-owned subsidiary of Diamondback, serves as the general partner of Rattler. As of September 30, 2019, Diamondback owned approximately 71% of Rattler’s total units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completion of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Rattler’s initial public offering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has also entered into the following agreements with Rattler: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Rattler’s General Partner and Energen Resources Corporation entered into the first amended and restated agreement of limited partnership of Rattler, dated May 28, 2019 (the “Rattler Partnership Agreement”). The Rattler Partnership Agreement requires Rattler to reimburse Rattler’s General Partner for all direct and indirect expenses incurred or paid on Rattler’s behalf and all other expenses allocable to Rattler or otherwise incurred by Rattler’s General Partner in connection with operating Rattler’s business. The Rattler Partnership Agreement does not set a limit on the amount of expenses for which its general partner and its affiliates may be reimbursed. These expenses include salary, bonus, incentive compensation and other amounts paid to persons who perform services for Rattler or on its behalf and expenses allocated to Rattler’s General Partner by its affiliates. Rattler’s General Partner is entitled to determine the expenses that are allocable to Rattler. For the three months and nine months ended September 30, 2019, the General Partner allocated $225,030 and $262,937, respectively, of such expenses to Rattler.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Services and Secondment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 entered into a services and secondment agreement with Diamondback, Diamondback E&amp;P LLC, Rattler’s General Partner and Rattler LLC, dated as of May 28, 2019 (the “Services and Secondment Agreement”). Pursuant to the Services and Secondment Agreement, Diamondback and its subsidiaries second certain operational, construction, design and management employees and contractors of Diamondback to Rattler’s General Partner, Rattler and its subsidiaries, providing management, maintenance and operational functions with respect to Rattler’s assets. The Services and Secondment Agreement requires Rattler’s General Partner and Rattler to reimburse Diamondback for the cost of the seconded employees and contractors, including their wages and benefits. For the three months and nine months ended September 30, 2019, Rattler’s General Partner and Rattler paid Diamondback $1 million and $3 million, respectively, under the Services and Secondment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Tax Sharing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 LLC entered into a tax sharing agreement with Diamondback pursuant to which Rattler LLC will reimburse Diamondback for its share of state and local income and other taxes borne by Diamondback as a result of Rattler LLC’s results being included in a combined or consolidated tax return filed by Diamondback with respect to taxable periods including or beginning on May 28, 2019. The amount of any such reimbursement is limited to the tax that Rattler LLC would have paid had it not been included in a combined group with Diamondback. Diamondback may use its tax attributes to cause its combined or consolidated group, of which Rattler LLC may be a member for this purpose, to owe less or no tax. In such a situation, Rattler LLC agreed to reimburse Diamondback for the tax Rattler LLC would have owed had the attributes not been available or used for Rattler LLC’s benefit, even though Diamondback had no cash expense for that period.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2019, Rattler accrued state income tax expense of $75,944 and $107,758, respectively, for its share of Texas margin tax for which Rattler’s share of Rattler LLC’s results are included in a combined tax return filed by Diamondback.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Rattler has entered into a secured revolving credit facility with Wells Fargo Bank, National Association, as administrative agent, sole book runner and lead arranger. See Note 11—Debt for a description of this credit facility.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REAL ESTATE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schedules present the cost and related accumulated depreciation or amortization (as applicable) of the Company’s real estate assets including intangible lease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40" w:type="dxa"/>
            <w:vAlign w:val="bottom"/>
          </w:tcPr>
          <w:p>
            <w:pPr>
              <w:spacing w:after="0"/>
              <w:rPr>
                <w:sz w:val="20"/>
                <w:szCs w:val="20"/>
                <w:color w:val="auto"/>
              </w:rPr>
            </w:pPr>
          </w:p>
        </w:tc>
        <w:tc>
          <w:tcPr>
            <w:tcW w:w="3620" w:type="dxa"/>
            <w:vAlign w:val="bottom"/>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8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real estate assets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8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 in land and buildings, net</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20"/>
                <w:szCs w:val="20"/>
                <w:color w:val="auto"/>
              </w:rPr>
            </w:pPr>
          </w:p>
        </w:tc>
        <w:tc>
          <w:tcPr>
            <w:tcW w:w="3620" w:type="dxa"/>
            <w:vAlign w:val="bottom"/>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3240" w:type="dxa"/>
            <w:vAlign w:val="bottom"/>
            <w:tcBorders>
              <w:bottom w:val="single" w:sz="8" w:color="CCEEFF"/>
            </w:tcBorders>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In-place lease intangibles, net</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Above-market lease intangibles</w:t>
            </w:r>
          </w:p>
        </w:tc>
        <w:tc>
          <w:tcPr>
            <w:tcW w:w="3240" w:type="dxa"/>
            <w:vAlign w:val="bottom"/>
            <w:tcBorders>
              <w:bottom w:val="single" w:sz="8" w:color="CCEEFF"/>
            </w:tcBorders>
            <w:gridSpan w:val="2"/>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Above-market lease intangibles, net</w:t>
            </w:r>
          </w:p>
        </w:tc>
        <w:tc>
          <w:tcPr>
            <w:tcW w:w="15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intangible lease assets, net</w:t>
            </w:r>
          </w:p>
        </w:tc>
        <w:tc>
          <w:tcPr>
            <w:tcW w:w="1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includes the following:</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980" w:type="dxa"/>
            <w:vAlign w:val="bottom"/>
          </w:tcPr>
          <w:p>
            <w:pPr>
              <w:spacing w:after="0"/>
              <w:rPr>
                <w:sz w:val="24"/>
                <w:szCs w:val="24"/>
                <w:color w:val="auto"/>
              </w:rPr>
            </w:pPr>
          </w:p>
        </w:tc>
        <w:tc>
          <w:tcPr>
            <w:tcW w:w="17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9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358"/>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Subject to depletion</w:t>
            </w:r>
          </w:p>
        </w:tc>
        <w:tc>
          <w:tcPr>
            <w:tcW w:w="11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15,358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subject to depletion</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9,464</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9,670</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oil and natural gas properties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24,822</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impairment</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21,073</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19,556</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Midstream assets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depletion, amortization and impairment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costs not subject to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2019</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2018</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2017</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2016</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not subject to depletion</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9,464</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$8 million and $6 million for the three months ended September 30, 2019 and 2018, respectively, and $32 million and $20 million for the nine months ended September 30, 2019 and 2018,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years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 including estimated expenditures (based on current costs) to be incurred in developing and producing the proved reserves, discounted at 10% per annum, from proved reserves, based on the trailing 12-month unweighted average of the first-day-of-the-month price, adjusted for any contract provisions or financial derivatives, if any, that hedge the Company’s oil and natural gas revenue, and excluding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2019, there was $82 million in exploration costs and development costs and $102 million in capitalized interest that was not subject to depletion. At December 31, 2018, there were $68 million in exploration costs and development costs and $55 million in capitalized interest that was not subject to depletion.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6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beginning of period</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liabilities incurred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acquired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settled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in estimated liabilities</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end of period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long-term</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EQUITY METHOD INVESTMENTS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October 2014, the Company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June 30, 2018, HMW LLC’s operating agreement was amended. As a result of the amendment, Rattler no longer recognizes an equity investment in HMW LLC but instead consolidates its undivided interest in the salt water disposal assets owned by HMW LLC. In exchange for Rattler’s 25% investment, Rattler received a 50% undivided ownership interest in two of the four SWD wells and associated assets previously owned by HMW LLC. Rattler’s basis in the assets is equivalent to its basis in the equity investment in HMW LLC.</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1, 2019, Rattler LLC obtained a 10% equity interest in EPIC Crude Holdings, LP (“EPIC”), which is building a pipeline (the “EPIC project”) that, once fully operational, will transport crude and NGL across Texas for delivery into the Corpus Christi market. As of September 30, 2019, Rattler’s total investment in the EPIC project was $89 million. During the nine months ended September 30, 2019, Rattler recorded net expenses of $532,800 related to the EPIC project. The EPIC project began initial operations during the third quarter of 2019.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15, 2019, Rattler LLC obtained a 10% equity interest in Gray Oak Pipeline, LLC (“Gray Oak”), which is building a pipeline (the “Gray Oak project”) that, once operational, will transport crude from the Permian to Corpus Christi on the Texas Gulf Coast. As of September 30, 2019, Rattler’s total investment in the Gray Oak project was $114 million. During the nine months ended September 30, 2019, Rattler recorded net expenses of $189,374 related to the Gray Oak project. The Gray Oak project is anticipated to be operational in the fourth quarter of 2019.</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29, 2019, Rattler LLC executed a short-term promissory note to Gray Oak. The note allows for borrowing by Gray Oak of up to $123 million at 2.52% interest rate with a maturity date of March 31, 2022. During the three months ended September 30, 2019, there were no borrowings or repayments under this note. There were no outstanding loans at September 30, 2019.</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project”). As of September 30, 2019, Rattler's total investment in the Wink to Webster project was $21 million. During the nine months ended September 30, 2019, Rattler recorded net income of $26,280 related to interest. The Wink to Webster project is expected to begin service in the first half of 2021.</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impairments were recorded for Rattler’s equity method investments for the nine months ended September 30, 2019 or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2019, there was $124,301 of capitalized interest that was related to equity method investments that have not yet begun operations.</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6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5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4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4.625%</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7.320%</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4.750 % Senior Notes due 2024</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5.375 % Senior Notes due 2025</w:t>
            </w:r>
          </w:p>
        </w:tc>
        <w:tc>
          <w:tcPr>
            <w:tcW w:w="16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7.350%</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6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7.125%</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6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DrillCo Agreement</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0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premium costs</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1,629</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70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revolving credit facility</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Rattler revolving credit facility</w:t>
            </w:r>
          </w:p>
        </w:tc>
        <w:tc>
          <w:tcPr>
            <w:tcW w:w="16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long-term debt</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4,761</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6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Energen became a wholly owned subsidiary of the Company and remained the issuer of these notes (the “Energen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Senior Notes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28, 2016, the Company issued $500 million in aggregate principal amount of 4.750% Senior Notes due 2024 (the “existing 2024 Senior Notes”). The existing 2024 Senior Notes bear interest at a rate of 4.750% per annum, payable semi-annually, in arrears on May 1 and November 1 of each year and will mature on November 1, 2024. All of the Company’s existing and future restricted subsidiaries that guarantee its revolving credit facility or certain other debt guarantee the existing 2024 Senior Notes; provided, however, that the existing 2024 Senior Notes are not guaranteed by Viper, Viper’s General Partner, Viper LLC, Rattler, Rattler’s General Partner or Rattler LLC, and will not be guaranteed by any of the Company’s future unrestricted subsidiaries.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25, 2018, the Company issued $750 million aggregate principal amount of new 4.750% Senior Notes due 2024 (the “New 2024 Notes”), which together with the existing Senior Notes are referred to as the 2024 Senior Notes, as additional notes under, and subject to the terms of, the 2024 Indenture. The New 2024 Notes were issued in a transaction exempt from the registration requirements under the Securities Act. The Company received approximately $741 million in net proceeds, after deducting the initial purchasers’ discount and its estimated offering expenses, but disregarding accrued interest, from the issuance of the New 2024 Notes. The Company used a portion of the net proceeds from the issuance of the New 2024 Notes to repay the outstanding borrowings under its revolving credit facility and used the balance for general corporate purposes, including funding a portion of the cash consideration for the acquisition of assets from Ajax Resources, LLC.</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 relating to the New 2024 Notes, on March 22, 2019, the Company filed with the SEC its registration Statement on Form S-4, as amended on July 3, 2019 (the “Exchange Offer S-4”), relating to the exchange offer of the New 2024 Notes for substantially identical notes registered under the Securities Act of 1933, as amended. The Exchange Offer S-4 was declared effective by the SEC on July 11, 2019 and the Company closed the Exchange Offer on August 12,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20, 2016, the Company issued $500 million in aggregate principal amount of 5.375% Senior Notes due 2025 (the “existing 2025 Senior Notes”). The existing 2025 Senior Notes bear interest at a rate of 5.375% per annum, payable semi-annually, in arrears on May 31 and November 30 of each year and will mature on May 31, 2025. All of the Company’s existing and future restricted subsidiaries that guarantee its revolving credit facility or certain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debt guarantee the existing 2025 Senior Notes, provided, however, that the existing 2025 Senior Notes are not guaranteed by Viper, Viper’s General Partner, Viper LLC, Rattler, Rattler’s General Partner or Rattler LLC, and will not be guaranteed by any of the Company’s future unrestricted subsidiaries.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29, 2018, the Company issued $300 million aggregate principal amount of new 5.375% Senior Notes due 2025 (the “New 2025 Notes”), which together with the existing 2025 Senior Notes are referred to as the 2025 Senior Notes, as additional notes under, and subject to the terms of, the 2025 Indenture. The New 2025 Notes were issued in a transaction exempt from the registration requirements under the Securities Act. The Company received approximately $308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Energen became the Company’s wholly owned subsidiary and remained the issuer of $530 million aggregate principal amount of the Energen Notes, issued under an indenture dated September 1, 1996 with The Bank of New York as Trustee (the “Energen Indenture”). The Energen Notes consist of: (1) $400 million aggregate principal amount of 4.625% senior notes due on September 1, 2021, (2) $100 million of 7.125% notes due on February 15, 2028, (3) $20 million of 7.32% notes due on July 28, 2022, and (4) $10 million of 7.35% notes due on July 28, 2027.</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a wholly owned subsidiary of the Company, continues to be the sole issuer and obligor under the Energen Notes. The Energen Notes rank equally in right of payment with all other senior unsecured indebtedness of Energen, including any unsecured guaranties by Energen of the Company’s indebtedness and are effectively subordinated to Energen’s senior secured indebtedness, including Energen’s secured guaranty of all borrowings and other obligations under the Company’s revolving credit facility, to the extent of the value of the collateral securing such indebtedness.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 The Energen Indenture does not include a restriction on the payment of dividends.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 As a result of such guarantees, under the terms of the 2024 Indenture and the 2025 Indenture, Energen also guaranteed the 2024 Senior Notes and the 2025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Credit Facility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the Company’s unsecured debt achieves an investment grade rating from two rating agencies and certain other conditions in the credit agreement are satisfied (the “investment grade changeover date”). The maximum credit amount available under the credit agreement is $5 billion, subject, prior to the investment grade changeover date, to a borrowing base based on the Company’s oil and natural gas reserves and other factors (the “borrowing base”) and the elected commitment amount. Prior to the investment grade changeover date, the borrowing base is scheduled to be redetermined, under certain circumstances, annually with an effective date of May 1st, and, under certain circumstances, semi-annually with effective dates of May 1st and November 1st. In addition, the Company and Wells Fargo each may request up to two interim redeterminations of the borrowing base during any 12-month period. On and after the investment grade changeover date, the maximum credit amount available under the credit agreement will be based solely on the commitments of the lenders, and will no longer be limited by the borrowing base. On the investment grade changeover date, the aggregate commitments of the lenders will be set at an amount equal to the aggregate elected commitment amount in effect on such date. As of September 30, 2019, the borrowing base was set at $3.4 billion, the Company had elected a commitment amount of $2.5 billion and the Company had approximately $1.6 billion of outstanding borrowings under its revolving credit facility and $0.9 billion available for future borrowings under its revolving credit facility.</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Diamondback O&amp;G LLC is the borrower under the credit agreement. As of September 30, 2019, the credit agreement is guaranteed by the Company, Diamondback E&amp;P LLC and Energen and its subsidiaries and will also be guaranteed by any of the Company’s future subsidiaries that are classified as restricted subsidiaries under the credit agreement. On and after the investment grade changeover date, the Company and Diamondback O&amp;G LLC will no longer be required to cause all restricted subsidiaries to guarantee the credit agreement, and, in certain circumstances, may cause guaranties made by subsidiary guarantors to be released. Prior to the investment grade changeover date, the credit agreement is also secured by substantially all of the assets of the Company, Diamondback O&amp;G LLC and the guarantors. On and after the investment grade changeover date, the credit agreement will be unsecured and all liens securing the credit facility will be released.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Prior to the investment grade changeover date,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On and after the investment grade changeover date, the applicable margin will range from 0.125% to 1.0% per annum in the case of the alternate base rate and from 1.125% to 2.0% per annum in the case of LIBOR, in each case, depending on the pricing level, which in turn depends on the rating agencies’ rating of the Company’s unsecured debt. Prior to the investment grade changeover date, the Company is obligated to pay a quarterly commitment fee ranging from 0.375% to 0.500% per year on the unused portion of the commitment, which fee is also dependent on the amount of loans and letters of credit outstanding in relation to the commitment. On and after the investment grade changeover date, the commitment fee will range from 0.125% to 0.350% per year on the unused portion of the commitment, based on the pricing level, which in turn depends on the rating agencies’ rating of the Company’s unsecured debt.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 principal may be optionally repaid from time to time without premium or penalty (other than customary LIBOR breakage). Prior to the investment grade changeover date, loan principal is required to be repaid (a) to the extent the loan amount exceeds the commitment or the borrowing base, whether due to a borrowing base redetermination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otherwise (in some cases subject to a cure period), (b) in an amount equal to the net cash proceeds from the sale of property when a borrowing base deficiency or event of default exists under the credit agreement and (c) at the maturity date of November 1, 2022. On and after the investment grade changeover date, loan principal is required to be repaid (a) to the extent the loan amount exceeds the commitment due to any termination or reduction of the aggregate maximum credit amount and (b) at the maturity date of November 1, 2022.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 (prior to the investment grade</w:t>
            </w:r>
          </w:p>
        </w:tc>
        <w:tc>
          <w:tcPr>
            <w:tcW w:w="4300" w:type="dxa"/>
            <w:vAlign w:val="bottom"/>
          </w:tcPr>
          <w:p>
            <w:pPr>
              <w:spacing w:after="0"/>
              <w:rPr>
                <w:sz w:val="18"/>
                <w:szCs w:val="18"/>
                <w:color w:val="auto"/>
              </w:rPr>
            </w:pPr>
          </w:p>
        </w:tc>
      </w:t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changeover date)</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applicable prior to the investment grade changeover date,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and after the investment grade changeover date, the financial covenants listed above will be replaced by a financial covenant that will require the Company to not permit the total net debt to capitalization ratio, as defined in the credit agreement, to exceed 65%. Additionally, on and after the investment grade changeover date, many of the negative covenants set forth in the credit agreement will no longer restrict the Company, Diamondback O&amp;G LLC and their restricted subsidiaries (the “Restricted Group”), including the covenants that limit (i) equity repurchases, dividends and other restricted payments, (ii) redemptions of the senior or senior subordinated notes, (iii) making investments, (iv) dispositions of property, (v) transactions with affiliates, and (vi) entering into swap agreements. In addition, on and after the investment grade changeover date, (i) the debt covenant will no longer restrict incurrences of debt by Diamondback O&amp;G LLC and guarantors, and will allow non-guarantor restricted subsidiaries to incur debt for borrowed money in an aggregate principal amount up to 15% of consolidated net tangible assets (as defined in the credit agreement) and (ii) the liens covenant will be modified to allow the Restricted Group to create liens if the aggregate amount of debt secured by such liens does not exceed 15% of consolidated net tangible assets.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On August 28, 2019, the Company, the borrower and certain of the Company’s subsidiaries (the “Loan Parties”) entered into a Consent Letter with Wells Fargo allowing the Loan Parties to enter into certain swap agreements in respect of interest rates for United States Treasury securities for an aggregate notional principal amount of up to $3 billion, subject to certain conditions set forth in the consent, which otherwise would be in excess of the notional principal amount of interest rate swap agreements permitted under the revolving credit facility immediately prior to the effectiveness of the consent. As of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31F20"/>
        </w:rPr>
        <w:t>, the borrower was party to interest rate swap agreements with an aggregate notional principal amount of $2 billion, interest rates ranging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from 1.3565% to 2.1509% and maturity dates ranging from August 24, 2020 to December 31, 2050.</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20, 2018, Viper, as guarantor, entered into an amended and restated credit agreement with Viper LLC, as borrower, Wells Fargo, as administrative agent, and the other lenders. The credit agreement, as amended to the date hereof, provides for a revolving credit facility in the maximum credit amount of $2 billion and a borrowing base based on Viper LLC’s oil and natural gas reserves and other factors (the “borrowing base”) of $725 million, subject to scheduled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w:t>
      </w:r>
      <w:r>
        <w:rPr>
          <w:rFonts w:ascii="Times New Roman" w:cs="Times New Roman" w:eastAsia="Times New Roman" w:hAnsi="Times New Roman"/>
          <w:sz w:val="18"/>
          <w:szCs w:val="18"/>
          <w:color w:val="231F20"/>
        </w:rPr>
        <w:t>Upon closing of the Drop-Down on October 1, 2019, the borrowing base under Viper LLC’s revolving credit facility was increased by</w:t>
      </w:r>
      <w:r>
        <w:rPr>
          <w:rFonts w:ascii="Times New Roman" w:cs="Times New Roman" w:eastAsia="Times New Roman" w:hAnsi="Times New Roman"/>
          <w:sz w:val="18"/>
          <w:szCs w:val="18"/>
          <w:color w:val="auto"/>
        </w:rPr>
        <w:t xml:space="preserve"> $125 million </w:t>
      </w:r>
      <w:r>
        <w:rPr>
          <w:rFonts w:ascii="Times New Roman" w:cs="Times New Roman" w:eastAsia="Times New Roman" w:hAnsi="Times New Roman"/>
          <w:sz w:val="18"/>
          <w:szCs w:val="18"/>
          <w:color w:val="231F20"/>
        </w:rPr>
        <w:t>to</w:t>
      </w:r>
      <w:r>
        <w:rPr>
          <w:rFonts w:ascii="Times New Roman" w:cs="Times New Roman" w:eastAsia="Times New Roman" w:hAnsi="Times New Roman"/>
          <w:sz w:val="18"/>
          <w:szCs w:val="18"/>
          <w:color w:val="auto"/>
        </w:rPr>
        <w:t xml:space="preserve"> $725 million </w:t>
      </w:r>
      <w:r>
        <w:rPr>
          <w:rFonts w:ascii="Times New Roman" w:cs="Times New Roman" w:eastAsia="Times New Roman" w:hAnsi="Times New Roman"/>
          <w:sz w:val="18"/>
          <w:szCs w:val="18"/>
          <w:color w:val="231F20"/>
        </w:rPr>
        <w:t>from</w:t>
      </w:r>
      <w:r>
        <w:rPr>
          <w:rFonts w:ascii="Times New Roman" w:cs="Times New Roman" w:eastAsia="Times New Roman" w:hAnsi="Times New Roman"/>
          <w:sz w:val="18"/>
          <w:szCs w:val="18"/>
          <w:color w:val="auto"/>
        </w:rPr>
        <w:t xml:space="preserve"> $600 million</w:t>
      </w:r>
      <w:r>
        <w:rPr>
          <w:rFonts w:ascii="Times New Roman" w:cs="Times New Roman" w:eastAsia="Times New Roman" w:hAnsi="Times New Roman"/>
          <w:sz w:val="18"/>
          <w:szCs w:val="18"/>
          <w:color w:val="231F20"/>
        </w:rPr>
        <w:t>. In connection with the commencement of the Viper Notes Offering described in Note 20—Subsequent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below, Viper entered into a third amendment to Viper LLC’s revolving credit facility with Wells Fargo, as administrative agent, and certain required lenders party thereto, which provides for the waiver of the automatic reduction of the borrowing base that would otherwise occur upon the consummation of the Viper Notes Offering. In addition, the third amendment increased the maximum amount of unsecured senior or senior subordinated notes that may be issued by Viper LLC or Viper from </w:t>
      </w:r>
      <w:r>
        <w:rPr>
          <w:rFonts w:ascii="Times New Roman" w:cs="Times New Roman" w:eastAsia="Times New Roman" w:hAnsi="Times New Roman"/>
          <w:sz w:val="18"/>
          <w:szCs w:val="18"/>
          <w:color w:val="000000"/>
        </w:rPr>
        <w:t>$400 million</w:t>
      </w:r>
      <w:r>
        <w:rPr>
          <w:rFonts w:ascii="Times New Roman" w:cs="Times New Roman" w:eastAsia="Times New Roman" w:hAnsi="Times New Roman"/>
          <w:sz w:val="18"/>
          <w:szCs w:val="18"/>
          <w:color w:val="231F20"/>
        </w:rPr>
        <w:t xml:space="preserve"> to $1.0 billion. The amendment was approved by the requisite percentage of lenders under the revolving credit facility and became effective on October 8, 2019. If the amendment had not been approved, the borrowing base under the revolving credit facility would have decreased by $125 million upon consummation of the Viper Notes Offering.</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2019, the borrowing base was set at $600 million, and Viper LLC had $410 million of outstanding borrowings and $190 million available for future borrowings under its revolving credit facility. Viper </w:t>
      </w:r>
      <w:r>
        <w:rPr>
          <w:rFonts w:ascii="Times New Roman" w:cs="Times New Roman" w:eastAsia="Times New Roman" w:hAnsi="Times New Roman"/>
          <w:sz w:val="18"/>
          <w:szCs w:val="18"/>
          <w:color w:val="231F20"/>
        </w:rPr>
        <w:t>funded the cash portion of the purchase price for the Drop-Down through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combination of cash on hand and borrowings under Viper LLC’s revolving credit facility. </w:t>
      </w:r>
      <w:r>
        <w:rPr>
          <w:rFonts w:ascii="Times New Roman" w:cs="Times New Roman" w:eastAsia="Times New Roman" w:hAnsi="Times New Roman"/>
          <w:sz w:val="18"/>
          <w:szCs w:val="18"/>
          <w:color w:val="000000"/>
        </w:rPr>
        <w:t>Viper LLC</w:t>
      </w:r>
      <w:r>
        <w:rPr>
          <w:rFonts w:ascii="Times New Roman" w:cs="Times New Roman" w:eastAsia="Times New Roman" w:hAnsi="Times New Roman"/>
          <w:sz w:val="18"/>
          <w:szCs w:val="18"/>
          <w:color w:val="231F20"/>
        </w:rPr>
        <w:t xml:space="preserve"> used the proceeds from the Viper Notes Offering to pay down borrowings under its revolving credit facility. Following these transactions, as of October 16, 2019, the closing date of the Viper Notes Offering, there was $95 million in outstanding borrowings under Viper LLC’s revolving credit facility, the borrowing base under Viper LLC’s revolving credit facility was </w:t>
      </w:r>
      <w:r>
        <w:rPr>
          <w:rFonts w:ascii="Times New Roman" w:cs="Times New Roman" w:eastAsia="Times New Roman" w:hAnsi="Times New Roman"/>
          <w:sz w:val="18"/>
          <w:szCs w:val="18"/>
          <w:color w:val="000000"/>
        </w:rPr>
        <w:t xml:space="preserve">$725 million </w:t>
      </w:r>
      <w:r>
        <w:rPr>
          <w:rFonts w:ascii="Times New Roman" w:cs="Times New Roman" w:eastAsia="Times New Roman" w:hAnsi="Times New Roman"/>
          <w:sz w:val="18"/>
          <w:szCs w:val="18"/>
          <w:color w:val="231F20"/>
        </w:rPr>
        <w:t>and Viper LLC had $630 million of available borrowing capacity under its revolving credit facility.</w:t>
      </w:r>
      <w:r>
        <w:rPr>
          <w:rFonts w:ascii="Times New Roman" w:cs="Times New Roman" w:eastAsia="Times New Roman" w:hAnsi="Times New Roman"/>
          <w:sz w:val="18"/>
          <w:szCs w:val="18"/>
          <w:color w:val="000000"/>
        </w:rPr>
        <w:t xml:space="preserve"> Additionally, in connection with Viper’s fall redetermination expected to occur in November 2019, the lead bank under the Viper LLC’s revolving credit facility has recommended a borrowing base increase to $775 million from the current borrowing base of $725 million. The anticipated increase in the borrowing base is subject to approval by the requisite lenders under Viper LLC’s revolving credit facility.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Viper was in compliance with all financial covenants under its revolving credit facility, as then in effect. The lenders may accelerate all of the indebtedness under Viper’s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Rattler Offering, Rattler, as parent, and Rattler LLC, as borrower, entered into a credit agreement, dated May 28, 2019, with Wells Fargo Bank, National Association, as administrative agent, and a syndicate of banks, including Wells Fargo Bank, National Association, as lenders party thereto (the “Rattler credit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loan is guaranteed by Rattler and Tall City, and is secured by substantially all of the assets of Rattler LLC, Rattler and Tall City. As of September 30, 2019, Rattler LLC had $103 million of outstanding borrowings and $497 million available for future borrowings under the Rattler credit agreement.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 The Rattler credit agreement may be used to fund capital expenditures, to finance working capital, for general company purposes, to pay fees and expenses related to the Rattler credit agreement, and to make distributions permitted under the Rattler credit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Rattler credit agreement also contains financial maintenance covenants that require the maintenance of the financial ratios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Leverage Ratio commencing with the fiscal quarter ending September 30,</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5.00 to 1.00 (or not greater than 5.50 to</w:t>
            </w:r>
          </w:p>
        </w:tc>
      </w:tr>
      <w:tr>
        <w:trPr>
          <w:trHeight w:val="216"/>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for 3 fiscal quarters following certain acquisitions),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but if the Consolidated Senior Secured Leverage Ratio (as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defined in the Rattler credit agreement) is applicable, then</w:t>
            </w:r>
          </w:p>
        </w:tc>
      </w:tr>
      <w:tr>
        <w:trPr>
          <w:trHeight w:val="241"/>
        </w:trPr>
        <w:tc>
          <w:tcPr>
            <w:tcW w:w="706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5.25 to 1.00)</w:t>
            </w:r>
          </w:p>
        </w:tc>
      </w:tr>
      <w:tr>
        <w:trPr>
          <w:trHeight w:val="2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Senior Secured Leverage Ratio commencing with the last day of any fiscal quarter</w:t>
            </w:r>
          </w:p>
        </w:tc>
        <w:tc>
          <w:tcPr>
            <w:tcW w:w="4360" w:type="dxa"/>
            <w:vAlign w:val="bottom"/>
          </w:tcPr>
          <w:p>
            <w:pPr>
              <w:spacing w:after="0"/>
              <w:rPr>
                <w:sz w:val="19"/>
                <w:szCs w:val="19"/>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which the Financial Covenant Election (as defined in the Rattler credit agreement) is made</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greater than 3.50 to 1.00</w:t>
            </w:r>
          </w:p>
        </w:tc>
      </w:tr>
      <w:tr>
        <w:trPr>
          <w:trHeight w:val="27"/>
        </w:trPr>
        <w:tc>
          <w:tcPr>
            <w:tcW w:w="706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25"/>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Interest Coverage Ratio (as defined in the Rattler credit agreement) commencing</w:t>
            </w:r>
          </w:p>
        </w:tc>
        <w:tc>
          <w:tcPr>
            <w:tcW w:w="4360" w:type="dxa"/>
            <w:vAlign w:val="bottom"/>
            <w:shd w:val="clear" w:color="auto" w:fill="CCEEFF"/>
          </w:tcPr>
          <w:p>
            <w:pPr>
              <w:spacing w:after="0"/>
              <w:rPr>
                <w:sz w:val="19"/>
                <w:szCs w:val="19"/>
                <w:color w:val="auto"/>
              </w:rPr>
            </w:pPr>
          </w:p>
        </w:tc>
      </w:tr>
      <w:tr>
        <w:trPr>
          <w:trHeight w:val="234"/>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fiscal quarter ending September 30, 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 less than 2.50 to 1.00</w:t>
            </w:r>
          </w:p>
        </w:tc>
      </w:tr>
      <w:tr>
        <w:trPr>
          <w:trHeight w:val="27"/>
        </w:trPr>
        <w:tc>
          <w:tcPr>
            <w:tcW w:w="70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2019, each of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Rattler credit agreement generally may be amended with the consent of the lenders holding a majority of the outstanding loans or commitments to lend.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Alliance with Obsidian Resources, L.L.C.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September 30, 2019, CEMOF had funded approximately $33 million. As of September 30, 2019, eight joint wells have been drilled and completed.</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did not complete any equity offerings during the nine months ended September 30, 2019 and September 30,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Equity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the Company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 LLC in turn used the net proceeds to repay a portion of the outstanding borrowings under its revolving credit facility and finance acquisitions during the period.</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2018, Viper completed an underwritten public offering of 10,080,000 common units, which included 1,080,000 common units issued pursuant to an option to purchase additional common units granted to the underwriters. Following this offering, Diamondback owned approximately 59% of the total Viper units then outstanding. Viper received net proceeds from this offering of approximately $303 million, after deducting underwriting discounts and commissions and estimated offering expenses. Viper used the net proceeds to purchase units of Viper LLC. Viper LLC in turn used the net proceeds to repay a portion of the $362 million then outstanding borrowings under its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Initial Public Offering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6—Rattler Midstream LP for information regarding Rattler’s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2019, the Company’s board of directors approved a stock repurchase program to acquire up to $2 billion of the Company’s outstanding common stock through December 31, 2020. Purchases under the repurchase program may be made from time to time in open market or privately negotiated transactions, and are subject to market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and nine months ended September 30, 2019, the Company repurchased approximately $296 million and $400 million, respectively, of common stock under this repurchase program. As of September 30, 2019, $1.6 billion remained available for use to repurchase shares under the Company's common stock repurchase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are included in the consolidated earnings per share computation based on the consolidated group’s holdings of the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162,543</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98,603</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Potential common shares issuable</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162,780</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98,818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164,466</w:t>
            </w: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98,820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attributable to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attributable to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12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gridSpan w:val="5"/>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64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EQUITY-BASED COMPENSATION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7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The following table presents the effects of the equity compensation plans and related costs: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6"/>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gridSpan w:val="5"/>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  $</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Equity-based compensation capitalized pursuant to full cost method of accounting</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oil and natural gas properties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units activity under the Equity Plan during the nine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116.01</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468,778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106.85</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100.47</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107.35</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493,740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107.54</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units that vested during the nine months ended September 30, 2019 and 2018 was $4 million and $15 million, respectively. As of September 30, 2019, the Company’s unrecognized compensation cost related to unvested restricted stock awards and units was $28 million. Such cost is expected to be recognized over a weighted-average period of 1.4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2019, eligible employees received performance restricted stock unit awards totaling 199,723 units from which a minimum of 0% and a maximum of 200% units could be awarded. The awards have a performance period of January 1, 2019 to December 31, 2021 and cliff vest at December 31, 2021.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grant-date fair values of performance restricted stock units granted and the related assumptions for the March 2019 awards.</w:t>
      </w:r>
    </w:p>
    <w:p>
      <w:pPr>
        <w:spacing w:after="0" w:line="104"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(3-year vesting)</w:t>
            </w:r>
          </w:p>
        </w:tc>
        <w:tc>
          <w:tcPr>
            <w:tcW w:w="2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137.22</w:t>
            </w: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Grant-date fair value (5-year vesting)</w:t>
            </w: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132.48</w:t>
            </w:r>
          </w:p>
        </w:tc>
      </w:tr>
      <w:tr>
        <w:trPr>
          <w:trHeight w:val="27"/>
        </w:trPr>
        <w:tc>
          <w:tcPr>
            <w:tcW w:w="3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2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918"/>
        </w:trPr>
        <w:tc>
          <w:tcPr>
            <w:tcW w:w="3100" w:type="dxa"/>
            <w:vAlign w:val="bottom"/>
          </w:tcPr>
          <w:p>
            <w:pPr>
              <w:spacing w:after="0"/>
              <w:rPr>
                <w:sz w:val="24"/>
                <w:szCs w:val="24"/>
                <w:color w:val="auto"/>
              </w:rPr>
            </w:pPr>
          </w:p>
        </w:tc>
        <w:tc>
          <w:tcPr>
            <w:tcW w:w="20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performance restricted stock units activity under the Equity Plan for the nine months ended September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540" w:type="dxa"/>
            <w:vAlign w:val="bottom"/>
          </w:tcPr>
          <w:p>
            <w:pPr>
              <w:spacing w:after="0"/>
              <w:rPr>
                <w:sz w:val="20"/>
                <w:szCs w:val="20"/>
                <w:color w:val="auto"/>
              </w:rPr>
            </w:pP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Grant-Date Fair Value</w:t>
            </w: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196,203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356,227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131.30</w:t>
            </w:r>
          </w:p>
        </w:tc>
      </w:tr>
      <w:tr>
        <w:trPr>
          <w:trHeight w:val="27"/>
        </w:trPr>
        <w:tc>
          <w:tcPr>
            <w:tcW w:w="7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155.23</w:t>
            </w: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Unvested at September 30, 2019</w:t>
            </w:r>
            <w:r>
              <w:rPr>
                <w:rFonts w:ascii="Times New Roman" w:cs="Times New Roman" w:eastAsia="Times New Roman" w:hAnsi="Times New Roman"/>
                <w:sz w:val="25"/>
                <w:szCs w:val="25"/>
                <w:color w:val="auto"/>
                <w:vertAlign w:val="superscript"/>
              </w:rPr>
              <w:t>(1)</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325,249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150.63</w:t>
            </w:r>
          </w:p>
        </w:tc>
      </w:tr>
      <w:tr>
        <w:trPr>
          <w:trHeight w:val="20"/>
        </w:trPr>
        <w:tc>
          <w:tcPr>
            <w:tcW w:w="75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maximum of 650,498 units could be awarded based upon the Company’s final TSR ranking.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Company’s unrecognized compensation cost related to unvested performance based restricted stock awards and units was $28 million. Such cost is expected to be recognized over a weighted-average period of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such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stock appreciation rights activity during the nine months ended September 30,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824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70.64</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96.91</w:t>
            </w: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90.84</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Energen Merger, each option to purchase shares of Energen common stock that was outstanding immediately prior to the effective time of the Merger was converted into a fully vested option to purchase such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at an exercise price per share of Diamondback common stock (rounded up to the nearest whole cent) equal to the quotient of (A) the exercise price per share of Energen common stock of such option immediately prior to the effective time of the Merger divided by (B) the exchange ratio. The exercise price of stock options granted may not be less than the market value of the stock at the date of grant.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yield curve rate for the expected term of the option at the date of grant. All such amounts represent the weighted-average amounts for each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70"/>
        </w:trPr>
        <w:tc>
          <w:tcPr>
            <w:tcW w:w="5160" w:type="dxa"/>
            <w:vAlign w:val="bottom"/>
          </w:tcPr>
          <w:p>
            <w:pPr>
              <w:spacing w:after="0"/>
              <w:rPr>
                <w:sz w:val="23"/>
                <w:szCs w:val="23"/>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7"/>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216,343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September 30,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216,343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216,343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 Phantom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Viper Energy Partners LP Long Term Incentive Plan (“Viper LTIP”), the Board of Directors of the General Partner is authorized to issue phantom units to eligible employees. Viper estimates the fair value of phantom units as the closing price of Viper’s common units on the grant date of the award, which is expensed over the applicable vesting period. Upon vesting the phantom units entitle the recipient one common unit of Viper for each phantom unit.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Viper LTIP for the nine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125,053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33,886</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32.78</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(81,124)</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76,787</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phantom units that vested during the nine months ended September 30, 2019 was $2 million. As of September 30, 2019, the unrecognized compensation cost related to unvested phantom units was $1 million. Such cost is expected to be recognized over a weighted-average period of 0.81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Long-Term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Rattler LTIP for the nine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54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Phantom</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38"/>
        </w:trPr>
        <w:tc>
          <w:tcPr>
            <w:tcW w:w="754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7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May 28, 2019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2,248,572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7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w:t>
            </w:r>
          </w:p>
        </w:tc>
      </w:tr>
      <w:tr>
        <w:trPr>
          <w:trHeight w:val="25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2,191,429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r>
      <w:tr>
        <w:trPr>
          <w:trHeight w:val="20"/>
        </w:trPr>
        <w:tc>
          <w:tcPr>
            <w:tcW w:w="7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unrecognized compensation cost related to unvested phantom units was $39 million. Such cost is expected to be recognized over a weighted-average period of 2.6 years.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 Viper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Viper Offering, Viper and Viper’s General Partner entered into an advisory services agreement (the “Viper Advisory Services Agreement”) with Wexford, dated as of June 23, 2014, under which Wexford provided Viper and Viper’s General Partner with general financial and strategic advisory services related to the business in return for an annual fee of $500,000, plus reasonable out-of-pocket expenses. The Advisory Services Agreement was terminated on November 12, 2018 and Viper’s payment obligation ended in June 2019. During 2019, Viper did not pay any amounts under the Advisory Services Agreement. For the three months and nine months ended September 30, 2018, Viper did not pay any amounts under the Advisory Services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Bonus - Viper</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did not pay Viper any lease bonus payments. During the nine months ended September 30, 2019, the Company paid Viper $39,198 in lease bonus payments to extend the term of two leases and $3,101 in lease bonus payments for two new leases. During the three months and nine months ended September 30, 2018, the Company paid Viper $3 million in lease bonus payments to extend the term of 12 leases.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Offering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6—Rattler Midstream LP for information regarding relationships between the Company and Rattler.</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effective income tax rates were 20.8% and 21.2% for the three months ended September 30, 2019 and 2018, respectively, and 17.9% and 11.5% for the nine months ended September 30, 2019 and 2018, respectively. Total income tax expense for the three and nine months ended September 30, 2019 differed from amounts computed by applying the United States federal statutory tax rate to pre-tax income primarily due to current and deferred state income taxes, the impact of permanent differences between book and taxable income, and the revision of estimated deferred taxes recognized by Viper as a result of its change in tax status. For the nine months ended September 30, 2019, the Company recorded a discrete income tax expense of less than $1 million related to equity-based compensation and a discrete benefit of approximately $42 million related to the revision of estimated deferred taxes on Viper’s investment in Viper LLC arising from the change in Viper’s tax status. Based on information regarding unitholders’ tax basis which, under IRS reporting rules, was not available until the current period, Viper revised its estimate of deferred taxes on Viper’s investment in Viper LLC, and further revisions are not expected. Total income tax expense for the three and nine months ended September 30, 2018 differed from amounts computed by applying the federal statutory rate to pre-tax income primarily due to (i) state income taxes, (ii) net income attributable to the noncontrolling interest, (iii) the impact of permanent differences between book and taxable income, and (iv) for the nine months ended September 30, 2018, deferred taxes recognized by Viper as a result of its change in tax status.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further in Note 6,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further in Note 5, on March 29, 2018, Viper announced that the Board of Directors of Viper’s General Partner had unanimously approved a change of Viper’s federal income tax status from that of a pass-through partnership to that of a taxable entity, which change became effective on May 10, 2018. The transactions undertaken in connection with the change in Viper’s tax status were not taxable to the Company. Subsequent to Viper’s change in tax status, Viper’s provision for income taxes is based on its estimated annual effective tax rate plus discrete items. As such, Viper’s provision for income taxes is included in the Company’s consolidated financial statements and to the extent applicable, in net income attributable to the non-controlling interest.</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used fixed price swap contracts, fixed price basis swap contracts, double-up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Magellan East Houston oil price and the WTI Cushing price and for the spread between the Henry Hub natural gas price and the Waha Hub natural gas price. The Company also utilizes double-up swap contracts for a portion of its natural gas sales. These contracts include a traditional fixed price swap in addition to a call option at the same quantity and price, providing the counterparty the option to double the volume in the swap contract should the monthly settlement price exceed the fixed price contracted upon.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the New York Mercantile Exchange Henry Hub and Waha Hub pricing and liquids derivative settlements based on Mt. Belvieu pricing.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the following outstanding derivative contracts.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8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4"/>
        </w:trPr>
        <w:tc>
          <w:tcPr>
            <w:tcW w:w="230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Fixed Price Swap</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Fixed Price Swap</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Fixed Price Swap</w:t>
            </w:r>
          </w:p>
        </w:tc>
      </w:tr>
      <w:tr>
        <w:trPr>
          <w:trHeight w:val="238"/>
        </w:trPr>
        <w:tc>
          <w:tcPr>
            <w:tcW w:w="2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(per Bbl/MMBtu)</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(per Bbl/MMBtu)</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Bbl/MMBtu)</w:t>
            </w:r>
          </w:p>
        </w:tc>
      </w:tr>
      <w:tr>
        <w:trPr>
          <w:trHeight w:val="27"/>
        </w:trPr>
        <w:tc>
          <w:tcPr>
            <w:tcW w:w="23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WTI Cushing</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Swaps - WTI Magellan</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East Houston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BRENT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Basis Swaps - WTI</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Cushing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Swaps - Henry</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Hub</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Swaps - Waha</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Hub</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Basis Swaps -</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Waha Hub</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36,500,000</w:t>
            </w:r>
          </w:p>
        </w:tc>
        <w:tc>
          <w:tcPr>
            <w:tcW w:w="78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 Swaps -</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 Belvieu</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WTI Magellan East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WTI Magellan East</w:t>
            </w:r>
          </w:p>
        </w:tc>
      </w:tr>
      <w:tr>
        <w:trPr>
          <w:trHeight w:val="238"/>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WTI Cushing</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30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WTI Cushing</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Houston</w:t>
            </w: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552,000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6,842,200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5,124,000</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51.67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78.47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66.10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68.61</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Gas Swap Double-Up - Waha Hub</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
        </w:trPr>
        <w:tc>
          <w:tcPr>
            <w:tcW w:w="10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(Mcf)</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10,980,000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 price (per Mcf)</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10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 price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10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Swaps and Treasury Locks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used interest rate swaps and treasury locks to reduce the Company’s exposure to variable rate interest payments associated with the Company’s revolving credit facility. The interest rate swaps and treasury locks have not been designated as hedging instruments and as a result, the Company recognizes all changes in fair value immediately in earnings.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interest rate swaps and treasury locks as of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Notional Amount (in</w:t>
            </w:r>
          </w:p>
        </w:tc>
        <w:tc>
          <w:tcPr>
            <w:tcW w:w="1980" w:type="dxa"/>
            <w:vAlign w:val="bottom"/>
          </w:tcPr>
          <w:p>
            <w:pPr>
              <w:spacing w:after="0"/>
              <w:rPr>
                <w:sz w:val="18"/>
                <w:szCs w:val="18"/>
                <w:color w:val="auto"/>
              </w:rPr>
            </w:pPr>
          </w:p>
        </w:tc>
      </w:tr>
      <w:tr>
        <w:trPr>
          <w:trHeight w:val="238"/>
        </w:trPr>
        <w:tc>
          <w:tcPr>
            <w:tcW w:w="24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6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200" w:type="dxa"/>
            <w:vAlign w:val="bottom"/>
          </w:tcPr>
          <w:p>
            <w:pPr>
              <w:spacing w:after="0"/>
              <w:rPr>
                <w:sz w:val="20"/>
                <w:szCs w:val="20"/>
                <w:color w:val="auto"/>
              </w:rPr>
            </w:pPr>
          </w:p>
        </w:tc>
        <w:tc>
          <w:tcPr>
            <w:tcW w:w="22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7"/>
        </w:trPr>
        <w:tc>
          <w:tcPr>
            <w:tcW w:w="24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Lock</w:t>
            </w:r>
          </w:p>
        </w:tc>
        <w:tc>
          <w:tcPr>
            <w:tcW w:w="2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August 23, 2019</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24,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w:t>
            </w: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Lock</w:t>
            </w:r>
          </w:p>
        </w:tc>
        <w:tc>
          <w:tcPr>
            <w:tcW w:w="2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August 23, 2019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24,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r>
      <w:tr>
        <w:trPr>
          <w:trHeight w:val="27"/>
        </w:trPr>
        <w:tc>
          <w:tcPr>
            <w:tcW w:w="2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1.59675%</w:t>
            </w: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7"/>
        </w:trPr>
        <w:tc>
          <w:tcPr>
            <w:tcW w:w="2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43"/>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7"/>
        </w:trPr>
        <w:tc>
          <w:tcPr>
            <w:tcW w:w="2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7"/>
        </w:trPr>
        <w:tc>
          <w:tcPr>
            <w:tcW w:w="24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September 30, 2019 and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8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amounts of assets presented in the Consolidated Balance Sheet</w:t>
            </w:r>
          </w:p>
        </w:tc>
        <w:tc>
          <w:tcPr>
            <w:tcW w:w="2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amounts of assets presented in the Consolidated Balance Sheet</w:t>
            </w:r>
          </w:p>
        </w:tc>
        <w:tc>
          <w:tcPr>
            <w:tcW w:w="2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amounts of liabilities presented in the Consolidated Balance Sheet</w:t>
            </w: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amounts of liabilities presented in the Consolidated Balance Sheet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8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derivative instruments</w:t>
            </w: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derivative instruments</w:t>
            </w: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 derivative instruments</w:t>
            </w: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 derivative instruments</w:t>
            </w: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Company’s derivatives have been designated as hedges. As such, all changes in fair value are immediately recognized in earnings.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following table summarizes the gains and losses on derivative instruments included in the consolidated statements of operations:</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6280" w:type="dxa"/>
            <w:vAlign w:val="bottom"/>
          </w:tcPr>
          <w:p>
            <w:pPr>
              <w:spacing w:after="0"/>
              <w:rPr>
                <w:sz w:val="24"/>
                <w:szCs w:val="24"/>
                <w:color w:val="auto"/>
              </w:rPr>
            </w:pPr>
          </w:p>
        </w:tc>
        <w:tc>
          <w:tcPr>
            <w:tcW w:w="2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280" w:type="dxa"/>
            <w:vAlign w:val="bottom"/>
          </w:tcPr>
          <w:p>
            <w:pPr>
              <w:spacing w:after="0"/>
              <w:rPr>
                <w:sz w:val="20"/>
                <w:szCs w:val="20"/>
                <w:color w:val="auto"/>
              </w:rPr>
            </w:pPr>
          </w:p>
        </w:tc>
        <w:tc>
          <w:tcPr>
            <w:tcW w:w="21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6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6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9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6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asset retirement obligations pursuant to the provisions of the FASB issued ASC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9—Asset Retirement Obligations for further discussion of the Company’s asset retirement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Company’s derivative instruments and Viper’s cost method investment. The fair value of Viper’s investment is determined using quoted market prices. These valuations are Level 1 inputs.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fair value measurement information for financial assets and liabilities measured at fair value on a recurring basis 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2019 and December 31, 2018.:</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0"/>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90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020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Viper’s cost method investment during the periods presented: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2018</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September 30, 2019</w:t>
            </w: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2017</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Impact of adoption of Accounting Standards Update 2016-01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September 30, 2018</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167" w:lineRule="exact"/>
        <w:rPr>
          <w:sz w:val="20"/>
          <w:szCs w:val="20"/>
          <w:color w:val="auto"/>
        </w:rPr>
      </w:pPr>
    </w:p>
    <w:tbl>
      <w:tblPr>
        <w:tblLayout w:type="fixed"/>
        <w:tblInd w:w="5500" w:type="dxa"/>
        <w:tblCellMar>
          <w:top w:w="0" w:type="dxa"/>
          <w:left w:w="0" w:type="dxa"/>
          <w:bottom w:w="0" w:type="dxa"/>
          <w:right w:w="0" w:type="dxa"/>
        </w:tblCellMar>
      </w:tblPr>
      <w:tr>
        <w:trPr>
          <w:trHeight w:val="238"/>
        </w:trPr>
        <w:tc>
          <w:tcPr>
            <w:tcW w:w="30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00" w:type="dxa"/>
            <w:vAlign w:val="bottom"/>
          </w:tcPr>
          <w:p>
            <w:pPr>
              <w:spacing w:after="0"/>
              <w:rPr>
                <w:sz w:val="20"/>
                <w:szCs w:val="20"/>
                <w:color w:val="auto"/>
              </w:rPr>
            </w:pPr>
          </w:p>
        </w:tc>
      </w:tr>
      <w:tr>
        <w:trPr>
          <w:trHeight w:val="27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3764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4.625%</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7.320%</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4.750%</w:t>
            </w:r>
          </w:p>
        </w:tc>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r>
      <w:tr>
        <w:trPr>
          <w:trHeight w:val="243"/>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5.375%</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7.350%</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7.125%</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50"/>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Viper revolving credit facility</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Rattler revolving credit facility</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DrillCo Agreement</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Energen Merger, Energen became a wholly owned subsidiary of the Company and remained the issuer of the Energen Notes. These notes were marked to fair value with the excess being amortized.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revolving credit facility, Viper’s revolving credit facility and Rattler’s revolving credit facility approximates their carrying value based on borrowing rates available to the Company for bank loans with similar terms and maturities and is classified as Level 2 in the fair value hierarchy. The fair value of the Senior Notes and the Energen Notes was determined using the September 30, 2019 quoted market price, a Level 1 classification in the fair value hierarchy.</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certain drilling rigs, facilities, compression and other equipment.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2—Summary of Significant Accounting Policies, the Company adopted ASU 2016-02, ASU 2018-11 and ASU 2019-01 on January 1, 2019 using the optional transition method of adoption. The Company elected a package of practical expedients that together allows an entity to not reassess (i) whether a contract is or contains a lease, (ii) lease classification and (iii) initial direct costs. In addition, the Company elected the following practical expedients: (i) to not reassess certain land easements; (ii) to not apply the recognition requirements under the standard to short-term leases; (iii) to not reassess lease terms on leases entered into prior to the effective date of adoption; and (iv) lessor accounting policy election to exclude lessor costs paid directly by the lessee.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leases where the Company is the lessee, the Company recorded a total of $13 million in right-of-use assets and corresponding new lease liabilities in other on its Condensed Consolidated Balance Sheet representing the present value of its future operating lease payments. Adoption of the standards did not require an adjustment to the opening balance of retained earnings. The discount rate used to determine present value was based on the rate of interest that the Company estimated it would have to pay to borrow (on a collateralized-basis over a similar term) an amount equal to the lease payments in a similar economic environment as of January 1, 2019. The Company is required to reassess the discount rate for any new and modified lease contracts as of the lease effective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right-of-use assets and lease liabilities recognized upon adoption of ASU 2016-02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operating lease costs for the three months and nine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46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9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cash paid for operating lease liabilities, and reported in cash flows provided by operating activities on the Company's Statement of Condensed Consolidated Cash Flows, was $19 million. During the nine months ended September 30, 2019, the Company recorded an additional $15 million of right-of-use assets in exchange for new lease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operating lease right-of-use assets were reported in other assets and the current and noncurrent portions of the operating lease liabilities were reported in other accrued liabilities and other long-term liabilities, respectively, on the Condensed Consolidated Balance Sheet. As of September 30, 2019, the operating right-of-use assets were $19 million and operating lease liabilities were $19 million, of which $13 million was classified as current. As of September 30, 2019, the weighted average remaining lease term was 1.6 years and the weighted average discount rate was 8.4%.</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Schedule of Operating Lease Liability Maturities</w:t>
      </w:r>
      <w:r>
        <w:rPr>
          <w:rFonts w:ascii="Times New Roman" w:cs="Times New Roman" w:eastAsia="Times New Roman" w:hAnsi="Times New Roman"/>
          <w:sz w:val="18"/>
          <w:szCs w:val="18"/>
          <w:color w:val="auto"/>
        </w:rPr>
        <w:t>. The following table summarizes undiscounted cash flows owed by the Company to lessors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contractual agreements in effect as of September 30, 2019: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(October - December)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tcPr>
          <w:p>
            <w:pPr>
              <w:spacing w:after="0"/>
              <w:rPr>
                <w:sz w:val="21"/>
                <w:szCs w:val="21"/>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leases in which the Company is the lessor, the Company (i) retained classification of our historical leases as we are not required to reassess classification upon adoption of the new standard, (ii) expensed indirect leasing costs in connection with new or extended tenant leases, the recognition of which would have been deferred under prior accounting guidance and (iii) aggregated revenue from our lease components and non-lease components (comprised of tenant expense reimbursements) into revenue from rental properties.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legal proceedings, disputes and claims arising in the course of its business, including those that arise from interpretation of federal and state laws and regulations affecting the natural gas and crude oil industry. While the ultimate outcome of the pending proceedings, disputes or claims, and any resulting impact on the Company, cannot be predicted with certainty, the Company believes that none of these matters, if ultimately decided adversely, will have a material adverse effect on the Company’s financial condition, cash flows or results of operations.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2019 Dividend Declaration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 2019, the Board of Directors of the Company declared a cash dividend for the third quarter of 2019 of $0.1875 per share of common stock, payable on November 22, 2019 to its stockholders of record at the close of business on November 15, 2019.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Contracts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September 30, 2019, the Company entered into new fixed price basis swaps. The Company’s derivative contracts are based upon reported settlement prices on commodity exchanges, with crude oil derivative settlements based on Crude Oil Brent.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derivative contracts entered into by the Company subsequent to September 30, 2019.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January 2020 -</w:t>
            </w:r>
          </w:p>
        </w:tc>
        <w:tc>
          <w:tcPr>
            <w:tcW w:w="0" w:type="dxa"/>
            <w:vAlign w:val="bottom"/>
          </w:tcPr>
          <w:p>
            <w:pPr>
              <w:spacing w:after="0"/>
              <w:rPr>
                <w:sz w:val="1"/>
                <w:szCs w:val="1"/>
                <w:color w:val="auto"/>
              </w:rPr>
            </w:pPr>
          </w:p>
        </w:tc>
      </w:tr>
      <w:tr>
        <w:trPr>
          <w:trHeight w:val="238"/>
        </w:trPr>
        <w:tc>
          <w:tcPr>
            <w:tcW w:w="9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2020</w:t>
            </w:r>
          </w:p>
        </w:tc>
        <w:tc>
          <w:tcPr>
            <w:tcW w:w="0" w:type="dxa"/>
            <w:vAlign w:val="bottom"/>
          </w:tcPr>
          <w:p>
            <w:pPr>
              <w:spacing w:after="0"/>
              <w:rPr>
                <w:sz w:val="1"/>
                <w:szCs w:val="1"/>
                <w:color w:val="auto"/>
              </w:rPr>
            </w:pPr>
          </w:p>
        </w:tc>
      </w:tr>
      <w:tr>
        <w:trPr>
          <w:trHeight w:val="27"/>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Brent</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2,525,400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Drop-Down and Increase in the Borrowing Base under Viper LLC’s Revolving Credit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 2019, the Company completed a transaction to divest certain mineral and royalty interests to Viper for approximately 18.3 million of Viper’s newly-issued Class B units, approximately 18.3 million newly-issued units of Viper LLC and $190 million in cash, after giving effect to closing adjustments for net title benefits. Based on the volume weighted average sales price of Viper’s common units for the ten trading-day period ended July 26, 2019 of approximately $30.07, the transaction is valued at $740 million. See Note 4—Acquisitions for additional information regarding this divestiture.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Viper’s Notes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16, 2019, Viper completed an offering (the “Viper Notes Offering”) of $500 million in aggregate principal amount of its 5.375% Senior Notes due 2027 (the “Viper Notes”). Viper received net proceeds of approximately $492 million from the Viper Notes Offering. Viper loaned the gross proceeds to Viper LLC as described below. Viper LLC used the proceeds from the Viper Notes Offering to pay down borrowings under its revolving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Viper Notes are senior unsecured obligations of Viper, initially are guaranteed on a senior unsecured basis by Viper LLC, and will pay interest semi-annually. Neither the Company nor Viper’s General Partner guarantee the Viper Notes. In the future, each of Viper’s restricted subsidiaries that either (1) guarantees any of its or a guarantor’s other indebtedness or (2) is a domestic restricted subsidiary and is an obligor with respect to any indebtedness under any credit facility will be required to guarantee the Viper Notes.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Amendment to Rattler Credit Agreement</w:t>
      </w:r>
    </w:p>
    <w:p>
      <w:pPr>
        <w:spacing w:after="0" w:line="18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On October 23, 2019, Rattler entered into a first amendment (the “First Amendment”) to the Rattler credit agreement with Rattler LLC, Wells Fargo Bank, National Association, as the administrative agent, and certain lenders from time to time party thereto. The First Amendment, among other things, provides Rattler LLC with additional flexibility to make investments in joint ventures and other third parties, including investments in the Wink to Webster project and the Joint Venture. Pursuant to the First Amendment, the Joint Venture is designated as an unrestricted subsidiary under the Credit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REPORT OF BUSINESS SEGMENTS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reports its operations in two business segments: (i) the exploration and production segment, which is engaged in the acquisition, development, exploration and exploitation of unconventional, onshore oil and natural gas reserves in the Permian Basin in West Texas and (ii) the midstream operations segment.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results of the Company's business segments during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22,452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23,553</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9,807</w:t>
            </w:r>
          </w:p>
        </w:tc>
      </w:tr>
      <w:tr>
        <w:trPr>
          <w:trHeight w:val="70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22,452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23,553</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9,807</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GUARANTOR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2019, Diamondback E&amp;P LLC, Diamondback O&amp;G LLC and Energen Corporation and its subsidiaries (the “Guarantor Subsidiaries”) are guarantors under the 2024 Indenture and the 2025 Indenture. In connection with the issuance of the 2024 Senior Notes and the 2025 Senior Notes, Viper, Viper’s General Partner, Viper LLC and Rattler LLC were designated as Non-Guarantor Subsidiaries. The following presents condensed consolidated financial information for the Company (which for purposes of this Note 22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Rattler entities were not guarantors under the 2024 Senior Notes or the 2025 Senior Notes for the previous periods presented; therefore, the schedules that follow have been adjusted to reflect this correction of an immaterial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4,272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845</w:t>
            </w:r>
          </w:p>
        </w:tc>
      </w:tr>
      <w:tr>
        <w:trPr>
          <w:trHeight w:val="269"/>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full cost method of accounting</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24,822</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22,043</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Funds held in escrow</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r>
      <w:tr>
        <w:trPr>
          <w:trHeight w:val="282"/>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16,732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23,553</w:t>
            </w:r>
          </w:p>
        </w:tc>
      </w:tr>
      <w:tr>
        <w:trPr>
          <w:trHeight w:val="251"/>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5,330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1,181</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4,761</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55"/>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9,043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8,064</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14,050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1,439</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11,408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15,489</w:t>
            </w:r>
          </w:p>
        </w:tc>
      </w:tr>
      <w:tr>
        <w:trPr>
          <w:trHeight w:val="242"/>
        </w:trPr>
        <w:tc>
          <w:tcPr>
            <w:tcW w:w="4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16,732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20,451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3,313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23,553</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3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130" w:gutter="0" w:footer="0" w:header="0"/>
          <w:type w:val="continuous"/>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4,556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r>
      <w:tr>
        <w:trPr>
          <w:trHeight w:val="269"/>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full cost method of accounting</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22,299</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18,544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20,372</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r>
      <w:tr>
        <w:trPr>
          <w:trHeight w:val="282"/>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51"/>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5,609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4,464</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1,785</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9,190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7,429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13,700</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10,495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14,167</w:t>
            </w:r>
          </w:p>
        </w:tc>
      </w:tr>
      <w:tr>
        <w:trPr>
          <w:trHeight w:val="242"/>
        </w:trPr>
        <w:tc>
          <w:tcPr>
            <w:tcW w:w="4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076" w:gutter="0" w:footer="0" w:header="0"/>
          <w:type w:val="continuous"/>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882</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5"/>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975</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operating expense</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5"/>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6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86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r>
      <w:tr>
        <w:trPr>
          <w:trHeight w:val="255"/>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6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490</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388</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42"/>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368</w:t>
            </w: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55"/>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537</w:t>
            </w:r>
          </w:p>
        </w:tc>
      </w:tr>
      <w:tr>
        <w:trPr>
          <w:trHeight w:val="25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operating expense</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269</w:t>
            </w:r>
          </w:p>
        </w:tc>
      </w:tr>
      <w:tr>
        <w:trPr>
          <w:trHeight w:val="25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other expense, net</w:t>
            </w:r>
          </w:p>
        </w:tc>
        <w:tc>
          <w:tcPr>
            <w:tcW w:w="8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5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5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4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118" w:right="29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Oil sales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2,572</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Natural gas sales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Royalty income</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Lease bonus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55"/>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2,860</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364</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operating expense</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55"/>
        </w:trPr>
        <w:tc>
          <w:tcPr>
            <w:tcW w:w="436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1,781</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6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1,079</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86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70"/>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958</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r>
      <w:tr>
        <w:trPr>
          <w:trHeight w:val="255"/>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787</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Oil sales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1,334</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Natural gas sales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Royalty income</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Lease bonus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55"/>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1,543</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391</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5"/>
        </w:trPr>
        <w:tc>
          <w:tcPr>
            <w:tcW w:w="43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6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816</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86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70"/>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expense, net</w:t>
            </w:r>
          </w:p>
        </w:tc>
        <w:tc>
          <w:tcPr>
            <w:tcW w:w="8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r>
      <w:tr>
        <w:trPr>
          <w:trHeight w:val="255"/>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539</w:t>
            </w: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1,852</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real estate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1,409</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joint venture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 to parent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Contributions from subsidiaries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Repurchased for tax withholdings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Repurchased as part of share buyback</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777</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1,153</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real estate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senior notes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Contributions to subsidiaries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Contributions by members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r>
      <w:tr>
        <w:trPr>
          <w:trHeight w:val="265"/>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42"/>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2018.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two business segments: (i) the exploration and production segment, which is engaged in the acquisition, development, exploration and exploitation of unconventional, onshore oil and natural gas reserves in the Permian Basin in West Texas and (ii) through our subsidiary, Rattler, the midstream operations segment, which is focused on ownership, operation, development and acquisition of the midstream infrastructure assets in the Midland and Delaware Basins of the Permian Basin.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Production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exploration and production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we had approximately 379,897 net acres, which primarily consisted of approximately 193,006 net acres in the Midland Basin and approximately 158,799 net acres in the Delaware Basin. As of December 31, 2018, we had an estimated 11,868 gross horizontal locations that we believe to be economic at $60 per Bbl West Texas Intermediate, or WTI.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operated horizontal wells drilled and completed during the three months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3"/>
                <w:szCs w:val="23"/>
                <w:color w:val="auto"/>
              </w:rPr>
            </w:pPr>
          </w:p>
        </w:tc>
        <w:tc>
          <w:tcPr>
            <w:tcW w:w="3360" w:type="dxa"/>
            <w:vAlign w:val="bottom"/>
            <w:tcBorders>
              <w:bottom w:val="single" w:sz="8" w:color="auto"/>
            </w:tcBorders>
            <w:gridSpan w:val="5"/>
          </w:tcPr>
          <w:p>
            <w:pPr>
              <w:jc w:val="right"/>
              <w:spacing w:after="0" w:line="265" w:lineRule="exact"/>
              <w:rPr>
                <w:sz w:val="20"/>
                <w:szCs w:val="20"/>
                <w:color w:val="auto"/>
              </w:rPr>
            </w:pPr>
            <w:r>
              <w:rPr>
                <w:rFonts w:ascii="Times New Roman" w:cs="Times New Roman" w:eastAsia="Times New Roman" w:hAnsi="Times New Roman"/>
                <w:sz w:val="18"/>
                <w:szCs w:val="18"/>
                <w:b w:val="1"/>
                <w:bCs w:val="1"/>
                <w:color w:val="auto"/>
                <w:w w:val="98"/>
              </w:rPr>
              <w:t>Three Months Ended September 30, 2019</w:t>
            </w:r>
            <w:r>
              <w:rPr>
                <w:rFonts w:ascii="Times New Roman" w:cs="Times New Roman" w:eastAsia="Times New Roman" w:hAnsi="Times New Roman"/>
                <w:sz w:val="25"/>
                <w:szCs w:val="25"/>
                <w:b w:val="1"/>
                <w:bCs w:val="1"/>
                <w:color w:val="auto"/>
                <w:w w:val="98"/>
                <w:vertAlign w:val="superscript"/>
              </w:rPr>
              <w:t>(1)</w:t>
            </w:r>
          </w:p>
        </w:tc>
        <w:tc>
          <w:tcPr>
            <w:tcW w:w="1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570"/>
              <w:spacing w:after="0" w:line="265"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5"/>
                <w:szCs w:val="25"/>
                <w:b w:val="1"/>
                <w:bCs w:val="1"/>
                <w:color w:val="auto"/>
                <w:vertAlign w:val="superscript"/>
              </w:rPr>
              <w:t>(2)</w:t>
            </w:r>
          </w:p>
        </w:tc>
        <w:tc>
          <w:tcPr>
            <w:tcW w:w="7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7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16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Area</w:t>
            </w: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Basin</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 Basin</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lateral length for the wells completed during the third quarter of 2019 was 9,549 feet. Operated completions during the third quarter of 2019 consisted of 58 Wolfcamp A wells, ten Lower Spraberry wells, seven Wolfcamp B wells, four Middle Spraberry wells, four Jo Mill wells, two Second Bone Springs wells, one Third Bone Springs well, one Wolfcamp D well and one Meramec well.</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lateral length for wells completed during the nine months of 2019 was 9,665 feet, and consisted of 142 Wolfcamp A wells, 43 Lower Spraberry wells, 25 Wolfcamp B wells, nine Middle Spraberry wells, seven Second Bone Springs wells, six Jo Mill wells, five Third Bone Springs wells, one Wolfcamp D well and one Meramec well.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we operated the following wells: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Vertical Wells</w:t>
            </w:r>
          </w:p>
        </w:tc>
        <w:tc>
          <w:tcPr>
            <w:tcW w:w="26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Horizontal Wells</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Basin</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1,585</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2,541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 Basin</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1"/>
                <w:szCs w:val="21"/>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495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1,618</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1,418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3,036</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As of September 30, 2019, we held interests in 4,002 gross (2,916 net) wells, including wells that we do not operate.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Midstream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natural gas gathering and compression system consists of gathering pipelines, compression and metering facilities, which collectively service the production from our Pecos area assets within the Permian Basin. Rattler’s fresh water sourcing and distribution assets consists of water wells, frac pits, pipelines and water treatment facilities, which collectively gather and distribute water from Permian Basin aquifers to the drilling and completion sites through buried pipelines and temporary surface pipelines. Rattler’s saltwater gathering and disposal system spans approximately 460 miles and consists of gathering pipelines along with SWD wells and facilities which collectively gather and dispose of saltwater from operations throughout our Permian Basin acreage.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our exploration and production segment, our main sources of revenues are the sale of oil and natural gas production, as well as the sale of natural gas liquids that are extracted from our natural gas during processing.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midstream operations segment, our results are primarily driven by the volumes of crude oil that Rattler gathers, transports and delivers; natural gas that Rattler gathers, compresses, transports and delivers; fresh water that Rattler sources, transports and delivers; and produced water that Rattler gathers, transports and disposes of, and the fees Rattler charges per unit of throughput for our midstream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our oil and natural gas revenues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300" w:type="dxa"/>
            <w:vAlign w:val="bottom"/>
          </w:tcPr>
          <w:p>
            <w:pPr>
              <w:spacing w:after="0"/>
              <w:rPr>
                <w:sz w:val="20"/>
                <w:szCs w:val="20"/>
                <w:color w:val="auto"/>
              </w:rPr>
            </w:pPr>
          </w:p>
        </w:tc>
        <w:tc>
          <w:tcPr>
            <w:tcW w:w="26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5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sales</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Natural gas sales</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production, in our exploration and production business, consists primarily of oil, our revenues are more sensitive to fluctuations in oil prices than they are to fluctuations in natural gas or natural gas liquids prices. Oil, natural gas and natural gas liquids prices have historically been volatile.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our midstream operations business, we have indirect exposure to commodity price risk in that persistent low commodity prices may cause us or Rattler’s other customers to delay drilling or shut in production, which would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96"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commodity prices for the following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High and Low Futures Contract Prices: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($/Bbl, WTI Futures Contract 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High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62.90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74.15</w:t>
            </w:r>
          </w:p>
        </w:tc>
      </w:tr>
      <w:tr>
        <w:trPr>
          <w:trHeight w:val="243"/>
        </w:trPr>
        <w:tc>
          <w:tcPr>
            <w:tcW w:w="5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Low</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46.54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59.19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($/MMBtu, Futures Contract 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High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Low</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r>
      <w:tr>
        <w:trPr>
          <w:trHeight w:val="324"/>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oil price ($/Bbl)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51.71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50.86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59.56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WTI Futures Contract 1 ($/Bbl)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56.44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57.10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66.79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Differential to WTI Futures Contract 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oil price to WTI Futures Contract 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($/Mcf)</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Natural Gas Futures Contract 1 ($/Mcf)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Differential to Natural Gas Futures Contract 1</w:t>
            </w:r>
          </w:p>
        </w:tc>
        <w:tc>
          <w:tcPr>
            <w:tcW w:w="1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to Natural Gas Futures Contract 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($/Bbl)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27.93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WTI Futures Contract 1 ($/Bbl)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56.44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57.10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66.79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to WTI Futures Contract 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30, 2019, the WTI Futures Contract 1 price for crude oil was $54.07 per Bbl and the Natural Gas Futures Contract 1 price was $2.33 per MMBtu.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Midstream LP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or Rattler’s General Partner, a wholly-owned subsidiary of Diamondback, serves as the general partner of Rattler. As of September 30, 2019, Diamondback owned approximately 71% of Rattler’s total units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completion of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its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2019 Dividend Declaration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 2019, our board of directors declared a cash dividend for the third quarter of 2019 of $0.1875 per share of common stock, payable on November 22, 2019 to our stockholders of record at the close of business on November 15,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This repurchase program is another component of our capital return program that includes the quarterly dividend discussed above. We anticipate that the repurchase program will be funded primarily by free cash flow generated from operations and liquidity events such as the sale of assets. Purchases under the repurchase program may be made from time to time in open market or privately negotiated transactions, and are subject to market conditions, applicable legal requirements, contractual obligations and other factors. The repurchase program does not require us to acquire any specific number of shares. This repurchase program may be suspended from time to time, modified, extended or discontinued by the board of directors at any time. During the three months and nine months ended September 30, 2019, we repurchased approximately $296 million and $400 million, respectively, of common stock under our repurchase program. As of September 30, 2019, $1.6 billion remains available for use to repurchase shares under the Company's common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23, 2019, we completed our divestiture of 6,589 net acres of certain conventional and non-core Permian assets, which were acquired by us in the Merger, for an aggregate sale price of $37 million. This divestiture did not result in a gain or loss because it did not have a significant effect on our reserve base or depreciation, depletion and amortization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2019, we completed our divestiture of 103,750 net acres of certain conventional and non-core Permian assets, which were acquired by us in the Merger, for an aggregate sale price of $285 million. This divestiture did not result in a gain or loss because it did not have a significant effect on our reserve base or depreciation, depletion and amortization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Equity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we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 LLC in turn used the net proceeds to repay a portion of the outstanding borrowings under its revolving credit facility and finance acquisitions during the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Drop-Down and Increase in the Borrowing Base under Viper LLC’s 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 2019, we completed a transaction to divest certain mineral and royalty interests to Viper for 18.3 million of Viper’s newly-issued Class B units, 18.3 million newly-issued units of Viper LLC and $190 million in cash, after giving effect to closing adjustments for net title benefits, which we refer to as the Drop-Down. Based on the volume weighted average sales price of Viper’s common units for the ten trading-day period ended July 26, 2019 of approximately $30.07, the transaction is valued at $740 million. The mineral and royalty interests divested in the Drop-Down represent approximately 5,490 net royalty acres across the Midland and Delaware Basins, of which over 95% are operated by us, and have an average net royalty interest of approximately 3.2%.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Amendments to Viper’s Revolving Credit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On September 24, 2019, Viper entered into a second amendment to Viper’s revolving credit facility with Wells Fargo, as administrative agent, and certain required lenders party thereto, which provided for an automatic increase of the borrowing base of $125 million upon the closing of the Drop-Down and the satisfaction of certain conditions set forth therein. On October 1, 2019, upon closing of the Drop-Down and the satisfaction of such conditions, the borrowing base was increased from $600 million to $725 million.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On October 8, 2019, in connection with the commencement of the Viper Notes Offering described below, Viper entered into a third amendment to Viper LLC’s revolving credit facility with Wells Fargo, as administrative agent, and certain required lenders party thereto, which provides for the waiver of the automatic reduction of the borrowing base that would otherwise occur upon the consummation of the Viper Notes Offering. In addition, the third amendment increased the maximum amount of unsecured senior or senior subordinated notes that may be issued by Viper LLC or Viper from $400 million to $1.0 billion. The amendment was approved by the requisite percentage of lenders under the revolving credit facility and became effective on October 8, 2019. If the amendment had not been approved, the borrowing base under the revolving credit facility would have decreased by $125 million upon consummation of the Viper Notes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Notes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16, 2019, Viper completed an offering, which we refer to as the Viper Notes Offering of $500 million in aggregate principal amount of its 5.375% Senior Notes due 2027, which we refer to as the Viper Notes. Viper received net proceeds of approximately $492 million from the Viper Notes Offering. Viper loaned the gross proceeds to Viper LLC. Viper LLC used the proceeds from the Viper Notes Offering to pay down borrowings under its revolving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Viper Notes are senior unsecured obligations of Viper, initially are guaranteed on a senior unsecured basis by Viper LLC, and will pay interest semi-annually. Neither we nor Viper’s General Partner guarantee the Viper Notes. In the future, each of Viper’s restricted subsidiaries that either (1) guarantees any of its or a guarantor’s other indebtedness or (2) is a domestic restricted subsidiary and is an obligor with respect to any indebtedness under any credit facility will be required to guarantee the Viper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Rattler Credit Agreement</w:t>
      </w:r>
    </w:p>
    <w:p>
      <w:pPr>
        <w:spacing w:after="0" w:line="18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On October 23, 2019, Rattler entered into the First Amendment to the Rattler credit agreement with Rattler LLC, Wells Fargo Bank, National Association, as the administrative agent, and certain lenders from time to time party thereto. The First Amendment, among other things, provides Rattler LLC with additional flexibility to make investments in joint ventures and other third parties, including investments in the Wink to Webster project and the Joint Venture. Pursuant to the First Amendment, the Joint Venture is designated as an unrestricted subsidiary under the Credit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historical operating data for the three months and nine months ended September 30,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20" w:type="dxa"/>
            <w:vAlign w:val="bottom"/>
          </w:tcPr>
          <w:p>
            <w:pPr>
              <w:spacing w:after="0"/>
              <w:rPr>
                <w:sz w:val="20"/>
                <w:szCs w:val="20"/>
                <w:color w:val="auto"/>
              </w:rPr>
            </w:pPr>
          </w:p>
        </w:tc>
        <w:tc>
          <w:tcPr>
            <w:tcW w:w="30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(MBbls)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22,399</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(MMcf)</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21,717</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4,776</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Combined volumes (MBOE)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30,794</w:t>
            </w:r>
          </w:p>
        </w:tc>
      </w:tr>
      <w:tr>
        <w:trPr>
          <w:trHeight w:val="230"/>
        </w:trPr>
        <w:tc>
          <w:tcPr>
            <w:tcW w:w="5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Production: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(Bbls/d)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185,478</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185,278</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82,046</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(Mcf/d)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79,549</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(Bbls/d)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49,159</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17,495</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Daily combined volumes (BOE/d)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287,138</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112,799</w:t>
            </w:r>
          </w:p>
        </w:tc>
      </w:tr>
      <w:tr>
        <w:trPr>
          <w:trHeight w:val="324"/>
        </w:trPr>
        <w:tc>
          <w:tcPr>
            <w:tcW w:w="5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 per Bbl)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59.56</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 per Mcf)</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 per Bbl)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27.93</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Combined ($ per BOE)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48.95</w:t>
            </w:r>
          </w:p>
        </w:tc>
      </w:tr>
      <w:tr>
        <w:trPr>
          <w:trHeight w:val="270"/>
        </w:trPr>
        <w:tc>
          <w:tcPr>
            <w:tcW w:w="5820" w:type="dxa"/>
            <w:vAlign w:val="bottom"/>
          </w:tcPr>
          <w:p>
            <w:pPr>
              <w:ind w:left="500"/>
              <w:spacing w:after="0" w:line="270"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5"/>
                <w:szCs w:val="25"/>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54.35</w:t>
            </w:r>
          </w:p>
        </w:tc>
      </w:tr>
      <w:tr>
        <w:trPr>
          <w:trHeight w:val="270"/>
        </w:trPr>
        <w:tc>
          <w:tcPr>
            <w:tcW w:w="582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Natural gas, hedged ($ per MMbtu)</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70"/>
        </w:trPr>
        <w:tc>
          <w:tcPr>
            <w:tcW w:w="5820" w:type="dxa"/>
            <w:vAlign w:val="bottom"/>
          </w:tcPr>
          <w:p>
            <w:pPr>
              <w:ind w:left="500"/>
              <w:spacing w:after="0" w:line="270"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5"/>
                <w:szCs w:val="25"/>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27.93</w:t>
            </w:r>
          </w:p>
        </w:tc>
      </w:tr>
      <w:tr>
        <w:trPr>
          <w:trHeight w:val="270"/>
        </w:trPr>
        <w:tc>
          <w:tcPr>
            <w:tcW w:w="582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Average price, hedged ($ per BOE)</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45.20</w:t>
            </w:r>
          </w:p>
        </w:tc>
      </w:tr>
    </w:tbl>
    <w:p>
      <w:pPr>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all of our revenues are generated through the sale of oil, natural gas liquids and natural gas production. The following tables set forth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production data for the three months and nine months ended September 30, 2019 and 2018: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8"/>
        </w:trPr>
        <w:tc>
          <w:tcPr>
            <w:tcW w:w="608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8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080" w:type="dxa"/>
            <w:vAlign w:val="bottom"/>
          </w:tcPr>
          <w:p>
            <w:pPr>
              <w:spacing w:after="0"/>
              <w:rPr>
                <w:sz w:val="20"/>
                <w:szCs w:val="20"/>
                <w:color w:val="auto"/>
              </w:rPr>
            </w:pPr>
          </w:p>
        </w:tc>
        <w:tc>
          <w:tcPr>
            <w:tcW w:w="16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2019</w:t>
            </w:r>
          </w:p>
        </w:tc>
        <w:tc>
          <w:tcPr>
            <w:tcW w:w="41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r>
      <w:tr>
        <w:trPr>
          <w:trHeight w:val="27"/>
        </w:trPr>
        <w:tc>
          <w:tcPr>
            <w:tcW w:w="2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4"/>
        </w:trPr>
        <w:tc>
          <w:tcPr>
            <w:tcW w:w="2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5"/>
        </w:trPr>
        <w:tc>
          <w:tcPr>
            <w:tcW w:w="2880" w:type="dxa"/>
            <w:vAlign w:val="bottom"/>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060" w:type="dxa"/>
            <w:vAlign w:val="bottom"/>
            <w:tcBorders>
              <w:bottom w:val="single" w:sz="8" w:color="auto"/>
            </w:tcBorders>
          </w:tcPr>
          <w:p>
            <w:pPr>
              <w:jc w:val="right"/>
              <w:ind w:right="19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040" w:type="dxa"/>
            <w:vAlign w:val="bottom"/>
            <w:tcBorders>
              <w:bottom w:val="single" w:sz="8" w:color="auto"/>
            </w:tcBorders>
          </w:tcPr>
          <w:p>
            <w:pPr>
              <w:jc w:val="right"/>
              <w:ind w:right="17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(2)</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6,881</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5,667</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2,395</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8,120</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12,839</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13,224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26,271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5,080</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2,568</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7,804</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2,748</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2,179</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1,423</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(MBoe)</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14,993</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11,264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7,937</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11,314</w:t>
            </w:r>
          </w:p>
        </w:tc>
      </w:tr>
      <w:tr>
        <w:trPr>
          <w:trHeight w:val="594"/>
        </w:trPr>
        <w:tc>
          <w:tcPr>
            <w:tcW w:w="2880" w:type="dxa"/>
            <w:vAlign w:val="bottom"/>
          </w:tcPr>
          <w:p>
            <w:pPr>
              <w:spacing w:after="0"/>
              <w:rPr>
                <w:sz w:val="24"/>
                <w:szCs w:val="24"/>
                <w:color w:val="auto"/>
              </w:rPr>
            </w:pPr>
          </w:p>
        </w:tc>
        <w:tc>
          <w:tcPr>
            <w:tcW w:w="4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41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r>
      <w:tr>
        <w:trPr>
          <w:trHeight w:val="27"/>
        </w:trPr>
        <w:tc>
          <w:tcPr>
            <w:tcW w:w="2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4"/>
        </w:trPr>
        <w:tc>
          <w:tcPr>
            <w:tcW w:w="2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5"/>
        </w:trPr>
        <w:tc>
          <w:tcPr>
            <w:tcW w:w="2880" w:type="dxa"/>
            <w:vAlign w:val="bottom"/>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060" w:type="dxa"/>
            <w:vAlign w:val="bottom"/>
            <w:tcBorders>
              <w:bottom w:val="single" w:sz="8" w:color="auto"/>
            </w:tcBorders>
          </w:tcPr>
          <w:p>
            <w:pPr>
              <w:jc w:val="right"/>
              <w:ind w:right="19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040" w:type="dxa"/>
            <w:vAlign w:val="bottom"/>
            <w:tcBorders>
              <w:bottom w:val="single" w:sz="8" w:color="auto"/>
            </w:tcBorders>
          </w:tcPr>
          <w:p>
            <w:pPr>
              <w:jc w:val="right"/>
              <w:ind w:right="17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(2)</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30,411</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18,810</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1,360</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50,581</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16,715</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5,538</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22,399</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33,605</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34,846</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69,394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14,538</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6,796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21,717</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7,533</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5,721</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13,420</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974</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4,776</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(MBoe)</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43,545</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30,339</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1,683</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75,567</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22,876</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7,645</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30,794</w:t>
            </w:r>
          </w:p>
        </w:tc>
      </w:tr>
      <w:tr>
        <w:trPr>
          <w:trHeight w:val="27"/>
        </w:trPr>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Central Basin Platform, the Eagle Ford Shale and the Rockies.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 and Nine Months Ended September 30, 2019 and 2018</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and Natural Gas Liquids Revenues. </w:t>
      </w:r>
      <w:r>
        <w:rPr>
          <w:rFonts w:ascii="Times New Roman" w:cs="Times New Roman" w:eastAsia="Times New Roman" w:hAnsi="Times New Roman"/>
          <w:sz w:val="18"/>
          <w:szCs w:val="18"/>
          <w:color w:val="auto"/>
        </w:rPr>
        <w:t>Our oil, natural gas and natural gas liquids revenues are a function of oil, natural gas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liquids production volumes sold and average sales prices received for those volumes. Our oil, natural gas and natural gas liquids revenues for the three months ended September 30, 2019 increased by $431 million, or 82%, to $956 million from $525 million during the three months ended September 30, 2018, primarily due to an increase in oil, natural gas and natural gas liquids production volumes partially offset by lower average sales prices. The increase in production volumes was due to a combination of increased drilling activity and growth through acquisitions.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oil, natural gas and natural gas liquids revenues for the nine months ended September 30, 2019 increased by $1.3 billion, or 86%, to $2.8 billion from $1.5 billion during the nine months ended September 30, 2018, primarily due to an increase in oil, natural gas and natural gas liquids production volumes partially offset by lower average sales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 The increase in production volumes was due to a combination of increased drilling activity and growth through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dollar effect of the change in prices (calculated as the change in period-to-period average prices multiplied by current period production volumes of oil, natural gas and natural gas liquids) and the net dollar effect of the change in production (calculated as the increase in period-to-period volumes for oil, natural gas and natural gas liquids multiplied by the period average prices) are shown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41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 Compared</w:t>
            </w:r>
          </w:p>
        </w:tc>
        <w:tc>
          <w:tcPr>
            <w:tcW w:w="100" w:type="dxa"/>
            <w:vAlign w:val="bottom"/>
          </w:tcPr>
          <w:p>
            <w:pPr>
              <w:spacing w:after="0"/>
              <w:rPr>
                <w:sz w:val="18"/>
                <w:szCs w:val="18"/>
                <w:color w:val="auto"/>
              </w:rPr>
            </w:pPr>
          </w:p>
        </w:tc>
        <w:tc>
          <w:tcPr>
            <w:tcW w:w="41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2019 Compared</w:t>
            </w:r>
          </w:p>
        </w:tc>
      </w:tr>
      <w:tr>
        <w:trPr>
          <w:trHeight w:val="238"/>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to 2018</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 2018</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4"/>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net dollar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dollar</w:t>
            </w:r>
          </w:p>
        </w:tc>
      </w:tr>
      <w:tr>
        <w:trPr>
          <w:trHeight w:val="265"/>
        </w:trPr>
        <w:tc>
          <w:tcPr>
            <w:tcW w:w="3100" w:type="dxa"/>
            <w:vAlign w:val="bottom"/>
          </w:tcPr>
          <w:p>
            <w:pPr>
              <w:spacing w:after="0"/>
              <w:rPr>
                <w:sz w:val="23"/>
                <w:szCs w:val="23"/>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 prices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100" w:type="dxa"/>
            <w:vAlign w:val="bottom"/>
          </w:tcPr>
          <w:p>
            <w:pPr>
              <w:spacing w:after="0"/>
              <w:rPr>
                <w:sz w:val="23"/>
                <w:szCs w:val="23"/>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prices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7"/>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50,581</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26,271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69,394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4,974</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13,420</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383"/>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net dollar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dollar</w:t>
            </w:r>
          </w:p>
        </w:tc>
      </w:tr>
      <w:tr>
        <w:trPr>
          <w:trHeight w:val="265"/>
        </w:trPr>
        <w:tc>
          <w:tcPr>
            <w:tcW w:w="3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1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7"/>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27.93</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1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revenues due to change in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r>
      <w:tr>
        <w:trPr>
          <w:trHeight w:val="250"/>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change in revenues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8890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-127635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-127635</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Realized pricing improved in the third quarter of 2019 compared to the second quarter of 2019 as some of our fixed differential contracts began to roll off and convert to commitments on new-build long-haul pipelines and others moved closer to current Midland market price. Based on current market differentials and estimated in-basin gathering cost, we continue to expect to realize approximately 88% to 92% or greater of WTI in the future remainder of 2019 and approximately 100% or greater of WTI in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Bonus Revenue. </w:t>
      </w:r>
      <w:r>
        <w:rPr>
          <w:rFonts w:ascii="Times New Roman" w:cs="Times New Roman" w:eastAsia="Times New Roman" w:hAnsi="Times New Roman"/>
          <w:sz w:val="18"/>
          <w:szCs w:val="18"/>
          <w:color w:val="auto"/>
        </w:rPr>
        <w:t>The following table shows lease bonus revenue for the three months and nine months ended September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bonus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Lease bonus revenue for the three months ended September 30, 2019 was attributable to lease bonus payments of less than $1 million to extend the term of three leases and lease bonus payments of less than $1 million on three new leases. Lease bonus revenue for the nine months ended September 30, 2019 was attributable to lease bonus payments of less than $1 million to extend the term of seven leases and lease bonus payments of $3 million on 11 new leases.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 bonus revenue for the three months ended September 30, 2018 was attributable to lease bonus payments of $1 million to extend the term of 13 leases. Lease bonus revenue for the nine months ended September 30, 2018 was attributable to lease bonus payments of $2 million to extend the term of 16 leases.</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Revenue. </w:t>
      </w:r>
      <w:r>
        <w:rPr>
          <w:rFonts w:ascii="Times New Roman" w:cs="Times New Roman" w:eastAsia="Times New Roman" w:hAnsi="Times New Roman"/>
          <w:sz w:val="18"/>
          <w:szCs w:val="18"/>
          <w:color w:val="auto"/>
        </w:rPr>
        <w:t>The following table shows midstream services revenue for the three months and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The following table shows lease operating expenses for the three months and nine months ended September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940" w:type="dxa"/>
            <w:vAlign w:val="bottom"/>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Lease operating expenses for the three months ended September 30, 2019 as compared to the three months ended September 30, 2018 increased by $79 million, or $0.51 per BOE. Lease operating expenses for the nine months ended September 30, 2019 as compared to the nine months ended September 30, 2018 increased by $235 million, or $0.63 per BOE. In both cases, lease operating expenses increased primarily due to increased power generation costs as a result of reduced electrical availability. We are actively working to mitigate this issue and expect these costs to decrease in the future.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The following table shows production and ad valorem tax expense for the three months and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940" w:type="dxa"/>
            <w:vAlign w:val="bottom"/>
            <w:gridSpan w:val="8"/>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 valorem taxes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production and ad valorem</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price changes; however, Texas ad valorem taxes are based upon prior year commodity prices, among other factors, whereas production taxes are based upon current year commodity prices. Production taxes for the three months ended September 30, 2019 as compared to the three months ended September 30, 2018 increased by $19 million due to acquisitions of new wells combined with well completions. Production taxes per BOE for the three months ended September 30, 2019 as compared to the three months ended September 30, 2018 decreased by $0.61 primarily due to a higher percentage increase in production volumes as compared to production taxes. Ad valorem taxes for the three months ended September 30, 2019 as compared to the three months ended September 30, 2018 increased by $9 million due to the addition of taxes associated with wells drilled in 2018 that are now being assessed by the county for 2019 taxes coupled with wells acquired in 2018.</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Production taxes for the nine months ended September 30, 2019 as compared to the nine months ended September 30, 2018 increased by $58 million due to increased overall production from acquisitions and well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completions. Production taxes per BOE for the nine months ended September 30, 2019 as compared to the nine months ended September 30, 2018 decreased by $0.64 primarily due to a higher percentage increase in production volumes as compared to production taxes. Ad valorem taxes for the nine months ended September 30, 2019 as compared to the nine months ended September 30, 2018 increased by $29 million due to the addition of acquired and completed wells from the latter half of 2018.</w:t>
      </w:r>
    </w:p>
    <w:p>
      <w:pPr>
        <w:spacing w:after="0" w:line="17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Expense. </w:t>
      </w:r>
      <w:r>
        <w:rPr>
          <w:rFonts w:ascii="Times New Roman" w:cs="Times New Roman" w:eastAsia="Times New Roman" w:hAnsi="Times New Roman"/>
          <w:sz w:val="18"/>
          <w:szCs w:val="18"/>
          <w:color w:val="auto"/>
        </w:rPr>
        <w:t>The following table shows midstream services expense for the three months and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Midstream services expense represents costs incurred to operate and maintain our oil and natural gas gathering and transportation systems, natural gas lift, compression infrastructure and water transportation facilities.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w:t>
      </w:r>
      <w:r>
        <w:rPr>
          <w:rFonts w:ascii="Times New Roman" w:cs="Times New Roman" w:eastAsia="Times New Roman" w:hAnsi="Times New Roman"/>
          <w:sz w:val="18"/>
          <w:szCs w:val="18"/>
          <w:color w:val="auto"/>
        </w:rPr>
        <w:t>The following table provides the components of our depreciation, depletion and amortization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and nine months ended September 30, 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58"/>
        </w:trPr>
        <w:tc>
          <w:tcPr>
            <w:tcW w:w="6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millions, except BOE amounts)</w:t>
            </w:r>
          </w:p>
        </w:tc>
        <w:tc>
          <w:tcPr>
            <w:tcW w:w="96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 depreciation, depletion and amortization per BOE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r>
      <w:tr>
        <w:trPr>
          <w:trHeight w:val="27"/>
        </w:trPr>
        <w:tc>
          <w:tcPr>
            <w:tcW w:w="6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$215 million for the three months ended September 30, 2019 as compared to the three months ended September 30, 2018 resulted primarily from higher production levels and an increase in net book value on new reserves added. The increase in depletion of proved oil and natural gas properties of $638 million for the nine months ended September 30, 2019 as compared to the nine months ended September 30, 2018 resulted primarily from higher production levels and an increase in net book value on new reserves added.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The following table shows general and administrative expenses for the three months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6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94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2019 as compared to the three months ended September 30, 2018 increased by $5 million primarily due to an increase in salaries and benefits as a result of increased head count. General and administrative expenses for the nine months ended September 30, 2019 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the nine months ended September 30, 2018 increased by $23 million primarily due to an increase in salaries and benefits as a result of increased head count.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The following table shows net interest expense for the three months and nine months ended September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for the three months ended September 30, 2019 as compared to the three months ended September 30, 2018, increased by $19 million. This increase was primarily due to a higher interest rate and increased average borrowings under our credit facility during the three months ended September 30, 2019 as compared to the three months ended September 30,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for the nine months ended September 30, 2019 as compared to the nine months ended September 30, 2018, increased by $84 million. This increase was primarily due to a higher interest rate and increased average borrowings under our credit facility during the nine months ended September 30, 2019 as compared to the nine months ended September 30, 2018 as well as an increase in interest expense of $9 million related to our DrillCo Agreement.</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The following table shows the gain (loss) on derivative instruments, net for the three months and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following table shows provision for (benefit from) income taxes for the three months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our income tax provision was primarily due to the increase in pre-tax book income for the three months ended September 30, 2019, partially offset by a discrete income tax benefit resulting from estimated deferred taxes recognized as a result of Viper’s change in tax status for the three months ended September 30, 2019.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our income tax provision was primarily due to the increase in pre-tax income for the nine months ended September 30, 2019 and the change in the discrete income tax benefit resulting from estimated deferred taxes recognized as a result of Viper’s change in tax status for the nine months ended September 30, 2019 and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2019 and 2018 are presented below:</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r>
      <w:tr>
        <w:trPr>
          <w:trHeight w:val="25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$1.9 billion for the nine months ended September 30, 2019 as compared to $1.2 billion for the nine months ended September 30, 2018. The increase in operating cash flows is primarily the result of an increase in our oil and natural gas revenues due to an increase in production growth partially offset by a decrease in average prices during the nine months ended September 30, 2019.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and development of oil and natural gas properties accounted for the majority of our cash outlays for investing activities. Net cash used in investing activities was $2.7 billion and $1.8 billion during the nine months ended September 30, 2019 and 2018,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2019, we spent (a) $2.0 billion on capital expenditures in conjunction with our development program, in which we drilled 255 gross (231 net) operated horizontal wells, of which 122 gross (110 net) wells were in the Delaware Basin and the remaining wells were in the Midland Basin, and turned 239 gross (219 net) operated horizontal wells into production, of which 105 gross (96 net) wells were in the Delaware Basin and the remaining wells were in the Midland Basin, (b) $186 million on additions to midstream assets, (c) $311 million on leasehold acquisitions, (d) $320 million for the acquisition of mineral interests, (e) $225 million on equity investments, (f) $8 million for the purchase of other property and equipment, (g) $7 million for funds held in escrow and (h) $1 million for investment in real estate.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2018, we spent (a) $1.0 billion on capital expenditures in conjunction with our drilling program and related infrastructure projects, in which we drilled 134 gross (120 net) operated horizontal wells, of which 53 gross (49 net) wells were in the Delaware Basin and the remaining wells were in the Midland Basin, and turned 128 gross (113 net) operated horizontal wells into production, of which 54 gross (48 net) wells were in the Delaware Basin and the remaining wells were in the Midland Basin, (b) $130 million on additions to midstream assets, (c) $186 million on leasehold acquisitions, (d) $336 million for mineral interests acquisitions, (e) $111 million for investment in real estate, (f) $51 million for funds held in escrow and (g) $2 million for the purchase of other property and equipment.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investing activities for the nine months ended September 30, 2019 and 2018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Drilling, completion and non-operated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infrastructure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and 2018 was $777 million and $1.1 billion, respectively. During the nine months ended September 30, 2019, the amount provided by financing activities was primarily attributable to $341 million in net proceeds from Viper’s public offering completed on March 1, 2019, $720 million in net proceeds from the Rattler Offering, $42 million in proceeds from joint ventures and $241 million of borrowings, net of repayments under our credit facility, partially offset by $79 million of distributions to non-controlling interest, $13 million of share repurchases for tax withholdings, $400 million of share repurchases as part of our stock repurchase program and $82 million of dividends to stockholders. The 2018 amount provided by financing activities was primarily attributable to $1.1 billion of net proceeds from the issuance of new senior notes, partially offset by $194 million of repayments, net of aggregate borrowings under our credit facility in January and September 2018, an aggregate of $303 million of net proceeds from Viper’s public offerings, $69 million in distributions to non-controlling interest and $25 million of dividends to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28, 2016, we issued $500 million in aggregate principal amount of 4.750% senior notes due 2024, which we refer to as the existing 2024 senior notes, under an indenture among us, the subsidiary guarantors party thereto and Wells Fargo, as the trustee, which we refer to as the 2024 indenture. On September 25, 2018, we issued $750 million aggregate principal amount of new 4.750% senior notes due 2024, which we refer to as the new 2024 notes and, together with the existing 2024 senior notes, as the 2024 senior notes, as additional notes under, and subject to the terms of, the 2024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Viper’s General Partner, Viper LLC, Rattler, Rattler’s General Partner or Rattler LLC, and will not be guaranteed by any of our future unrestricted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agreements relating to the new 2024 senior notes, on March 22, 2019, we filed with the SEC our Registration Statement on Form S-4, as amended on July 3, 2019, which we refer to as the Exchange Offer S-4, relating to the exchange offers of the new 2024 senior notes for substantially identical notes registered under the Securities Act. The Exchange Offer S-4 was declared effective by the SEC on July 11, 2019 and we closed the exchange offer on August 12,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2024 senior notes, see Note 11—Debt included in Notes to the Consolidated Financial Statements included elsewhere in this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20, 2016, we issued $500 million in aggregate principal amount of 5.375% senior notes due 2025, which we refer to as the exiting 2025 notes, under an indenture among us, the subsidiary guarantors party thereto and Wells Fargo, as the trustee. On January 29, 2018, we issued $300 million aggregate principal amount of new 5.375% senior notes due 2025, which we refer to as the new 2025 notes and, together with the existing 2025 notes, as additional notes under the 2025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Viper’s General Partner, Viper LLC, Rattler, Rattler’s General Partner or Rattler LLC, and will not be guaranteed by any of our future unrestricted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2025 senior notes, see Note 11—Debt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Energen became our wholly owned subsidiary and remained the issuer of an aggregate principal amount of $530 million in notes, which we refer to as the Energen Notes, issued under an indenture dated September 1, 1996 with The Bank of New York as Trustee, which we refer to as the Energen Indenture. The Energen Notes consist of: (a) $400 million aggregate principal amount of 4.625% senior notes due on September 1, 2021, (b) $100 million of 7.125% notes due on February 15, 2028, (c) $20 million of 7.320% notes due on July 28, 2022, and (d) $10 million of 7.35% notes due on July 28, 2027.</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including any unsecured guaranties by Energen of our indebtedness, and are effectively subordinated to Energen’s senior secured indebtedness, including Energen’s secured guaranty of all borrowings and other obligations under our revolving credit facility, to the extent of the value of the collateral securing such indebtedness.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Energen Notes, See Note 11—Debt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Credit Facility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(the “investment grade changeover date”). The maximum credit amount available under the credit agreement is $5 billion, subject, prior to the investment grade changeover date, to a borrowing base based on our oil and natural gas reserves and other factors (the “borrowing base”) and the elected commitment amount. Prior to the investment grade changeover date, the borrowing base is scheduled to be redetermined, under certain circumstances, annually with an effective date of May 1st, and, under certain circumstances, semi-annually with effective dates of May 1st and November 1st. In addition, we and Wells Fargo may each request up to two interim redeterminations of the borrowing base during any 12-month period. On and after the investment grade changeover date, the maximum credit amount available under the credit agreement will be based solely on the commitments of the lenders, and will no longer be limited by the borrowing base. On the investment grade changeover date, the aggregate commitments of the lenders will be set at an amount equal to the aggregate elected commitment amount in effect on such date. As of September 30, 2019, the borrowing base was set at $3.4 billion, we had elected a commitment amount of $2.5 billion and we had approximately $1.6 billion of outstanding borrowings under our revolving credit facility and $0.9 billion available for future borrowings under our revolving credit facility.</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Diamondback O&amp;G LLC is the borrower under the credit agreement. As of September 30, 2019, the credit agreement is guaranteed by us, Diamondback E&amp;P LLC and Energen and its subsidiaries and will also be guaranteed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any of our future subsidiaries that are classified as restricted subsidiaries under the credit agreement. On and after the investment grade changeover date, we and Diamondback O&amp;G LLC will no longer be required to cause all restricted subsidiaries to guarantee the credit agreement, and, in certain circumstances, may cause guaranties made by subsidiary guarantors to be released. Prior to the investment grade changeover date, the credit agreement is also secured by substantially all of the assets of us, Diamondback O&amp;G LLC and the guarantors. On and after the investment grade changeover date, the credit agreement will be unsecured and all liens securing the credit facility will be released.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us that is equal to an alternate base rate (which is equal to the greatest of the prime rate, the Federal Funds effective rate plus 0.5%, and 3-month LIBOR plus 1.0%) or LIBOR, in each case plus the applicable margin. Prior to the investment grade changeover date,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On and after the investment grade changeover date, the applicable margin will range from 0.125% to 1.0% per annum in the case of the alternate base rate and from 1.125% to 2.0% per annum in the case of LIBOR, in each case, depending on the pricing level, which in turn depends on the rating agencies’ rating of our unsecured debt. Prior to the investment grade changeover date, we are obligated to pay a quarterly commitment fee ranging from 0.375% to 0.500% per year on the unused portion of the commitment, which fee is also dependent on the amount of loans and letters of credit outstanding in relation to the commitment. On and after the investment grade changeover date, the commitment fee will range from 0.125% to 0.350% per year on the unused portion of the commitment, based on the pricing level, which in turn depends on the rating agencies’ rating of our unsecured debt.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 principal may be optionally repaid from time to time without premium or penalty (other than customary LIBOR breakage). Prior to the investment grade changeover date, loan principal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On and after the investment grade changeover date, loan principal is required to be repaid (a) to the extent the loan amount exceeds the commitment due to any termination or reduction of the aggregate maximum credit amount and (b) at the maturity date of November 1, 2022.</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 (prior to the investment grade</w:t>
            </w:r>
          </w:p>
        </w:tc>
        <w:tc>
          <w:tcPr>
            <w:tcW w:w="4300" w:type="dxa"/>
            <w:vAlign w:val="bottom"/>
          </w:tcPr>
          <w:p>
            <w:pPr>
              <w:spacing w:after="0"/>
              <w:rPr>
                <w:sz w:val="18"/>
                <w:szCs w:val="18"/>
                <w:color w:val="auto"/>
              </w:rPr>
            </w:pPr>
          </w:p>
        </w:tc>
      </w:t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changeover date)</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applicable prior to the investment grade changeover date,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and after the investment grade changeover date, the financial covenants listed above will be replaced by a financial covenant that will require the Company to not permit the total net debt to capitalization ratio, as defined in the credit agreement, to exceed 65%. Additionally, on and after the investment grade changeover date, many of the negative covenants set forth in the credit agreement will no longer restrict us, Diamondback O&amp;G LLC and our restricted subsidiaries (the “Restricted Group”), including the covenants that limit (i) equity repurchases, dividends and other restricted payments, (ii) redemptions of the senior or senior subordinated notes, (iii) making investments, (iv) dispositions of property, (v) transactions with affiliates, and (vi) entering into swap agreements. In addition, on and after the investment grade changeover date, (i) the debt covenant will no longer restrict incurrences of debt by Diamondback O&amp;G LLC and guarantors, and will allow non-guarantor restricted subsidiaries to incur debt for borrowed money in an aggregate principal amount up to 15% of consolidated net tangible assets (as defined in the credit agreement) and (ii) the liens covenant will be modified to allow the Restricted Group to create liens if the aggregate amount of debt secured by such liens does not exceed 15% of consolidated net tangible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On August 28, 2019, we, the borrower and certain of our subsidiaries, which we refer to collectively as the loan parties, entered into a Consent Letter with Wells Fargo allowing the loan parties to enter into certain swap agreements in respect of interest rates for United States Treasury securities for an aggregate notional principal amount of up to $3 billion, subject to certain conditions set forth in the consent, which otherwise would be in excess of the notional principal amount of interest rate swap agreements permitted under the revolving credit facility immediately prior to the effectiveness of the consent. As of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31F20"/>
        </w:rPr>
        <w:t>, the borrower was party to interest rate swap agreements with an aggregate notional principal amount of $2 billion, interest rates ranging from 1.35650% to 2.1509% and maturity dates ranging from August 24, 2020 to December 31, 2050.</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Credit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July 20, 2018, Viper, as guarantor, entered into an amended and restated credit agreement with Viper LLC, as borrower, Wells Fargo, as administrative agent, and the other lenders. The credit agreement, as amended to the date hereof, provides for a revolving credit facility in the maximum credit amount of $2 billion and a borrowing base based on Viper LLC’s oil and natural gas reserves and other factors (the “borrowing base”) of $725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w:t>
      </w:r>
      <w:r>
        <w:rPr>
          <w:rFonts w:ascii="Times New Roman" w:cs="Times New Roman" w:eastAsia="Times New Roman" w:hAnsi="Times New Roman"/>
          <w:sz w:val="18"/>
          <w:szCs w:val="18"/>
          <w:color w:val="231F20"/>
        </w:rPr>
        <w:t>Upon closing of the Drop-Down on October 1, 2019, the borrowing base under Viper LLC’s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facility was increased by </w:t>
      </w:r>
      <w:r>
        <w:rPr>
          <w:rFonts w:ascii="Times New Roman" w:cs="Times New Roman" w:eastAsia="Times New Roman" w:hAnsi="Times New Roman"/>
          <w:sz w:val="18"/>
          <w:szCs w:val="18"/>
          <w:color w:val="000000"/>
        </w:rPr>
        <w:t>$125 million</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$725 million</w:t>
      </w:r>
      <w:r>
        <w:rPr>
          <w:rFonts w:ascii="Times New Roman" w:cs="Times New Roman" w:eastAsia="Times New Roman" w:hAnsi="Times New Roman"/>
          <w:sz w:val="18"/>
          <w:szCs w:val="18"/>
          <w:color w:val="231F20"/>
        </w:rPr>
        <w:t xml:space="preserve"> from </w:t>
      </w:r>
      <w:r>
        <w:rPr>
          <w:rFonts w:ascii="Times New Roman" w:cs="Times New Roman" w:eastAsia="Times New Roman" w:hAnsi="Times New Roman"/>
          <w:sz w:val="18"/>
          <w:szCs w:val="18"/>
          <w:color w:val="000000"/>
        </w:rPr>
        <w:t>$600 million</w:t>
      </w:r>
      <w:r>
        <w:rPr>
          <w:rFonts w:ascii="Times New Roman" w:cs="Times New Roman" w:eastAsia="Times New Roman" w:hAnsi="Times New Roman"/>
          <w:sz w:val="18"/>
          <w:szCs w:val="18"/>
          <w:color w:val="231F20"/>
        </w:rPr>
        <w:t xml:space="preserve">. In connection with the commencement of the Viper Notes Offering described in Note 20—Subsequent Events below, Viper entered into a third amendment to Viper LLC’s revolving credit facility with Wells Fargo, as administrative agent, and certain required lenders party thereto, which provides for the waiver of the automatic reduction of the borrowing base that would otherwise occur upon the consummation of the Viper Notes Offering. In addition, the third amendment increased the maximum amount of unsecured senior or senior subordinated Viper Notes that may be issued by Viper LLC or Viper from </w:t>
      </w:r>
      <w:r>
        <w:rPr>
          <w:rFonts w:ascii="Times New Roman" w:cs="Times New Roman" w:eastAsia="Times New Roman" w:hAnsi="Times New Roman"/>
          <w:sz w:val="18"/>
          <w:szCs w:val="18"/>
          <w:color w:val="000000"/>
        </w:rPr>
        <w:t>$400 million</w:t>
      </w:r>
      <w:r>
        <w:rPr>
          <w:rFonts w:ascii="Times New Roman" w:cs="Times New Roman" w:eastAsia="Times New Roman" w:hAnsi="Times New Roman"/>
          <w:sz w:val="18"/>
          <w:szCs w:val="18"/>
          <w:color w:val="231F20"/>
        </w:rPr>
        <w:t xml:space="preserve"> to $1.0 billion. The amendment was approved by the requisite percentage of lenders under the revolving credit facility and became effective on October 8, 2019. If the amendment had not been approved, the borrowing base under the revolving credit facility would have decreased by $125 million upon consummation of the Viper Notes Offering.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2019, the borrowing base was set at $600 million, and Viper had $410 million of outstanding borrowings and $190 million available for future borrowings under its revolving credit facility. Viper </w:t>
      </w:r>
      <w:r>
        <w:rPr>
          <w:rFonts w:ascii="Times New Roman" w:cs="Times New Roman" w:eastAsia="Times New Roman" w:hAnsi="Times New Roman"/>
          <w:sz w:val="18"/>
          <w:szCs w:val="18"/>
          <w:color w:val="231F20"/>
        </w:rPr>
        <w:t>funded the cash portion of the purchase price for the Drop-Down through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combination of cash on hand and borrowings under Viper LLC’s revolving credit facility. </w:t>
      </w:r>
      <w:r>
        <w:rPr>
          <w:rFonts w:ascii="Times New Roman" w:cs="Times New Roman" w:eastAsia="Times New Roman" w:hAnsi="Times New Roman"/>
          <w:sz w:val="18"/>
          <w:szCs w:val="18"/>
          <w:color w:val="000000"/>
        </w:rPr>
        <w:t>Viper LLC</w:t>
      </w:r>
      <w:r>
        <w:rPr>
          <w:rFonts w:ascii="Times New Roman" w:cs="Times New Roman" w:eastAsia="Times New Roman" w:hAnsi="Times New Roman"/>
          <w:sz w:val="18"/>
          <w:szCs w:val="18"/>
          <w:color w:val="231F20"/>
        </w:rPr>
        <w:t xml:space="preserve"> used the proceeds from the Viper Notes Offering to pay down borrowings under its revolving credit facility. Following these transactions, as of October 16, 2019, the closing date of the Viper Notes Offering, there was $95 million in outstanding borrowings under Viper LLC’s revolving credit facility, the borrowing base under Viper LLC’s revolving credit facility was </w:t>
      </w:r>
      <w:r>
        <w:rPr>
          <w:rFonts w:ascii="Times New Roman" w:cs="Times New Roman" w:eastAsia="Times New Roman" w:hAnsi="Times New Roman"/>
          <w:sz w:val="18"/>
          <w:szCs w:val="18"/>
          <w:color w:val="000000"/>
        </w:rPr>
        <w:t xml:space="preserve">$725 million </w:t>
      </w:r>
      <w:r>
        <w:rPr>
          <w:rFonts w:ascii="Times New Roman" w:cs="Times New Roman" w:eastAsia="Times New Roman" w:hAnsi="Times New Roman"/>
          <w:sz w:val="18"/>
          <w:szCs w:val="18"/>
          <w:color w:val="231F20"/>
        </w:rPr>
        <w:t>and Viper LLC had $630 million of available borrowing capacity under its revolving credit facility.</w:t>
      </w:r>
      <w:r>
        <w:rPr>
          <w:rFonts w:ascii="Times New Roman" w:cs="Times New Roman" w:eastAsia="Times New Roman" w:hAnsi="Times New Roman"/>
          <w:sz w:val="18"/>
          <w:szCs w:val="18"/>
          <w:color w:val="000000"/>
        </w:rPr>
        <w:t xml:space="preserve"> Additionally, in connection with Viper’s fall redetermination expected to occur in November 2019, the lead bank under the Viper LLC’s revolving credit facility has recommended a borrowing base increase to $775 million from the current borrowing base of $725 million. The anticipated increase in the borrowing base is subject to approval by the requisite lenders under Viper LLC’s revolving credit facility.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Viper’s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Viper LLC.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Notes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2019, Viper completed the Viper Notes Offering in which it issued its 5.375% Senior Viper Notes due 2027 in aggregate principal amount of $500 million. Viper received net proceeds of approximately $492 million from the Viper Notes Offering. Viper loaned the gross proceeds to Viper LLC. Viper LLC used the proceeds from the Viper Notes Offering to pay down borrowings under its revolving credit facility.</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231F20"/>
        </w:rPr>
        <w:t>The Viper Notes were issued under an indenture, dated as of October 16, 2019, among Viper, as issuer, Viper LLC, as guarantor and Wells Fargo Bank, National Association, as trustee, which we refer to as the Viper Indenture. Pursuant to the Viper Indenture, interest on the Viper Notes accrues at a rate of 5.375% per annum on the outstanding principal amount thereof from October 16, 2019, payable semi-annually on May 1 and November 1 of each year, commencing on May 1, 2020. The Viper Notes will mature on November 1, 2027.</w:t>
      </w:r>
    </w:p>
    <w:p>
      <w:pPr>
        <w:spacing w:after="0" w:line="180"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231F20"/>
        </w:rPr>
        <w:t>The Viper Notes are Viper’s senior unsecured obligations and rank equally in right of payment with all of its existing and future senior indebtedness and senior in right of payment to any of Viper’s future subordinated indebtedness. Viper LLC is guaranteeing the Viper Notes pursuant to the Viper Indenture. Neither we nor Viper’s General Partner guarantee the Viper Notes. All of Viper’s future restricted subsidiaries that either guarantee Viper LLC’s revolving credit facility or certain other debt or are classified as domestic restricted subsidiaries under the Viper Indenture will also guarantee the Viper Notes. The guarantee ranks equally in right of payment with all of the existing and future senior unsecured indebtedness of Viper LLC and senior in right of payment to any future subordinated indebtedness of Viper LLC. The Viper Notes and the guarantee are effectively subordinated to all of Viper and Viper LLC’s secured indebtedness (including all borrowings and other obligations under Viper LLC’s revolving credit facility) to the extent of the value of the collateral securing such indebtedness, and will be structurally subordinated to all indebtedness and other liabilities, including trade payables, of any of our subsidiaries that do not guarantee the Viper Notes (other than liabilities owed to Viper).</w:t>
      </w:r>
    </w:p>
    <w:p>
      <w:pPr>
        <w:spacing w:after="0" w:line="18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231F20"/>
        </w:rPr>
        <w:t>Viper may on any one or more occasions redeem some or all of the Viper Notes at any time on or after November 1, 2022 at the redemption prices listed in the Viper Indenture. Prior to November 1, 2022, Viper may on any one or more occasions redeem all or a portion of the Viper Notes at a price equal to 100% of the principal amount of the Viper Notes plus a “make-whole” premium and accrued and unpaid interest to the redemption date. In addition, any time prior to November 1, 2022, Viper may on any one or more occasions redeem Viper Notes in an aggregate principal amount not to exceed 40% of the aggregate principal amount of the Viper Notes issued prior to such date at a redemption price of 105.375%, plus accrued and unpaid interest to the redemption date, with an amount not greater than the net cash proceeds from certain equity offerings.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6" w:name="page77"/>
    <w:bookmarkEnd w:id="76"/>
    <w:p>
      <w:pPr>
        <w:jc w:val="both"/>
        <w:ind w:firstLine="392"/>
        <w:spacing w:after="0" w:line="261" w:lineRule="auto"/>
        <w:rPr>
          <w:sz w:val="20"/>
          <w:szCs w:val="20"/>
          <w:color w:val="auto"/>
        </w:rPr>
      </w:pPr>
      <w:r>
        <w:rPr>
          <w:rFonts w:ascii="Times New Roman" w:cs="Times New Roman" w:eastAsia="Times New Roman" w:hAnsi="Times New Roman"/>
          <w:sz w:val="18"/>
          <w:szCs w:val="18"/>
          <w:color w:val="231F20"/>
        </w:rPr>
        <w:t>If Viper experiences a change of control (as defined in the Viper Indenture), Viper will be required to make an offer to repurchase the Viper Notes at a price equal to 101% of the aggregate principal amount thereof, plus accrued and unpaid interest, if any, to but not including the date of repurchase. If Viper sells certain assets and fail to use the proceeds in a manner specified in the Indenture, Viper will be required to use the remaining proceeds to make an offer to repurchase the Viper Notes at a price equal to 100% of the principal amount thereof, plus accrued and unpaid interest, if any, to the date of repurchase.</w:t>
      </w:r>
    </w:p>
    <w:p>
      <w:pPr>
        <w:spacing w:after="0" w:line="18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231F20"/>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including equity of restricted subsidiaries, agree to payment restrictions affecting our restricted subsidiaries, consolidate, merge, sell or otherwise dispose of all or substantially all of its assets, enter into transactions with affiliates, incur liens and designate certain of its subsidiaries as unrestricted subsidiaries. Certain of these covenants are subject to termination upon the occurrence of certain events.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Rattler Offering, Rattler, as parent, and Rattler LLC, as borrower, entered into a credit agreement, dated May 28, 2019, with Wells Fargo Bank, National Association, as administrative agent, and a syndicate of banks, including Wells Fargo Bank, National Association, as lenders party thereto, which we refer to as the Rattler credit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loan is guaranteed by Rattler and Tall City, and is secured by substantially all of the assets of Rattler LLC, Rattler and Tall City. As of September 30, 2019, Rattler LLC had $103 million of outstanding borrowings and $497 million available for future borrowings under the Rattler Credit Agreement.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 The Rattler credit agreement may be used to fund capital expenditures, to finance working capital, for general company purposes, to pay fees and expenses related to the Rattler credit agreement, and to make distributions permitted under the Rattler credit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Rattler credit agreement also contains financial maintenance covenants that require the maintenance of the financial ratios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Leverage Ratio commencing with the fiscal quarter ending September 30,</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5.00 to 1.00 (or not greater than 5.50 to</w:t>
            </w:r>
          </w:p>
        </w:tc>
      </w:tr>
      <w:tr>
        <w:trPr>
          <w:trHeight w:val="216"/>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for 3 fiscal quarters following certain acquisitions),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but if the Consolidated Senior Secured Leverage Ratio (as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defined in the Rattler credit agreement) is applicable, then</w:t>
            </w:r>
          </w:p>
        </w:tc>
      </w:tr>
      <w:tr>
        <w:trPr>
          <w:trHeight w:val="241"/>
        </w:trPr>
        <w:tc>
          <w:tcPr>
            <w:tcW w:w="706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5.25 to 1.00)</w:t>
            </w:r>
          </w:p>
        </w:tc>
      </w:tr>
      <w:tr>
        <w:trPr>
          <w:trHeight w:val="2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Senior Secured Leverage Ratio commencing with the last day of any fiscal quarter</w:t>
            </w:r>
          </w:p>
        </w:tc>
        <w:tc>
          <w:tcPr>
            <w:tcW w:w="4360" w:type="dxa"/>
            <w:vAlign w:val="bottom"/>
          </w:tcPr>
          <w:p>
            <w:pPr>
              <w:spacing w:after="0"/>
              <w:rPr>
                <w:sz w:val="19"/>
                <w:szCs w:val="19"/>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which the Financial Covenant Election (as defined in the Rattler credit agreement) is made</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greater than 3.50 to 1.00</w:t>
            </w:r>
          </w:p>
        </w:tc>
      </w:tr>
      <w:tr>
        <w:trPr>
          <w:trHeight w:val="27"/>
        </w:trPr>
        <w:tc>
          <w:tcPr>
            <w:tcW w:w="706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25"/>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Interest Coverage Ratio (as defined in the Rattler credit agreement) commencing</w:t>
            </w:r>
          </w:p>
        </w:tc>
        <w:tc>
          <w:tcPr>
            <w:tcW w:w="4360" w:type="dxa"/>
            <w:vAlign w:val="bottom"/>
            <w:shd w:val="clear" w:color="auto" w:fill="CCEEFF"/>
          </w:tcPr>
          <w:p>
            <w:pPr>
              <w:spacing w:after="0"/>
              <w:rPr>
                <w:sz w:val="19"/>
                <w:szCs w:val="19"/>
                <w:color w:val="auto"/>
              </w:rPr>
            </w:pPr>
          </w:p>
        </w:tc>
      </w:tr>
      <w:tr>
        <w:trPr>
          <w:trHeight w:val="234"/>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fiscal quarter ending September 30, 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 less than 2.50 to 1.00</w:t>
            </w:r>
          </w:p>
        </w:tc>
      </w:tr>
      <w:tr>
        <w:trPr>
          <w:trHeight w:val="27"/>
        </w:trPr>
        <w:tc>
          <w:tcPr>
            <w:tcW w:w="70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2019, each of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Rattler credit agreement generally may be amended with the consent of the lenders holding a majority of the outstanding loans or commitments to lend.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 and 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approved a 2019 capital budget for drilling and completion, midstream and infrastructure of approximately $2.7 billion to $3.0 billion. In response to the current commodity price environment, we have updated our 2019 capital budget to narrow our anticipated capital expenditures for 2019 to approximately $2.85 billion to $2.9 billion from the original 2019 capital budget of $2.7 billion to $3.0 billion. We estimate that, of these expenditures, approximately:</w:t>
      </w:r>
    </w:p>
    <w:p>
      <w:pPr>
        <w:spacing w:after="0" w:line="180"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billion to $2.5 billion will be spent on drilling and completing 310 to 315 gross (279 to 284 net) horizontal wells across our operated leasehold acreage in the Northern Midland and Southern Delaware Basins, with an average lateral length of approximately 9,600 feet;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will be spent on midstream infrastructure excluding the cost of long-haul pipeline equity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will be spent on infrastructure and other expenditures, excluding the cost of any leasehold and mineral interest acquisitions.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our aggregate capital expenditures for our development program were $2.0 billion. Additionally during the nine months ended September 30, 2019, we spent approximately $631 million in cash on acquisitions of leasehold interests and mineral acres. We do not have a specific acquisition budget since the timing and size of acquisitions cannot be accurately forecasted.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We repurchased approximately $296 million and $400 million, respectively, of our common stock under this program during the three months and nine months ended September 30, 2019, with approximately $1.6 billion remaining available for future repurchases under this program. We intend to continue to purchase shares under the repurchase program opportunistically with available funds primarily from cash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flow from operations and liquidity events such as the sale of assets while maintaining sufficient liquidity to fund our capital expenditure programs.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21 drilling rigs and eight completion crews. We will continue monitoring commodity prices and overall market conditions and can adjust our rig cadence up or down in response to changes in commodity prices and overall market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current oil and natural gas prices and production expectations for 2019, we believe that our cash flow from operations, cash on hand and borrowings under our revolving credit facility will be sufficient to fund our operations through year-end 2019. However, future cash flows are subject to a number of variables, including the level of oil and natural gas production and prices, and significant additional capital expenditures will be required to more fully develop our properties. Further, our 2019 capital expenditure budget does not allocate any funds for leasehold interest and property acquisitions.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anticipate that our 2020 capital budget will be in the range of $2.8 billion to $3.0 billion, including $2.45 billion to $2.6 billion to drill, complete and equip wells, $200 million to $225 million of midstream capital expenditures and $150 million to $175 million of infrastructure capital expenditures. We plan to complete over 10% more net lateral feet and over 20 more gross total wells within the same consolidated capital budget framework as in 2019. This plan is expected to result in 10% to 15% estimated year-over-year oil production growth, while generating free cash flow after paying our dividend, based on a commodity price deck of $45 per Bbl WTI for oil, a realized price of $13 per Bbl for natural gas liquids and a realized price of $1.50 per Mcf for natural gas. Should commodity prices decline in 2020, we are prepared to act responsibly and reduce our capital spending as we have done multiple times over the past few years. If commodity prices increase during 2020, we plan to use excess cash flow to complete our previously announced stock repurchase program or pay down indebtedness. Over the long term, we anticipate that we will continue to grow production and cash flow on a per share basis, while maintaining our best in class cost 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Note 19 of the Notes to the Consolidated Financial Statements of this report, there were no material changes to our contractual obligations and other commitments, as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critical accounting policies from those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off-balance sheet arrangements as of September 30, 2019. Please read Note 19 included in Notes to the Consolidated Financial Statements set forth in Part I, Item 1 of this report, for a discussion of our commitments and contingencies, which are not recognized in the balance sheets under GAAP.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0" w:right="239" w:bottom="1440" w:gutter="0" w:footer="0" w:header="0"/>
        </w:sectPr>
      </w:pPr>
    </w:p>
    <w:bookmarkStart w:id="79" w:name="page80"/>
    <w:bookmarkEnd w:id="7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price swap derivatives, including basis swaps, double-up swaps, put spreads, interest rate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September 30, 2019 and December 31, 2018, we had a net asset derivative position related to our commodity price swap derivatives of $166 million and $216 million, respectively, related to our price swap, price basis swap derivatives and three-way collars. Utilizing actual derivative contractual volumes under our fixed price swaps as of September 30, 2019, a 10% increase in forward curves associated with the underlying commodity would have decreased the net asset position to a net liability position of $60 million, a decrease of $225 million, while a 10% decrease in forward curves associated with the underlying commodity would have increased the net asset derivative position to $390 million, an increase of $225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shuts in production due to persistently low commodity prices or for any other reason, our revenue in the midstream operations segment could decrease, as Rattler’s commercial agreements do not contain minimum volume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and Customer Credit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exposures to credit risk are through receivables resulting from joint interest receivables (approximately $171 million at September 30, 2019) and receivables from the sale of our oil and natural gas production (approximately $367 million at September 30, 2019).</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nine months ended September 30, 2019, four purchasers each accounted for more than 10% of our revenue: Shell Trading (US) Company (28%), Plains Marketing LP (23%), Vitol Midstream (11%) and Occidental Energy Marketing Inc (10%). For the nine months ended September 30, 2018, three purchasers each accounted for more than 10% of our revenue: Shell Trading (US) Company (26%), Koch Supply &amp; Trading LP (18%) and Rio Oil &amp; Gas LLC (11%). No other customer accounted for more than 10% of our revenue during these periods.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September 30, 2019, we had 11 customers that represented approximately 78% of our total joint operations receivables. At December 31, 2018, we had four customers that represented approximately 82% of our total joint operations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92"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we had $1.6 billion in outstanding borrowings under our revolving credit facility. Our weighted average interest rate on borrowings under our revolving credit facility was 3.54% as of September 30, 2019. An increase or decrease of 1% in the interest rate would have a corresponding increase or decrease in our interest expense of approximately $16 million based on the $1.6 billion outstanding under our revolving credit facility as of such date.</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2019, our disclosure controls and procedures are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quarter ended September 30, 2019 that have materially affected, or are reasonably likely to materially affect, internal controls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party to various legal proceedings, disputes and claims arising in the course of our business, including those that arise from interpretation of federal and state laws and regulations affecting the natural gas and crude oil industry. While the ultimate outcome of the pending proceedings, disputes or claims, and any resulting impact on us, cannot be predicted with certainty, we believe that none of these matters, if ultimately decided adversely, will have a material adverse effect on our financial condition, cash flows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discussed in Part I, Item 1A. Risk Factors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nine months ended September 30,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840" w:type="dxa"/>
            <w:vAlign w:val="bottom"/>
          </w:tcPr>
          <w:p>
            <w:pPr>
              <w:spacing w:after="0"/>
              <w:rPr>
                <w:sz w:val="18"/>
                <w:szCs w:val="18"/>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 Purchased</w:t>
            </w:r>
          </w:p>
        </w:tc>
        <w:tc>
          <w:tcPr>
            <w:tcW w:w="300" w:type="dxa"/>
            <w:vAlign w:val="bottom"/>
          </w:tcPr>
          <w:p>
            <w:pPr>
              <w:spacing w:after="0"/>
              <w:rPr>
                <w:sz w:val="18"/>
                <w:szCs w:val="18"/>
                <w:color w:val="auto"/>
              </w:rPr>
            </w:pP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 that May Yet Be</w:t>
            </w:r>
          </w:p>
        </w:tc>
      </w:tr>
      <w:tr>
        <w:trPr>
          <w:trHeight w:val="265"/>
        </w:trPr>
        <w:tc>
          <w:tcPr>
            <w:tcW w:w="32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line="265" w:lineRule="exact"/>
              <w:rPr>
                <w:sz w:val="20"/>
                <w:szCs w:val="20"/>
                <w:color w:val="auto"/>
              </w:rPr>
            </w:pPr>
            <w:r>
              <w:rPr>
                <w:rFonts w:ascii="Times New Roman" w:cs="Times New Roman" w:eastAsia="Times New Roman" w:hAnsi="Times New Roman"/>
                <w:sz w:val="18"/>
                <w:szCs w:val="18"/>
                <w:b w:val="1"/>
                <w:bCs w:val="1"/>
                <w:color w:val="auto"/>
                <w:w w:val="93"/>
              </w:rPr>
              <w:t>Share</w:t>
            </w:r>
            <w:r>
              <w:rPr>
                <w:rFonts w:ascii="Times New Roman" w:cs="Times New Roman" w:eastAsia="Times New Roman" w:hAnsi="Times New Roman"/>
                <w:sz w:val="25"/>
                <w:szCs w:val="25"/>
                <w:b w:val="1"/>
                <w:bCs w:val="1"/>
                <w:color w:val="auto"/>
                <w:w w:val="93"/>
                <w:vertAlign w:val="superscript"/>
              </w:rPr>
              <w:t>(1)</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Part of Publicly Announced Plan</w:t>
            </w:r>
          </w:p>
        </w:tc>
        <w:tc>
          <w:tcPr>
            <w:tcW w:w="2400" w:type="dxa"/>
            <w:vAlign w:val="bottom"/>
            <w:gridSpan w:val="2"/>
          </w:tcPr>
          <w:p>
            <w:pPr>
              <w:ind w:left="180"/>
              <w:spacing w:after="0" w:line="265" w:lineRule="exact"/>
              <w:rPr>
                <w:sz w:val="20"/>
                <w:szCs w:val="20"/>
                <w:color w:val="auto"/>
              </w:rPr>
            </w:pPr>
            <w:r>
              <w:rPr>
                <w:rFonts w:ascii="Times New Roman" w:cs="Times New Roman" w:eastAsia="Times New Roman" w:hAnsi="Times New Roman"/>
                <w:sz w:val="18"/>
                <w:szCs w:val="18"/>
                <w:b w:val="1"/>
                <w:bCs w:val="1"/>
                <w:color w:val="auto"/>
                <w:w w:val="99"/>
              </w:rPr>
              <w:t>Purchased Under the Plan</w:t>
            </w:r>
            <w:r>
              <w:rPr>
                <w:rFonts w:ascii="Times New Roman" w:cs="Times New Roman" w:eastAsia="Times New Roman" w:hAnsi="Times New Roman"/>
                <w:sz w:val="25"/>
                <w:szCs w:val="25"/>
                <w:b w:val="1"/>
                <w:bCs w:val="1"/>
                <w:color w:val="auto"/>
                <w:w w:val="99"/>
                <w:vertAlign w:val="superscript"/>
              </w:rPr>
              <w:t>(2)</w:t>
            </w:r>
          </w:p>
        </w:tc>
      </w:tr>
      <w:tr>
        <w:trPr>
          <w:trHeight w:val="237"/>
        </w:trPr>
        <w:tc>
          <w:tcPr>
            <w:tcW w:w="3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 shares in thousands)</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32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February 2019</w:t>
            </w:r>
            <w:r>
              <w:rPr>
                <w:rFonts w:ascii="Times New Roman" w:cs="Times New Roman" w:eastAsia="Times New Roman" w:hAnsi="Times New Roman"/>
                <w:sz w:val="25"/>
                <w:szCs w:val="25"/>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32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March 2019</w:t>
            </w:r>
            <w:r>
              <w:rPr>
                <w:rFonts w:ascii="Times New Roman" w:cs="Times New Roman" w:eastAsia="Times New Roman" w:hAnsi="Times New Roman"/>
                <w:sz w:val="25"/>
                <w:szCs w:val="25"/>
                <w:color w:val="auto"/>
                <w:vertAlign w:val="superscript"/>
              </w:rPr>
              <w:t>(3)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1,996</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1,791</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97.53</w:t>
            </w:r>
          </w:p>
        </w:tc>
        <w:tc>
          <w:tcPr>
            <w:tcW w:w="10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50"/>
        </w:trPr>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21"/>
                <w:szCs w:val="21"/>
                <w:color w:val="auto"/>
              </w:rPr>
            </w:pP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8890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net of any commissions paid to repurchase stock.</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our board of directors approved a new stock repurchase program to acquire up to $2 billion of our outstanding common stock through December 31, 2020. This repurchase program may be suspended from time to time, modified, extended or discontinued by our board of directors at any time.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connection with tax withholdings and payment of exercise price on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-688340</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0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4"/>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Agreement and Plan of Merger, dated as of August 14, 2018, by and among Diamondback Energy, Inc., Sidewinder Merger Sub Inc. and</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Energen Corporation (incorporated by reference to Exhibit 2.1 to the Form 8-K, File No. 001-35700, filed by the Company with the SEC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August 15,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15"/>
          </w:tcPr>
          <w:p>
            <w:pPr>
              <w:spacing w:after="0" w:line="202"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Certificate of Incorporation of the Company (incorporated by reference to Exhibit 3.1 to the Form 10-Q, File No.</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Certificate of Amendment No. 1 of the Amended and Restated Certificate of Incorporation of the Company (incorporated by reference to</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Exhibit 3.1 to the Form 8-K, File No. 001-35700, filed by the Company with the SEC on December 12,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0200" w:type="dxa"/>
            <w:vAlign w:val="bottom"/>
            <w:gridSpan w:val="15"/>
          </w:tcPr>
          <w:p>
            <w:pPr>
              <w:spacing w:after="0" w:line="202"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Bylaws of the Company (incorporated by reference to Exhibit 3.2 to the Form 10-Q,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First Amendment to the Amended and Restated Bylaws of the Company (incorporated by reference to Exhibit 3.1 to the Form 8-K, File No.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4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001-35700, filed by the Company with the SEC on April 27, 2018).</w:t>
              </w:r>
            </w:hyperlink>
          </w:p>
        </w:tc>
        <w:tc>
          <w:tcPr>
            <w:tcW w:w="532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16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 xml:space="preserve">Specimen certificate for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of the Company (incorporated by reference to Exhibit 4.1 to</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Amendment No. 4 to the Registration Statement on Form S-1, File No. 333-179502, filed by the Company with the SEC on August 20,</w:t>
              </w:r>
            </w:hyperlink>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260" w:type="dxa"/>
            <w:vAlign w:val="bottom"/>
            <w:gridSpan w:val="2"/>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2012).</w:t>
              </w:r>
            </w:hyperlink>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Indenture, dated as of October 28, 2016, among Diamondback Energy, Inc., the guarantors party thereto and Wells Fargo Bank, National</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Association, as trustee (including the form of Diamondback Energy, Inc.’s 4.750 % Senior Notes due 2024) (incorporated by reference to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86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Exhibit 4.1 to the Form 8-K, File No. 001-35700, filed by the Company with the SEC on November 2, 2016).</w:t>
              </w:r>
            </w:hyperlink>
          </w:p>
        </w:tc>
        <w:tc>
          <w:tcPr>
            <w:tcW w:w="23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15"/>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First Supplemental Indenture, dated as of September 25, 2018, among Diamondback Energy, Inc., the guarantors party thereto and Wells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Fargo Bank, National Association, as trustee (incorporated by reference to Exhibit 4.1 to the Form 8-K,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Company with the SEC on October 1,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Second Supplemental Indenture for the 4.750% Senior Notes due 2024, dated as of October 12, 2018, among Sidewinder Merger Sub Inc., a</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shd w:val="clear" w:color="auto" w:fill="CCEEFF"/>
          </w:tcPr>
          <w:p>
            <w:pPr>
              <w:spacing w:after="0"/>
              <w:rPr>
                <w:sz w:val="17"/>
                <w:szCs w:val="17"/>
                <w:color w:val="auto"/>
              </w:rPr>
            </w:pPr>
          </w:p>
        </w:tc>
        <w:tc>
          <w:tcPr>
            <w:tcW w:w="1016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subsidiary of the Company, the Company, the other guarantors under the indenture and Wells Fargo Bank, National Association, as trustee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(incorporated by reference to Exhibit 4.4 to the Form 10-K, File No. 001-35700, filed by the Company with the SEC on February 25, 2019).</w:t>
              </w:r>
            </w:hyperlink>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016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Third Supplemental Indenture for the 4.750% Senior Notes due 2024, dated as of January 28, 2019, among Energen Corporation, Energen</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under the indenture and Wells Fargo Bank, National Association, as trustee (incorporated by reference to Exhibit 4.5 to the Form 10-K, File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16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Indenture, dated as of December 20, 2016, among Diamondback Energy, Inc., the guarantors party thereto and Wells Fargo Bank, National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bottom w:val="single" w:sz="8" w:color="CCEEFF"/>
              <w:right w:val="single" w:sz="8" w:color="CCEEFF"/>
            </w:tcBorders>
            <w:shd w:val="clear" w:color="auto" w:fill="CCEEFF"/>
          </w:tcPr>
          <w:p>
            <w:pPr>
              <w:spacing w:after="0"/>
              <w:rPr>
                <w:sz w:val="17"/>
                <w:szCs w:val="17"/>
                <w:color w:val="auto"/>
              </w:rPr>
            </w:pPr>
          </w:p>
        </w:tc>
        <w:tc>
          <w:tcPr>
            <w:tcW w:w="1016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Association, as trustee (including the form of Diamondback Energy, Inc.’s 5.375% Senior Notes due 2025) (incorporated by reference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Exhibit 4.1 to the Form 8-K, File No. 001-35700, filed by the Company with the SEC on December 21, 2016).</w:t>
              </w:r>
            </w:hyperlink>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15"/>
          </w:tcPr>
          <w:p>
            <w:pPr>
              <w:spacing w:after="0" w:line="20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First Supplemental Indenture, dated as of January 29, 2018, among Diamondback Energy, Inc., the guarantors party thereto and Wells Fargo</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Bank, National Association, as trustee (incorporated by reference to Exhibit 4.3 to the Form 8-K, File No. 001-35700, filed by the Company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with the SEC on January 30,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Second Supplemental Indenture for the 5.375% Senior Notes due 2025, dated as of October 12, 2018, among Sidewinder Merger Sub Inc., a</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5680" w:type="dxa"/>
            <w:vAlign w:val="bottom"/>
            <w:gridSpan w:val="9"/>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subsidiary of the Company, the Company, the other guarantors and Wells Fargo Bank, National Association, as trustee (incorporated by</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reference to Exhibit 4.8 to the Form 10-K, File No. 001-35700, filed by the Company with the SEC on February 25,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016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Third Supplemental Indenture for the 5.375% Senior Notes due 2025, dated as of January 28, 2019, among Energen Corporation, Energen</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5680" w:type="dxa"/>
            <w:vAlign w:val="bottom"/>
            <w:gridSpan w:val="9"/>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5"/>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under the indenture and Wells Fargo Bank, National Association, as trustee (incorporated by reference to Exhibit 4.9 to the Form 10-K, File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102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Registration Rights Agreement, dated as of February 28, 2017, by and among Diamondback Energy, Inc., Brigham Resources, LLC,</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5680" w:type="dxa"/>
            <w:vAlign w:val="bottom"/>
            <w:gridSpan w:val="9"/>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Brigham Resources Operating, LLC and Brigham Resources Upstream Holdings, LP (incorporated by reference to Exhibit 4.1 to the Form 8-</w:t>
              </w:r>
            </w:hyperlink>
          </w:p>
        </w:tc>
      </w:tr>
      <w:tr>
        <w:trPr>
          <w:trHeight w:val="244"/>
        </w:trPr>
        <w:tc>
          <w:tcPr>
            <w:tcW w:w="1220" w:type="dxa"/>
            <w:vAlign w:val="bottom"/>
            <w:tcBorders>
              <w:top w:val="single" w:sz="8" w:color="CCEEFF"/>
              <w:right w:val="single" w:sz="8" w:color="CCEEFF"/>
            </w:tcBorders>
            <w:shd w:val="clear" w:color="auto" w:fill="CCEEFF"/>
          </w:tcPr>
          <w:p>
            <w:pPr>
              <w:spacing w:after="0"/>
              <w:rPr>
                <w:sz w:val="21"/>
                <w:szCs w:val="21"/>
                <w:color w:val="auto"/>
              </w:rPr>
            </w:pPr>
          </w:p>
        </w:tc>
        <w:tc>
          <w:tcPr>
            <w:tcW w:w="1016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K, File No. 001-35700, filed by the Company with the SEC on March 6, 2017).</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r>
      <w:tr>
        <w:trPr>
          <w:trHeight w:val="459"/>
        </w:trPr>
        <w:tc>
          <w:tcPr>
            <w:tcW w:w="1220" w:type="dxa"/>
            <w:vAlign w:val="bottom"/>
            <w:tcBorders>
              <w:top w:val="single" w:sz="8" w:color="CCEEFF"/>
            </w:tcBorders>
          </w:tcPr>
          <w:p>
            <w:pPr>
              <w:spacing w:after="0"/>
              <w:rPr>
                <w:sz w:val="24"/>
                <w:szCs w:val="24"/>
                <w:color w:val="auto"/>
              </w:rPr>
            </w:pPr>
          </w:p>
        </w:tc>
        <w:tc>
          <w:tcPr>
            <w:tcW w:w="4840" w:type="dxa"/>
            <w:vAlign w:val="bottom"/>
            <w:tcBorders>
              <w:top w:val="single" w:sz="8" w:color="0000FF"/>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9"/>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4.11</w:t>
            </w:r>
          </w:p>
        </w:tc>
        <w:tc>
          <w:tcPr>
            <w:tcW w:w="10200" w:type="dxa"/>
            <w:vAlign w:val="bottom"/>
            <w:gridSpan w:val="10"/>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Registration Rights Agreement, dated October 31, 2018, by and between Diamondback Energy, Inc. and Ajax Resources, LLC (incorporated</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by reference to Exhibit 4.1 to the Form 10-Q, File No. 001-35700, filed by the Company with the SEC on November 7,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Indenture, dated September 1, 1996, between Energen and The Bank of New York as trustee (incorporated by reference to Exhibit</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4(i) to Energen’s Registration Statement on Form S-3, Registration No. 333-11239, filed with the SEC on August 30, 1996).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302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4.13</w:t>
            </w:r>
          </w:p>
        </w:tc>
        <w:tc>
          <w:tcPr>
            <w:tcW w:w="10200" w:type="dxa"/>
            <w:vAlign w:val="bottom"/>
            <w:gridSpan w:val="10"/>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Indenture, dated as of October 16, 2019, among Viper Energy Partners LP, as issuer, Viper Energy Partners LLC, as guarantor, and Wells</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0"/>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Fargo Bank, National Association, as trustee (including the form of Viper Energy Partners LP’s 5.375% Senior Notes due 2027)</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0"/>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(incorporated by reference to Exhibit 4.1 of Viper Energy Partners LP’s Current Report on Form 8-K (File 001-36505) filed on October 17,</w:t>
              </w:r>
            </w:hyperlink>
          </w:p>
        </w:tc>
      </w:tr>
      <w:tr>
        <w:trPr>
          <w:trHeight w:val="196"/>
        </w:trPr>
        <w:tc>
          <w:tcPr>
            <w:tcW w:w="1220" w:type="dxa"/>
            <w:vAlign w:val="bottom"/>
          </w:tcPr>
          <w:p>
            <w:pPr>
              <w:spacing w:after="0"/>
              <w:rPr>
                <w:sz w:val="17"/>
                <w:szCs w:val="17"/>
                <w:color w:val="auto"/>
              </w:rPr>
            </w:pPr>
          </w:p>
        </w:tc>
        <w:tc>
          <w:tcPr>
            <w:tcW w:w="132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2019).</w:t>
              </w:r>
            </w:hyperlink>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02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64"/>
        </w:trPr>
        <w:tc>
          <w:tcPr>
            <w:tcW w:w="1220" w:type="dxa"/>
            <w:vAlign w:val="bottom"/>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Consent Letter, dated August 28, 2019, between Diamondback Energy, Inc., as parent guarantor, Diamondback O&amp;G LLC, as borrower,</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certain other subsidiaries of Diamondback Energy, Inc. as guarantors, Wells Fargo Bank, National Association, as administrative agent, and</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the lenders party thereto. (incorporated by reference to Exhibit 10.1 of the Company’s Current Report on Form 8-K (File 001-35700) filed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September 4,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160" w:type="dxa"/>
            <w:vAlign w:val="bottom"/>
            <w:tcBorders>
              <w:bottom w:val="single" w:sz="8" w:color="0000FF"/>
            </w:tcBorders>
            <w:gridSpan w:val="9"/>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Subordinated Promissory Note, dated as of October 16, 2019, by Viper Energy Partners LLC in favor of Viper Energy Partners LP</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0"/>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(incorporated by reference to Exhibit 10.2 of Viper Energy Partners LP’s Current Report on Form 8-K (File 001-36505) filed on October 17,</w:t>
              </w:r>
            </w:hyperlink>
          </w:p>
        </w:tc>
      </w:tr>
      <w:tr>
        <w:trPr>
          <w:trHeight w:val="196"/>
        </w:trPr>
        <w:tc>
          <w:tcPr>
            <w:tcW w:w="1220" w:type="dxa"/>
            <w:vAlign w:val="bottom"/>
          </w:tcPr>
          <w:p>
            <w:pPr>
              <w:spacing w:after="0"/>
              <w:rPr>
                <w:sz w:val="17"/>
                <w:szCs w:val="17"/>
                <w:color w:val="auto"/>
              </w:rPr>
            </w:pPr>
          </w:p>
        </w:tc>
        <w:tc>
          <w:tcPr>
            <w:tcW w:w="132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2019).</w:t>
              </w:r>
            </w:hyperlink>
          </w:p>
        </w:tc>
        <w:tc>
          <w:tcPr>
            <w:tcW w:w="1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02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160" w:type="dxa"/>
            <w:vAlign w:val="bottom"/>
            <w:tcBorders>
              <w:bottom w:val="single" w:sz="8" w:color="0000FF"/>
            </w:tcBorders>
            <w:gridSpan w:val="9"/>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Second Amendment to Amended and Restated Senior Secured Revolving Credit Agreement, dated as of September 24, 2019, among Viper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Energy Partners LLC, as borrower, Viper Energy Partners LP, as parent guarantor, Wells Fargo Bank, National Association, as administrative</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shd w:val="clear" w:color="auto" w:fill="CCEEFF"/>
          </w:tcPr>
          <w:p>
            <w:pPr>
              <w:spacing w:after="0"/>
              <w:rPr>
                <w:sz w:val="17"/>
                <w:szCs w:val="17"/>
                <w:color w:val="auto"/>
              </w:rPr>
            </w:pPr>
          </w:p>
        </w:tc>
        <w:tc>
          <w:tcPr>
            <w:tcW w:w="10160" w:type="dxa"/>
            <w:vAlign w:val="bottom"/>
            <w:tcBorders>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agent, and the lender party thereto (incorporated by reference to Exhibit 10.1 of Viper Energy Partners LP’s Current Report on Form 8-K</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(File 001-36505) filed on September 30, 2019).</w:t>
              </w:r>
            </w:hyperlink>
          </w:p>
        </w:tc>
      </w:tr>
      <w:tr>
        <w:trPr>
          <w:trHeight w:val="264"/>
        </w:trPr>
        <w:tc>
          <w:tcPr>
            <w:tcW w:w="1220" w:type="dxa"/>
            <w:vAlign w:val="bottom"/>
            <w:tcBorders>
              <w:top w:val="single" w:sz="8" w:color="CCEEFF"/>
              <w:right w:val="single" w:sz="8" w:color="CCEEFF"/>
            </w:tcBorders>
            <w:shd w:val="clear" w:color="auto" w:fill="CCEEFF"/>
          </w:tcPr>
          <w:p>
            <w:pPr>
              <w:spacing w:after="0"/>
              <w:rPr>
                <w:sz w:val="22"/>
                <w:szCs w:val="22"/>
                <w:color w:val="auto"/>
              </w:rPr>
            </w:pPr>
          </w:p>
        </w:tc>
        <w:tc>
          <w:tcPr>
            <w:tcW w:w="420" w:type="dxa"/>
            <w:vAlign w:val="bottom"/>
            <w:tcBorders>
              <w:top w:val="single" w:sz="8" w:color="0000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1060" w:type="dxa"/>
            <w:vAlign w:val="bottom"/>
            <w:tcBorders>
              <w:top w:val="single" w:sz="8" w:color="0000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3020" w:type="dxa"/>
            <w:vAlign w:val="bottom"/>
            <w:tcBorders>
              <w:top w:val="single" w:sz="8" w:color="CCEEFF"/>
            </w:tcBorders>
            <w:shd w:val="clear" w:color="auto" w:fill="CCEEFF"/>
          </w:tcPr>
          <w:p>
            <w:pPr>
              <w:spacing w:after="0"/>
              <w:rPr>
                <w:sz w:val="22"/>
                <w:szCs w:val="22"/>
                <w:color w:val="auto"/>
              </w:rPr>
            </w:pPr>
          </w:p>
        </w:tc>
        <w:tc>
          <w:tcPr>
            <w:tcW w:w="25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10"/>
          </w:tcPr>
          <w:p>
            <w:pPr>
              <w:spacing w:after="0" w:line="202"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Third Amendment to Amended and Restated Senior Secured Revolving Credit Agreement, dated as of October 8, 2019, among Viper Energy</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0"/>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Partners LLC, as borrower, Viper Energy Partners LP, as parent guarantor, Wells Fargo Bank, National Association, as administrative agent,</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0"/>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and the lender party thereto (incorporated by reference to Exhibit 10.1 of Viper Energy Partners LP’s Current Report on Form 8-K (File 001-</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36505) filed on October 10, 2019).</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First Amendment to the Credit Agreement, dated as of October 23, 2019, by and among Rattler Midstream Operating LLC, as borrower,</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Rattler Midstream LP, as parent, Wells Fargo Bank, National Association, as the administrative agent, and certain lenders from time to time</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party thereto (incorporated by reference to Exhibit 10.1 of Rattler Midstream LP’s Current Report on Form 8-K (File 001-38919) filed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October 28,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10"/>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Certification of Chief Executive Officer of the Registrant pursuant to Rule 13a-14(a)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1934, as amended.</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Certification of Chief Financial Officer of the Registrant pursuant to Rule 13a-14(a) promulgated under the Securities Exchange Act of</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1934, as amended.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10"/>
          </w:tcPr>
          <w:p>
            <w:pPr>
              <w:spacing w:after="0" w:line="202"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Certification of Chief Executive Officer of the Registrant pursuant to Rule 13a-14(b)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1934, as amended, and Section 1350 of Chapter 63 of Title 18 of the United States Code.</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Certification of Chief Financial Officer of the Registrant pursuant to Rule 13a-14(b) promulgated under the Securities Exchange Act of</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1934, as amended, and Section 1350 of Chapter 63 of Title 18 of the United States Code.</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302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9" w:lineRule="exact"/>
        <w:rPr>
          <w:sz w:val="20"/>
          <w:szCs w:val="20"/>
          <w:color w:val="auto"/>
        </w:rPr>
      </w:pPr>
    </w:p>
    <w:p>
      <w:pPr>
        <w:jc w:val="both"/>
        <w:ind w:left="1180" w:right="20" w:hanging="1118"/>
        <w:spacing w:after="0" w:line="261"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September 30, 2019, formatted in Inline XBRL: (i) Consolidated Balance Sheets, (ii) Consolidated Statements of Operations, (iii) Consolidated Statement of Changes in Stockholders’ Equity, (iv)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ind w:left="1220" w:hanging="1158"/>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w:t>
      </w:r>
    </w:p>
    <w:p>
      <w:pPr>
        <w:spacing w:after="0" w:line="184"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jc w:val="both"/>
        <w:ind w:left="600" w:right="860" w:hanging="538"/>
        <w:spacing w:after="0" w:line="266"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3" w:lineRule="exact"/>
        <w:rPr>
          <w:sz w:val="20"/>
          <w:szCs w:val="20"/>
          <w:color w:val="auto"/>
        </w:rPr>
      </w:pPr>
    </w:p>
    <w:p>
      <w:pPr>
        <w:ind w:left="580" w:right="860" w:hanging="518"/>
        <w:spacing w:after="0" w:line="28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registrant hereby undertakes to furnish supplementally copies of any of the omitted schedules upon request by the SEC.</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6, 2019</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6, 2019</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79</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82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90" w:lineRule="exact"/>
        <w:rPr>
          <w:sz w:val="20"/>
          <w:szCs w:val="20"/>
          <w:color w:val="auto"/>
        </w:rPr>
      </w:pPr>
    </w:p>
    <w:p>
      <w:pPr>
        <w:ind w:left="460" w:hanging="438"/>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November 6,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November 6,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November 6,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lowerRoman"/>
      <w:start w:val="4"/>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32" Type="http://schemas.openxmlformats.org/officeDocument/2006/relationships/hyperlink" Target="http://www.sec.gov/Archives/edgar/data/1539838/000119312518249523/d593162dex21.htm" TargetMode="External"/><Relationship Id="rId33" Type="http://schemas.openxmlformats.org/officeDocument/2006/relationships/hyperlink" Target="http://www.sec.gov/Archives/edgar/data/1539838/000153983812000004/exhibit31amendcertofincorp.htm" TargetMode="External"/><Relationship Id="rId34" Type="http://schemas.openxmlformats.org/officeDocument/2006/relationships/hyperlink" Target="http://www.sec.gov/Archives/edgar/data/1539838/000153983816000266/diamondbackex31-12x12x16.htm" TargetMode="External"/><Relationship Id="rId35" Type="http://schemas.openxmlformats.org/officeDocument/2006/relationships/hyperlink" Target="http://www.sec.gov/Archives/edgar/data/1539838/000153983812000004/exhibit32amendandrestatedb.htm" TargetMode="External"/><Relationship Id="rId36" Type="http://schemas.openxmlformats.org/officeDocument/2006/relationships/hyperlink" Target="http://www.sec.gov/Archives/edgar/data/1539838/000153983818000048/diamondbackex31-4x27x18.htm" TargetMode="External"/><Relationship Id="rId37" Type="http://schemas.openxmlformats.org/officeDocument/2006/relationships/hyperlink" Target="http://www.sec.gov/Archives/edgar/data/1539838/000119312512360997/d295327dex41.htm" TargetMode="External"/><Relationship Id="rId38" Type="http://schemas.openxmlformats.org/officeDocument/2006/relationships/hyperlink" Target="http://www.sec.gov/Archives/edgar/data/1539838/000153983816000247/diamondbackex41-11x2x16.htm" TargetMode="External"/><Relationship Id="rId39" Type="http://schemas.openxmlformats.org/officeDocument/2006/relationships/hyperlink" Target="http://www.sec.gov/Archives/edgar/data/1539838/000153983818000109/diamondbackex41-10x1x18.htm" TargetMode="External"/><Relationship Id="rId40" Type="http://schemas.openxmlformats.org/officeDocument/2006/relationships/hyperlink" Target="http://www.sec.gov/Archives/edgar/data/1539838/000153983819000008/diamondback201810-kxex44.htm" TargetMode="External"/><Relationship Id="rId41" Type="http://schemas.openxmlformats.org/officeDocument/2006/relationships/hyperlink" Target="http://www.sec.gov/Archives/edgar/data/1539838/000153983819000008/diamondback201810-kxex45.htm" TargetMode="External"/><Relationship Id="rId42" Type="http://schemas.openxmlformats.org/officeDocument/2006/relationships/hyperlink" Target="http://www.sec.gov/Archives/edgar/data/1539838/000153983816000272/diamondbackex41-12x21x16.htm" TargetMode="External"/><Relationship Id="rId43" Type="http://schemas.openxmlformats.org/officeDocument/2006/relationships/hyperlink" Target="http://www.sec.gov/Archives/edgar/data/1539838/000153983818000006/diamondbackex43-1x30x18.htm" TargetMode="External"/><Relationship Id="rId44" Type="http://schemas.openxmlformats.org/officeDocument/2006/relationships/hyperlink" Target="http://www.sec.gov/Archives/edgar/data/1539838/000153983819000008/diamondback201810-kxex48.htm" TargetMode="External"/><Relationship Id="rId45" Type="http://schemas.openxmlformats.org/officeDocument/2006/relationships/hyperlink" Target="http://www.sec.gov/Archives/edgar/data/1539838/000153983819000008/diamondback201810-kxex49.htm" TargetMode="External"/><Relationship Id="rId46" Type="http://schemas.openxmlformats.org/officeDocument/2006/relationships/hyperlink" Target="http://www.sec.gov/Archives/edgar/data/1539838/000153983817000040/diamondbackex41-3x6x17.htm" TargetMode="External"/><Relationship Id="rId47" Type="http://schemas.openxmlformats.org/officeDocument/2006/relationships/hyperlink" Target="http://www.sec.gov/Archives/edgar/data/1539838/000153983818000117/exhibit410.htm" TargetMode="External"/><Relationship Id="rId48" Type="http://schemas.openxmlformats.org/officeDocument/2006/relationships/hyperlink" Target="http://www.sec.gov/Archives/edgar/data/277595/0000950109-96-005681.txt" TargetMode="External"/><Relationship Id="rId49" Type="http://schemas.openxmlformats.org/officeDocument/2006/relationships/hyperlink" Target="http://www.sec.gov/Archives/edgar/data/1602065/000110465919054635/tm19193893_ex4-1.htm" TargetMode="External"/><Relationship Id="rId50" Type="http://schemas.openxmlformats.org/officeDocument/2006/relationships/hyperlink" Target="http://www.sec.gov/Archives/edgar/data/1539838/000153983819000103/diamondbackex101-9x4x19.htm" TargetMode="External"/><Relationship Id="rId51" Type="http://schemas.openxmlformats.org/officeDocument/2006/relationships/hyperlink" Target="http://www.sec.gov/Archives/edgar/data/1602065/000110465919054635/tm19193893_ex10-2.htm" TargetMode="External"/><Relationship Id="rId52" Type="http://schemas.openxmlformats.org/officeDocument/2006/relationships/hyperlink" Target="http://www.sec.gov/Archives/edgar/data/1602065/000160206519000040/viperex101-9x30x19.htm" TargetMode="External"/><Relationship Id="rId53" Type="http://schemas.openxmlformats.org/officeDocument/2006/relationships/hyperlink" Target="http://www.sec.gov/Archives/edgar/data/1602065/000160206519000042/viperex101-10x10x19.htm" TargetMode="External"/><Relationship Id="rId54" Type="http://schemas.openxmlformats.org/officeDocument/2006/relationships/hyperlink" Target="http://www.sec.gov/Archives/edgar/data/1748773/000174877319000010/rattlerex101-10x28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2019-12-28T02:23:39Z</dcterms:created>
  <dcterms:modified xsi:type="dcterms:W3CDTF">2019-12-28T02:23:39Z</dcterms:modified>
</cp:coreProperties>
</file>