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30, 2024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001-35700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44"/>
        </w:rPr>
      </w:pPr>
      <w:r>
        <w:rPr>
          <w:rFonts w:ascii="Times New Roman;sans-serif" w:hAnsi="Times New Roman;sans-serif"/>
          <w:b/>
          <w:color w:val="000000"/>
          <w:sz w:val="44"/>
        </w:rPr>
        <w:t>Diamondback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95" w:type="dxa"/>
        <w:jc w:val="center"/>
        <w:tblInd w:w="0" w:type="dxa"/>
        <w:tblLayout w:type="fixed"/>
        <w:tblCellMar>
          <w:top w:w="28" w:type="dxa"/>
          <w:left w:w="28" w:type="dxa"/>
          <w:bottom w:w="28" w:type="dxa"/>
          <w:right w:w="28" w:type="dxa"/>
        </w:tblCellMar>
      </w:tblPr>
      <w:tblGrid>
        <w:gridCol w:w="868"/>
        <w:gridCol w:w="761"/>
        <w:gridCol w:w="761"/>
        <w:gridCol w:w="761"/>
        <w:gridCol w:w="761"/>
        <w:gridCol w:w="781"/>
        <w:gridCol w:w="109"/>
        <w:gridCol w:w="109"/>
        <w:gridCol w:w="109"/>
        <w:gridCol w:w="896"/>
        <w:gridCol w:w="896"/>
        <w:gridCol w:w="1283"/>
      </w:tblGrid>
      <w:tr>
        <w:trPr/>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18"/>
              </w:rPr>
            </w:pPr>
            <w:r>
              <w:rPr>
                <w:rFonts w:ascii="Times New Roman;sans-serif" w:hAnsi="Times New Roman;sans-serif"/>
                <w:b/>
                <w:color w:val="000000"/>
                <w:sz w:val="18"/>
              </w:rPr>
              <w:t>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18"/>
              </w:rPr>
            </w:pPr>
            <w:r>
              <w:rPr>
                <w:rFonts w:ascii="Times New Roman;sans-serif" w:hAnsi="Times New Roman;sans-serif"/>
                <w:b/>
                <w:color w:val="000000"/>
                <w:sz w:val="18"/>
              </w:rPr>
              <w:t>45-4502447</w:t>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16"/>
              </w:rPr>
            </w:pPr>
            <w:r>
              <w:rPr>
                <w:rFonts w:ascii="Times New Roman;sans-serif" w:hAnsi="Times New Roman;sans-serif"/>
                <w:b/>
                <w:color w:val="000000"/>
                <w:sz w:val="16"/>
              </w:rPr>
              <w:t>(I.R.S. Employer Identification Number)</w:t>
            </w:r>
          </w:p>
        </w:tc>
      </w:tr>
      <w:tr>
        <w:trPr/>
        <w:tc>
          <w:tcPr>
            <w:tcW w:w="4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500 West Texas 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Midland, 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79701</w:t>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(432) 221-7400 </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6"/>
        </w:rPr>
        <w:t>Securities registered pursuant to Section 12(b) of the Securities Exchange Act of 1934:</w:t>
      </w:r>
    </w:p>
    <w:tbl>
      <w:tblPr>
        <w:tblW w:w="9182" w:type="dxa"/>
        <w:jc w:val="center"/>
        <w:tblInd w:w="0" w:type="dxa"/>
        <w:tblLayout w:type="fixed"/>
        <w:tblCellMar>
          <w:top w:w="28" w:type="dxa"/>
          <w:left w:w="28" w:type="dxa"/>
          <w:bottom w:w="28" w:type="dxa"/>
          <w:right w:w="28" w:type="dxa"/>
        </w:tblCellMar>
      </w:tblPr>
      <w:tblGrid>
        <w:gridCol w:w="124"/>
        <w:gridCol w:w="109"/>
        <w:gridCol w:w="109"/>
        <w:gridCol w:w="1028"/>
        <w:gridCol w:w="1028"/>
        <w:gridCol w:w="1034"/>
        <w:gridCol w:w="109"/>
        <w:gridCol w:w="109"/>
        <w:gridCol w:w="109"/>
        <w:gridCol w:w="484"/>
        <w:gridCol w:w="484"/>
        <w:gridCol w:w="486"/>
        <w:gridCol w:w="109"/>
        <w:gridCol w:w="109"/>
        <w:gridCol w:w="109"/>
        <w:gridCol w:w="1089"/>
        <w:gridCol w:w="1089"/>
        <w:gridCol w:w="10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18"/>
        </w:rPr>
        <w:t>Yes</w:t>
      </w:r>
      <w:r>
        <w:rPr>
          <w:color w:val="000000"/>
        </w:rPr>
        <w:t>  ☒    </w:t>
      </w:r>
      <w:r>
        <w:rPr>
          <w:rFonts w:ascii="Times New Roman;sans-serif" w:hAnsi="Times New Roman;sans-serif"/>
          <w:b w:val="false"/>
          <w:color w:val="000000"/>
          <w:sz w:val="16"/>
        </w:rPr>
        <w:t xml:space="preserve">No  ☐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   </w:t>
      </w:r>
      <w:r>
        <w:rPr>
          <w:rFonts w:ascii="Times New Roman;sans-serif" w:hAnsi="Times New Roman;sans-serif"/>
          <w:b w:val="false"/>
          <w:color w:val="000000"/>
          <w:sz w:val="18"/>
        </w:rPr>
        <w:t>Yes</w:t>
      </w:r>
      <w:r>
        <w:rPr>
          <w:color w:val="000000"/>
        </w:rPr>
        <w:t>  ☒    </w:t>
      </w:r>
      <w:r>
        <w:rPr>
          <w:rFonts w:ascii="Times New Roman;sans-serif" w:hAnsi="Times New Roman;sans-serif"/>
          <w:b w:val="false"/>
          <w:color w:val="000000"/>
          <w:sz w:val="16"/>
        </w:rPr>
        <w:t xml:space="preserve">No  ☐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581"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109"/>
        <w:gridCol w:w="109"/>
        <w:gridCol w:w="109"/>
        <w:gridCol w:w="709"/>
        <w:gridCol w:w="709"/>
        <w:gridCol w:w="713"/>
        <w:gridCol w:w="109"/>
        <w:gridCol w:w="109"/>
        <w:gridCol w:w="109"/>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 </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18"/>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16"/>
        </w:rPr>
        <w:t>Yes  ☐     No  ☒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November 1, 2024, the registrant had 291,989,194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 ENDED SEPTEMBER 30, 2024</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7545" w:type="dxa"/>
        <w:jc w:val="left"/>
        <w:tblInd w:w="0" w:type="dxa"/>
        <w:tblLayout w:type="fixed"/>
        <w:tblCellMar>
          <w:top w:w="28" w:type="dxa"/>
          <w:left w:w="28" w:type="dxa"/>
          <w:bottom w:w="28" w:type="dxa"/>
          <w:right w:w="28" w:type="dxa"/>
        </w:tblCellMar>
      </w:tblPr>
      <w:tblGrid>
        <w:gridCol w:w="2550"/>
        <w:gridCol w:w="2246"/>
        <w:gridCol w:w="2253"/>
        <w:gridCol w:w="145"/>
        <w:gridCol w:w="145"/>
        <w:gridCol w:w="206"/>
      </w:tblGrid>
      <w:tr>
        <w:trPr/>
        <w:tc>
          <w:tcPr>
            <w:tcW w:w="2550"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Page</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10">
              <w:r>
                <w:rPr>
                  <w:rStyle w:val="InternetLink"/>
                  <w:rFonts w:ascii="Times New Roman;sans-serif" w:hAnsi="Times New Roman;sans-serif"/>
                  <w:b w:val="false"/>
                  <w:color w:val="0000FF"/>
                  <w:sz w:val="18"/>
                  <w:u w:val="single"/>
                </w:rPr>
                <w:t>Glossary of Oil and Natural Gas Terms</w:t>
              </w:r>
            </w:hyperlink>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09b7444577484ae3b81bbbd98957e58f_10">
              <w:r>
                <w:rPr>
                  <w:rStyle w:val="InternetLink"/>
                  <w:rFonts w:ascii="Times New Roman;sans-serif" w:hAnsi="Times New Roman;sans-serif"/>
                  <w:b w:val="false"/>
                  <w:color w:val="0000FF"/>
                  <w:sz w:val="18"/>
                  <w:u w:val="single"/>
                </w:rPr>
                <w:t>ii</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13">
              <w:r>
                <w:rPr>
                  <w:rStyle w:val="InternetLink"/>
                  <w:rFonts w:ascii="Times New Roman;sans-serif" w:hAnsi="Times New Roman;sans-serif"/>
                  <w:b w:val="false"/>
                  <w:color w:val="0000FF"/>
                  <w:sz w:val="18"/>
                  <w:u w:val="single"/>
                </w:rPr>
                <w:t>Glossary of Certain Other Terms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13">
              <w:r>
                <w:rPr>
                  <w:rStyle w:val="InternetLink"/>
                  <w:rFonts w:ascii="Times New Roman;sans-serif" w:hAnsi="Times New Roman;sans-serif"/>
                  <w:b w:val="false"/>
                  <w:color w:val="0000FF"/>
                  <w:sz w:val="18"/>
                  <w:u w:val="single"/>
                </w:rPr>
                <w:t>iii</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16">
              <w:r>
                <w:rPr>
                  <w:rStyle w:val="InternetLink"/>
                  <w:rFonts w:ascii="Times New Roman;sans-serif" w:hAnsi="Times New Roman;sans-serif"/>
                  <w:b w:val="false"/>
                  <w:color w:val="0000FF"/>
                  <w:sz w:val="18"/>
                  <w:u w:val="single"/>
                </w:rPr>
                <w:t>Cautionary Statement Regarding Forward-Looking Statements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16">
              <w:r>
                <w:rPr>
                  <w:rStyle w:val="InternetLink"/>
                  <w:rFonts w:ascii="Times New Roman;sans-serif" w:hAnsi="Times New Roman;sans-serif"/>
                  <w:b w:val="false"/>
                  <w:color w:val="0000FF"/>
                  <w:sz w:val="18"/>
                  <w:u w:val="single"/>
                </w:rPr>
                <w:t>iv</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19">
              <w:r>
                <w:rPr>
                  <w:rStyle w:val="InternetLink"/>
                  <w:rFonts w:ascii="Times New Roman;sans-serif" w:hAnsi="Times New Roman;sans-serif"/>
                  <w:b/>
                  <w:color w:val="0000FF"/>
                  <w:sz w:val="17"/>
                  <w:u w:val="single"/>
                </w:rPr>
                <w:t>PART I. FINANCIAL INFORMATION</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19">
              <w:r>
                <w:rPr>
                  <w:rStyle w:val="InternetLink"/>
                  <w:rFonts w:ascii="Times New Roman;sans-serif" w:hAnsi="Times New Roman;sans-serif"/>
                  <w:b w:val="false"/>
                  <w:color w:val="0000FF"/>
                  <w:sz w:val="18"/>
                  <w:u w:val="single"/>
                </w:rPr>
                <w:t>Item 1. Condensed Consolidated Financial Statements (Unaudited)</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25">
              <w:r>
                <w:rPr>
                  <w:rStyle w:val="InternetLink"/>
                  <w:rFonts w:ascii="Times New Roman;sans-serif" w:hAnsi="Times New Roman;sans-serif"/>
                  <w:b w:val="false"/>
                  <w:color w:val="0000FF"/>
                  <w:sz w:val="18"/>
                  <w:u w:val="single"/>
                </w:rPr>
                <w:t>1</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25">
              <w:r>
                <w:rPr>
                  <w:rStyle w:val="InternetLink"/>
                  <w:rFonts w:ascii="Times New Roman;sans-serif" w:hAnsi="Times New Roman;sans-serif"/>
                  <w:b w:val="false"/>
                  <w:color w:val="0000FF"/>
                  <w:sz w:val="18"/>
                  <w:u w:val="single"/>
                </w:rPr>
                <w:t>Condensed Consolidated Balance Sheets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25">
              <w:r>
                <w:rPr>
                  <w:rStyle w:val="InternetLink"/>
                  <w:rFonts w:ascii="Times New Roman;sans-serif" w:hAnsi="Times New Roman;sans-serif"/>
                  <w:b w:val="false"/>
                  <w:color w:val="0000FF"/>
                  <w:sz w:val="18"/>
                  <w:u w:val="single"/>
                </w:rPr>
                <w:t>1</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28">
              <w:r>
                <w:rPr>
                  <w:rStyle w:val="InternetLink"/>
                  <w:rFonts w:ascii="Times New Roman;sans-serif" w:hAnsi="Times New Roman;sans-serif"/>
                  <w:b w:val="false"/>
                  <w:color w:val="0000FF"/>
                  <w:sz w:val="18"/>
                  <w:u w:val="single"/>
                </w:rPr>
                <w:t>Condensed Consolidated Statements of Operations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28">
              <w:r>
                <w:rPr>
                  <w:rStyle w:val="InternetLink"/>
                  <w:rFonts w:ascii="Times New Roman;sans-serif" w:hAnsi="Times New Roman;sans-serif"/>
                  <w:b w:val="false"/>
                  <w:color w:val="0000FF"/>
                  <w:sz w:val="18"/>
                  <w:u w:val="single"/>
                </w:rPr>
                <w:t>2</w:t>
              </w:r>
            </w:hyperlink>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31">
              <w:r>
                <w:rPr>
                  <w:rStyle w:val="InternetLink"/>
                  <w:rFonts w:ascii="Times New Roman;sans-serif" w:hAnsi="Times New Roman;sans-serif"/>
                  <w:b w:val="false"/>
                  <w:color w:val="0000FF"/>
                  <w:sz w:val="18"/>
                  <w:u w:val="single"/>
                </w:rPr>
                <w:t>Condensed Consolidated Statements of Stockholders’ Equity</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31">
              <w:r>
                <w:rPr>
                  <w:rStyle w:val="InternetLink"/>
                  <w:rFonts w:ascii="Times New Roman;sans-serif" w:hAnsi="Times New Roman;sans-serif"/>
                  <w:b w:val="false"/>
                  <w:color w:val="0000FF"/>
                  <w:sz w:val="18"/>
                  <w:u w:val="single"/>
                </w:rPr>
                <w:t>3</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34">
              <w:r>
                <w:rPr>
                  <w:rStyle w:val="InternetLink"/>
                  <w:rFonts w:ascii="Times New Roman;sans-serif" w:hAnsi="Times New Roman;sans-serif"/>
                  <w:b w:val="false"/>
                  <w:color w:val="0000FF"/>
                  <w:sz w:val="18"/>
                  <w:u w:val="single"/>
                </w:rPr>
                <w:t>Condensed Consolidated Statements of Cash Flows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34">
              <w:r>
                <w:rPr>
                  <w:rStyle w:val="InternetLink"/>
                  <w:rFonts w:ascii="Times New Roman;sans-serif" w:hAnsi="Times New Roman;sans-serif"/>
                  <w:b w:val="false"/>
                  <w:color w:val="0000FF"/>
                  <w:sz w:val="18"/>
                  <w:u w:val="single"/>
                </w:rPr>
                <w:t>5</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37">
              <w:r>
                <w:rPr>
                  <w:rStyle w:val="InternetLink"/>
                  <w:rFonts w:ascii="Times New Roman;sans-serif" w:hAnsi="Times New Roman;sans-serif"/>
                  <w:b w:val="false"/>
                  <w:color w:val="0000FF"/>
                  <w:sz w:val="18"/>
                  <w:u w:val="single"/>
                </w:rPr>
                <w:t>Condensed Notes to Consolidated Financial Statements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37">
              <w:r>
                <w:rPr>
                  <w:rStyle w:val="InternetLink"/>
                  <w:rFonts w:ascii="Times New Roman;sans-serif" w:hAnsi="Times New Roman;sans-serif"/>
                  <w:b w:val="false"/>
                  <w:color w:val="0000FF"/>
                  <w:sz w:val="18"/>
                  <w:u w:val="single"/>
                </w:rPr>
                <w:t>6</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40">
              <w:r>
                <w:rPr>
                  <w:rStyle w:val="InternetLink"/>
                  <w:rFonts w:ascii="Times New Roman;sans-serif" w:hAnsi="Times New Roman;sans-serif"/>
                  <w:b w:val="false"/>
                  <w:color w:val="0000FF"/>
                  <w:sz w:val="18"/>
                  <w:u w:val="single"/>
                </w:rPr>
                <w:t>1. Description of the Business and Basis of Presentation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40">
              <w:r>
                <w:rPr>
                  <w:rStyle w:val="InternetLink"/>
                  <w:rFonts w:ascii="Times New Roman;sans-serif" w:hAnsi="Times New Roman;sans-serif"/>
                  <w:b w:val="false"/>
                  <w:color w:val="0000FF"/>
                  <w:sz w:val="18"/>
                  <w:u w:val="single"/>
                </w:rPr>
                <w:t>6</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43">
              <w:r>
                <w:rPr>
                  <w:rStyle w:val="InternetLink"/>
                  <w:rFonts w:ascii="Times New Roman;sans-serif" w:hAnsi="Times New Roman;sans-serif"/>
                  <w:b w:val="false"/>
                  <w:color w:val="0000FF"/>
                  <w:sz w:val="18"/>
                  <w:u w:val="single"/>
                </w:rPr>
                <w:t>2. Summary of Significant Accounting Policies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43">
              <w:r>
                <w:rPr>
                  <w:rStyle w:val="InternetLink"/>
                  <w:rFonts w:ascii="Times New Roman;sans-serif" w:hAnsi="Times New Roman;sans-serif"/>
                  <w:b w:val="false"/>
                  <w:color w:val="0000FF"/>
                  <w:sz w:val="18"/>
                  <w:u w:val="single"/>
                </w:rPr>
                <w:t>7</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46">
              <w:r>
                <w:rPr>
                  <w:rStyle w:val="InternetLink"/>
                  <w:rFonts w:ascii="Times New Roman;sans-serif" w:hAnsi="Times New Roman;sans-serif"/>
                  <w:b w:val="false"/>
                  <w:color w:val="0000FF"/>
                  <w:sz w:val="18"/>
                  <w:u w:val="single"/>
                </w:rPr>
                <w:t>3. Revenue from Contracts with Customers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46">
              <w:r>
                <w:rPr>
                  <w:rStyle w:val="InternetLink"/>
                  <w:rFonts w:ascii="Times New Roman;sans-serif" w:hAnsi="Times New Roman;sans-serif"/>
                  <w:b w:val="false"/>
                  <w:color w:val="0000FF"/>
                  <w:sz w:val="18"/>
                  <w:u w:val="single"/>
                </w:rPr>
                <w:t>9</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49">
              <w:r>
                <w:rPr>
                  <w:rStyle w:val="InternetLink"/>
                  <w:rFonts w:ascii="Times New Roman;sans-serif" w:hAnsi="Times New Roman;sans-serif"/>
                  <w:b w:val="false"/>
                  <w:color w:val="0000FF"/>
                  <w:sz w:val="18"/>
                  <w:u w:val="single"/>
                </w:rPr>
                <w:t>4. Acquisitions and Divestitures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49">
              <w:r>
                <w:rPr>
                  <w:rStyle w:val="InternetLink"/>
                  <w:rFonts w:ascii="Times New Roman;sans-serif" w:hAnsi="Times New Roman;sans-serif"/>
                  <w:b w:val="false"/>
                  <w:color w:val="0000FF"/>
                  <w:sz w:val="18"/>
                  <w:u w:val="single"/>
                </w:rPr>
                <w:t>10</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88">
              <w:r>
                <w:rPr>
                  <w:rStyle w:val="InternetLink"/>
                  <w:rFonts w:ascii="Times New Roman;sans-serif" w:hAnsi="Times New Roman;sans-serif"/>
                  <w:b w:val="false"/>
                  <w:color w:val="0000FF"/>
                  <w:sz w:val="18"/>
                  <w:u w:val="single"/>
                </w:rPr>
                <w:t>5. Endeavor Energy Resources, LP Acquisition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88">
              <w:r>
                <w:rPr>
                  <w:rStyle w:val="InternetLink"/>
                  <w:rFonts w:ascii="Times New Roman;sans-serif" w:hAnsi="Times New Roman;sans-serif"/>
                  <w:b w:val="false"/>
                  <w:color w:val="0000FF"/>
                  <w:sz w:val="18"/>
                  <w:u w:val="single"/>
                </w:rPr>
                <w:t>14</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55">
              <w:r>
                <w:rPr>
                  <w:rStyle w:val="InternetLink"/>
                  <w:rFonts w:ascii="Times New Roman;sans-serif" w:hAnsi="Times New Roman;sans-serif"/>
                  <w:b w:val="false"/>
                  <w:color w:val="0000FF"/>
                  <w:sz w:val="18"/>
                  <w:u w:val="single"/>
                </w:rPr>
                <w:t>6. Property and Equipment</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55">
              <w:r>
                <w:rPr>
                  <w:rStyle w:val="InternetLink"/>
                  <w:rFonts w:ascii="Times New Roman;sans-serif" w:hAnsi="Times New Roman;sans-serif"/>
                  <w:b w:val="false"/>
                  <w:color w:val="0000FF"/>
                  <w:sz w:val="18"/>
                  <w:u w:val="single"/>
                </w:rPr>
                <w:t>16</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58">
              <w:r>
                <w:rPr>
                  <w:rStyle w:val="InternetLink"/>
                  <w:rFonts w:ascii="Times New Roman;sans-serif" w:hAnsi="Times New Roman;sans-serif"/>
                  <w:b w:val="false"/>
                  <w:color w:val="0000FF"/>
                  <w:sz w:val="18"/>
                  <w:u w:val="single"/>
                </w:rPr>
                <w:t>7. Asset Retirement Obligations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61">
              <w:r>
                <w:rPr>
                  <w:rStyle w:val="InternetLink"/>
                  <w:rFonts w:ascii="Times New Roman;sans-serif" w:hAnsi="Times New Roman;sans-serif"/>
                  <w:b w:val="false"/>
                  <w:color w:val="0000FF"/>
                  <w:sz w:val="18"/>
                  <w:u w:val="single"/>
                </w:rPr>
                <w:t>17</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61">
              <w:r>
                <w:rPr>
                  <w:rStyle w:val="InternetLink"/>
                  <w:rFonts w:ascii="Times New Roman;sans-serif" w:hAnsi="Times New Roman;sans-serif"/>
                  <w:b w:val="false"/>
                  <w:color w:val="0000FF"/>
                  <w:sz w:val="18"/>
                  <w:u w:val="single"/>
                </w:rPr>
                <w:t>8. Related Party Transactions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61">
              <w:r>
                <w:rPr>
                  <w:rStyle w:val="InternetLink"/>
                  <w:rFonts w:ascii="Times New Roman;sans-serif" w:hAnsi="Times New Roman;sans-serif"/>
                  <w:b w:val="false"/>
                  <w:color w:val="0000FF"/>
                  <w:sz w:val="18"/>
                  <w:u w:val="single"/>
                </w:rPr>
                <w:t>17</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64">
              <w:r>
                <w:rPr>
                  <w:rStyle w:val="InternetLink"/>
                  <w:rFonts w:ascii="Times New Roman;sans-serif" w:hAnsi="Times New Roman;sans-serif"/>
                  <w:b w:val="false"/>
                  <w:color w:val="0000FF"/>
                  <w:sz w:val="18"/>
                  <w:u w:val="single"/>
                </w:rPr>
                <w:t>9. Debt</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64">
              <w:r>
                <w:rPr>
                  <w:rStyle w:val="InternetLink"/>
                  <w:rFonts w:ascii="Times New Roman;sans-serif" w:hAnsi="Times New Roman;sans-serif"/>
                  <w:b w:val="false"/>
                  <w:color w:val="0000FF"/>
                  <w:sz w:val="18"/>
                  <w:u w:val="single"/>
                </w:rPr>
                <w:t>18</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67">
              <w:r>
                <w:rPr>
                  <w:rStyle w:val="InternetLink"/>
                  <w:rFonts w:ascii="Times New Roman;sans-serif" w:hAnsi="Times New Roman;sans-serif"/>
                  <w:b w:val="false"/>
                  <w:color w:val="000080"/>
                  <w:sz w:val="18"/>
                  <w:u w:val="single"/>
                </w:rPr>
                <w:t>10. Stockholders' Equity and Earnings</w:t>
              </w:r>
            </w:hyperlink>
            <w:hyperlink w:anchor="i09b7444577484ae3b81bbbd98957e58f_67">
              <w:r>
                <w:rPr>
                  <w:rStyle w:val="InternetLink"/>
                  <w:rFonts w:ascii="Times New Roman;sans-serif" w:hAnsi="Times New Roman;sans-serif"/>
                  <w:b w:val="false"/>
                  <w:color w:val="000080"/>
                  <w:sz w:val="18"/>
                  <w:u w:val="single"/>
                </w:rPr>
                <w:t xml:space="preserve"> (Loss)</w:t>
              </w:r>
            </w:hyperlink>
            <w:hyperlink w:anchor="i09b7444577484ae3b81bbbd98957e58f_67">
              <w:r>
                <w:rPr>
                  <w:rStyle w:val="InternetLink"/>
                  <w:rFonts w:ascii="Times New Roman;sans-serif" w:hAnsi="Times New Roman;sans-serif"/>
                  <w:b w:val="false"/>
                  <w:color w:val="000080"/>
                  <w:sz w:val="18"/>
                  <w:u w:val="single"/>
                </w:rPr>
                <w:t xml:space="preserve"> Per Share</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67">
              <w:r>
                <w:rPr>
                  <w:rStyle w:val="InternetLink"/>
                  <w:rFonts w:ascii="Times New Roman;sans-serif" w:hAnsi="Times New Roman;sans-serif"/>
                  <w:b w:val="false"/>
                  <w:color w:val="0000FF"/>
                  <w:sz w:val="18"/>
                  <w:u w:val="single"/>
                </w:rPr>
                <w:t>20</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70">
              <w:r>
                <w:rPr>
                  <w:rStyle w:val="InternetLink"/>
                  <w:rFonts w:ascii="Times New Roman;sans-serif" w:hAnsi="Times New Roman;sans-serif"/>
                  <w:b w:val="false"/>
                  <w:color w:val="0000FF"/>
                  <w:sz w:val="18"/>
                  <w:u w:val="single"/>
                </w:rPr>
                <w:t>11. Equity-Based Compensation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70">
              <w:r>
                <w:rPr>
                  <w:rStyle w:val="InternetLink"/>
                  <w:rFonts w:ascii="Times New Roman;sans-serif" w:hAnsi="Times New Roman;sans-serif"/>
                  <w:b w:val="false"/>
                  <w:color w:val="0000FF"/>
                  <w:sz w:val="18"/>
                  <w:u w:val="single"/>
                </w:rPr>
                <w:t>22</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73">
              <w:r>
                <w:rPr>
                  <w:rStyle w:val="InternetLink"/>
                  <w:rFonts w:ascii="Times New Roman;sans-serif" w:hAnsi="Times New Roman;sans-serif"/>
                  <w:b w:val="false"/>
                  <w:color w:val="0000FF"/>
                  <w:sz w:val="18"/>
                  <w:u w:val="single"/>
                </w:rPr>
                <w:t>12. Income Taxes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73">
              <w:r>
                <w:rPr>
                  <w:rStyle w:val="InternetLink"/>
                  <w:rFonts w:ascii="Times New Roman;sans-serif" w:hAnsi="Times New Roman;sans-serif"/>
                  <w:b w:val="false"/>
                  <w:color w:val="0000FF"/>
                  <w:sz w:val="18"/>
                  <w:u w:val="single"/>
                </w:rPr>
                <w:t>24</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76">
              <w:r>
                <w:rPr>
                  <w:rStyle w:val="InternetLink"/>
                  <w:rFonts w:ascii="Times New Roman;sans-serif" w:hAnsi="Times New Roman;sans-serif"/>
                  <w:b w:val="false"/>
                  <w:color w:val="0000FF"/>
                  <w:sz w:val="18"/>
                  <w:u w:val="single"/>
                </w:rPr>
                <w:t>13. Derivatives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76">
              <w:r>
                <w:rPr>
                  <w:rStyle w:val="InternetLink"/>
                  <w:rFonts w:ascii="Times New Roman;sans-serif" w:hAnsi="Times New Roman;sans-serif"/>
                  <w:b w:val="false"/>
                  <w:color w:val="0000FF"/>
                  <w:sz w:val="18"/>
                  <w:u w:val="single"/>
                </w:rPr>
                <w:t>24</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79">
              <w:r>
                <w:rPr>
                  <w:rStyle w:val="InternetLink"/>
                  <w:rFonts w:ascii="Times New Roman;sans-serif" w:hAnsi="Times New Roman;sans-serif"/>
                  <w:b w:val="false"/>
                  <w:color w:val="0000FF"/>
                  <w:sz w:val="18"/>
                  <w:u w:val="single"/>
                </w:rPr>
                <w:t>14. Fair Value Measurements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79">
              <w:r>
                <w:rPr>
                  <w:rStyle w:val="InternetLink"/>
                  <w:rFonts w:ascii="Times New Roman;sans-serif" w:hAnsi="Times New Roman;sans-serif"/>
                  <w:b w:val="false"/>
                  <w:color w:val="0000FF"/>
                  <w:sz w:val="18"/>
                  <w:u w:val="single"/>
                </w:rPr>
                <w:t>27</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82">
              <w:r>
                <w:rPr>
                  <w:rStyle w:val="InternetLink"/>
                  <w:rFonts w:ascii="Times New Roman;sans-serif" w:hAnsi="Times New Roman;sans-serif"/>
                  <w:b w:val="false"/>
                  <w:color w:val="0000FF"/>
                  <w:sz w:val="18"/>
                  <w:u w:val="single"/>
                </w:rPr>
                <w:t>15. Supplemental Information To Statements of Cash Flows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82">
              <w:r>
                <w:rPr>
                  <w:rStyle w:val="InternetLink"/>
                  <w:rFonts w:ascii="Times New Roman;sans-serif" w:hAnsi="Times New Roman;sans-serif"/>
                  <w:b w:val="false"/>
                  <w:color w:val="0000FF"/>
                  <w:sz w:val="18"/>
                  <w:u w:val="single"/>
                </w:rPr>
                <w:t>29</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85">
              <w:r>
                <w:rPr>
                  <w:rStyle w:val="InternetLink"/>
                  <w:rFonts w:ascii="Times New Roman;sans-serif" w:hAnsi="Times New Roman;sans-serif"/>
                  <w:b w:val="false"/>
                  <w:color w:val="0000FF"/>
                  <w:sz w:val="18"/>
                  <w:u w:val="single"/>
                </w:rPr>
                <w:t>16. Commitments and Contingencies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85">
              <w:r>
                <w:rPr>
                  <w:rStyle w:val="InternetLink"/>
                  <w:rFonts w:ascii="Times New Roman;sans-serif" w:hAnsi="Times New Roman;sans-serif"/>
                  <w:b w:val="false"/>
                  <w:color w:val="0000FF"/>
                  <w:sz w:val="18"/>
                  <w:u w:val="single"/>
                </w:rPr>
                <w:t>29</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91">
              <w:r>
                <w:rPr>
                  <w:rStyle w:val="InternetLink"/>
                  <w:rFonts w:ascii="Times New Roman;sans-serif" w:hAnsi="Times New Roman;sans-serif"/>
                  <w:b w:val="false"/>
                  <w:color w:val="0000FF"/>
                  <w:sz w:val="18"/>
                  <w:u w:val="single"/>
                </w:rPr>
                <w:t>17. Subsequent Events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91">
              <w:r>
                <w:rPr>
                  <w:rStyle w:val="InternetLink"/>
                  <w:rFonts w:ascii="Times New Roman;sans-serif" w:hAnsi="Times New Roman;sans-serif"/>
                  <w:b w:val="false"/>
                  <w:color w:val="0000FF"/>
                  <w:sz w:val="18"/>
                  <w:u w:val="single"/>
                </w:rPr>
                <w:t>29</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97">
              <w:r>
                <w:rPr>
                  <w:rStyle w:val="InternetLink"/>
                  <w:rFonts w:ascii="Times New Roman;sans-serif" w:hAnsi="Times New Roman;sans-serif"/>
                  <w:b w:val="false"/>
                  <w:color w:val="0000FF"/>
                  <w:sz w:val="18"/>
                  <w:u w:val="single"/>
                </w:rPr>
                <w:t>18. Segment Information</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97">
              <w:r>
                <w:rPr>
                  <w:rStyle w:val="InternetLink"/>
                  <w:rFonts w:ascii="Times New Roman;sans-serif" w:hAnsi="Times New Roman;sans-serif"/>
                  <w:b w:val="false"/>
                  <w:color w:val="0000FF"/>
                  <w:sz w:val="18"/>
                  <w:u w:val="single"/>
                </w:rPr>
                <w:t>30</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100">
              <w:r>
                <w:rPr>
                  <w:rStyle w:val="InternetLink"/>
                  <w:rFonts w:ascii="Times New Roman;sans-serif" w:hAnsi="Times New Roman;sans-serif"/>
                  <w:b w:val="false"/>
                  <w:color w:val="0000FF"/>
                  <w:sz w:val="18"/>
                  <w:u w:val="single"/>
                </w:rPr>
                <w:t>Item 2. Management’s Discussion and Analysis of Financial Condition and Results of Operations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100">
              <w:r>
                <w:rPr>
                  <w:rStyle w:val="InternetLink"/>
                  <w:rFonts w:ascii="Times New Roman;sans-serif" w:hAnsi="Times New Roman;sans-serif"/>
                  <w:b w:val="false"/>
                  <w:color w:val="0000FF"/>
                  <w:sz w:val="18"/>
                  <w:u w:val="single"/>
                </w:rPr>
                <w:t>33</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157">
              <w:r>
                <w:rPr>
                  <w:rStyle w:val="InternetLink"/>
                  <w:rFonts w:ascii="Times New Roman;sans-serif" w:hAnsi="Times New Roman;sans-serif"/>
                  <w:b w:val="false"/>
                  <w:color w:val="0000FF"/>
                  <w:sz w:val="18"/>
                  <w:u w:val="single"/>
                </w:rPr>
                <w:t>Item 3. Quantitative and Qualitative Disclosures About Market Risk</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157">
              <w:r>
                <w:rPr>
                  <w:rStyle w:val="InternetLink"/>
                  <w:rFonts w:ascii="Times New Roman;sans-serif" w:hAnsi="Times New Roman;sans-serif"/>
                  <w:b w:val="false"/>
                  <w:color w:val="0000FF"/>
                  <w:sz w:val="18"/>
                  <w:u w:val="single"/>
                </w:rPr>
                <w:t>50</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160">
              <w:r>
                <w:rPr>
                  <w:rStyle w:val="InternetLink"/>
                  <w:rFonts w:ascii="Times New Roman;sans-serif" w:hAnsi="Times New Roman;sans-serif"/>
                  <w:b w:val="false"/>
                  <w:color w:val="0000FF"/>
                  <w:sz w:val="18"/>
                  <w:u w:val="single"/>
                </w:rPr>
                <w:t>Item 4. Controls and Procedures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160">
              <w:r>
                <w:rPr>
                  <w:rStyle w:val="InternetLink"/>
                  <w:rFonts w:ascii="Times New Roman;sans-serif" w:hAnsi="Times New Roman;sans-serif"/>
                  <w:b w:val="false"/>
                  <w:color w:val="0000FF"/>
                  <w:sz w:val="18"/>
                  <w:u w:val="single"/>
                </w:rPr>
                <w:t>51</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163">
              <w:r>
                <w:rPr>
                  <w:rStyle w:val="InternetLink"/>
                  <w:rFonts w:ascii="Times New Roman;sans-serif" w:hAnsi="Times New Roman;sans-serif"/>
                  <w:b/>
                  <w:color w:val="0000FF"/>
                  <w:sz w:val="17"/>
                  <w:u w:val="single"/>
                </w:rPr>
                <w:t>PART II. OTHER INFORMATION</w:t>
              </w:r>
            </w:hyperlink>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166">
              <w:r>
                <w:rPr>
                  <w:rStyle w:val="InternetLink"/>
                  <w:rFonts w:ascii="Times New Roman;sans-serif" w:hAnsi="Times New Roman;sans-serif"/>
                  <w:b w:val="false"/>
                  <w:color w:val="0000FF"/>
                  <w:sz w:val="18"/>
                  <w:u w:val="single"/>
                </w:rPr>
                <w:t>Item 1. Legal Proceedings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166">
              <w:r>
                <w:rPr>
                  <w:rStyle w:val="InternetLink"/>
                  <w:rFonts w:ascii="Times New Roman;sans-serif" w:hAnsi="Times New Roman;sans-serif"/>
                  <w:b w:val="false"/>
                  <w:color w:val="0000FF"/>
                  <w:sz w:val="18"/>
                  <w:u w:val="single"/>
                </w:rPr>
                <w:t>53</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169">
              <w:r>
                <w:rPr>
                  <w:rStyle w:val="InternetLink"/>
                  <w:rFonts w:ascii="Times New Roman;sans-serif" w:hAnsi="Times New Roman;sans-serif"/>
                  <w:b w:val="false"/>
                  <w:color w:val="0000FF"/>
                  <w:sz w:val="18"/>
                  <w:u w:val="single"/>
                </w:rPr>
                <w:t>Item 1A. Risk Factors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169">
              <w:r>
                <w:rPr>
                  <w:rStyle w:val="InternetLink"/>
                  <w:rFonts w:ascii="Times New Roman;sans-serif" w:hAnsi="Times New Roman;sans-serif"/>
                  <w:b w:val="false"/>
                  <w:color w:val="0000FF"/>
                  <w:sz w:val="18"/>
                  <w:u w:val="single"/>
                </w:rPr>
                <w:t>53</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172">
              <w:r>
                <w:rPr>
                  <w:rStyle w:val="InternetLink"/>
                  <w:rFonts w:ascii="Times New Roman;sans-serif" w:hAnsi="Times New Roman;sans-serif"/>
                  <w:b w:val="false"/>
                  <w:color w:val="0000FF"/>
                  <w:sz w:val="18"/>
                  <w:u w:val="single"/>
                </w:rPr>
                <w:t>Item 2. Unregistered Sales of Equity Securities and Use of Proceeds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172">
              <w:r>
                <w:rPr>
                  <w:rStyle w:val="InternetLink"/>
                  <w:rFonts w:ascii="Times New Roman;sans-serif" w:hAnsi="Times New Roman;sans-serif"/>
                  <w:b w:val="false"/>
                  <w:color w:val="0000FF"/>
                  <w:sz w:val="18"/>
                  <w:u w:val="single"/>
                </w:rPr>
                <w:t>53</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175">
              <w:r>
                <w:rPr>
                  <w:rStyle w:val="InternetLink"/>
                  <w:rFonts w:ascii="Times New Roman;sans-serif" w:hAnsi="Times New Roman;sans-serif"/>
                  <w:b w:val="false"/>
                  <w:color w:val="0000FF"/>
                  <w:sz w:val="18"/>
                  <w:u w:val="single"/>
                </w:rPr>
                <w:t>Item 5. Other Information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175">
              <w:r>
                <w:rPr>
                  <w:rStyle w:val="InternetLink"/>
                  <w:rFonts w:ascii="Times New Roman;sans-serif" w:hAnsi="Times New Roman;sans-serif"/>
                  <w:b w:val="false"/>
                  <w:color w:val="0000FF"/>
                  <w:sz w:val="18"/>
                  <w:u w:val="single"/>
                </w:rPr>
                <w:t>53</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181">
              <w:r>
                <w:rPr>
                  <w:rStyle w:val="InternetLink"/>
                  <w:rFonts w:ascii="Times New Roman;sans-serif" w:hAnsi="Times New Roman;sans-serif"/>
                  <w:b w:val="false"/>
                  <w:color w:val="0000FF"/>
                  <w:sz w:val="18"/>
                  <w:u w:val="single"/>
                </w:rPr>
                <w:t>Item 6. Exhibits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181">
              <w:r>
                <w:rPr>
                  <w:rStyle w:val="InternetLink"/>
                  <w:rFonts w:ascii="Times New Roman;sans-serif" w:hAnsi="Times New Roman;sans-serif"/>
                  <w:b w:val="false"/>
                  <w:color w:val="0000FF"/>
                  <w:sz w:val="18"/>
                  <w:u w:val="single"/>
                </w:rPr>
                <w:t>54</w:t>
              </w:r>
            </w:hyperlink>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9b7444577484ae3b81bbbd98957e58f_184">
              <w:r>
                <w:rPr>
                  <w:rStyle w:val="InternetLink"/>
                  <w:rFonts w:ascii="Times New Roman;sans-serif" w:hAnsi="Times New Roman;sans-serif"/>
                  <w:b w:val="false"/>
                  <w:color w:val="0000FF"/>
                  <w:sz w:val="18"/>
                  <w:u w:val="single"/>
                </w:rPr>
                <w:t>Signatures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9b7444577484ae3b81bbbd98957e58f_184">
              <w:r>
                <w:rPr>
                  <w:rStyle w:val="InternetLink"/>
                  <w:rFonts w:ascii="Times New Roman;sans-serif" w:hAnsi="Times New Roman;sans-serif"/>
                  <w:b w:val="false"/>
                  <w:color w:val="0000FF"/>
                  <w:sz w:val="18"/>
                  <w:u w:val="single"/>
                </w:rPr>
                <w:t>55</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GLOSSARY OF OIL AND NATURAL GAS TERMS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oil and natural gas industry terms that are used in this Quarterly Report on Form 10-Q (this “report”):</w:t>
      </w:r>
    </w:p>
    <w:tbl>
      <w:tblPr>
        <w:tblW w:w="10205" w:type="dxa"/>
        <w:jc w:val="left"/>
        <w:tblInd w:w="0" w:type="dxa"/>
        <w:tblLayout w:type="fixed"/>
        <w:tblCellMar>
          <w:top w:w="28" w:type="dxa"/>
          <w:left w:w="28" w:type="dxa"/>
          <w:bottom w:w="28" w:type="dxa"/>
          <w:right w:w="28" w:type="dxa"/>
        </w:tblCellMar>
      </w:tblPr>
      <w:tblGrid>
        <w:gridCol w:w="609"/>
        <w:gridCol w:w="308"/>
        <w:gridCol w:w="309"/>
        <w:gridCol w:w="2871"/>
        <w:gridCol w:w="2518"/>
        <w:gridCol w:w="3590"/>
      </w:tblGrid>
      <w:tr>
        <w:trPr/>
        <w:tc>
          <w:tcPr>
            <w:tcW w:w="6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Argus WTI Houston</w:t>
            </w:r>
          </w:p>
        </w:tc>
        <w:tc>
          <w:tcPr>
            <w:tcW w:w="8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Grade of oil that serves as a benchmark price for oil at Houston, Texas.</w:t>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Argus WTI Midland</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Grade of oil that serves as a benchmark price for oil at Midland, Texas.</w:t>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Basin</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 large depression on the earth’s surface in which sediments accumulate.</w:t>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Bbl or barrel</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stock tank barrel, or 42 U.S. gallons liquid volume, used in this report in reference to crude oil or other liquid hydrocarbons.</w:t>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BO/d</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barrel of crude oil per day.</w:t>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BOE</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barrel of oil equivalent, with six thousand cubic feet of natural gas being equivalent to one barrel of oil.</w:t>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BOE/d</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BOE per day.</w:t>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Brent</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 major trading classification of light sweet oil that serves as a benchmark price for oil worldwide.</w:t>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Completion</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process of treating a drilled well followed by the installation of permanent equipment for the production of natural gas or oil, or in the case of a dry hole, the reporting of abandonment to the appropriate agency.</w:t>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Henry Hub</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Natural gas gathering point that serves as a benchmark price for natural gas futures on the NYMEX.</w:t>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Horizontal wells</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Wells drilled directionally horizontal to allow for development of structures not reachable through traditional vertical drilling mechanisms.</w:t>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MBbl</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thousand barrels of crude oil and other liquid hydrocarbons.</w:t>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MBOE</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thousand BOE.</w:t>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MBOE/d</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thousand BOE per day.</w:t>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Mcf</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thousand cubic feet of natural gas.</w:t>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Mineral interests</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interests in ownership of the resource and mineral rights, giving an owner the right to profit from the extracted resources.</w:t>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MMBtu</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million British Thermal Units.</w:t>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MMcf</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Million cubic feet of natural gas.</w:t>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acres</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sum of the fractional working interest owned in gross acres.</w:t>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Oil and natural gas properties</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Tracts of land consisting of properties to be developed for oil and natural gas resource extraction.</w:t>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Proved reserves</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estimated quantities of oil, natural gas and natural gas liquids which geological and engineering data demonstrate with reasonable certainty to be commercially recoverable in future years from known reservoirs under existing economic and operating conditions.</w:t>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Reserves</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estimated remaining quantities of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natural gas or related substances to the market and all permits and financing required to implement the project. Reserves are not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Reservoir</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 porous and permeable underground formation containing a natural accumulation of producible natural gas and/or crude oil that is confined by impermeable rock or water barriers and is separate from other reservoirs.</w:t>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Royalty interest</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An interest that gives an owner the right to receive a portion of the resources or revenues without having to carry any costs of development, which may be subject to expiration.</w:t>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Waha Hub</w:t>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Natural gas gathering point that serves as a benchmark price for natural gas at western Texas and New Mexico.</w:t>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Working interest</w:t>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An operating interest that gives the owner the right to drill, produce and conduct operating activities on the property and receive a share of production and requires the owner to pay a share of the costs of drilling and production operations.</w:t>
            </w:r>
          </w:p>
        </w:tc>
      </w:tr>
      <w:tr>
        <w:trPr/>
        <w:tc>
          <w:tcPr>
            <w:tcW w:w="122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WTI</w:t>
            </w:r>
          </w:p>
        </w:tc>
        <w:tc>
          <w:tcPr>
            <w:tcW w:w="897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West Texas Intermediate, a light sweet blend of oil produced from fields in western Texas and is a grade of oil that serves as a benchmark for oil on the NYMEX.</w:t>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897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GLOSSARY OF CERTAIN OTHER TERMS</w:t>
      </w:r>
    </w:p>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other terms that are used in this report:</w:t>
      </w:r>
    </w:p>
    <w:tbl>
      <w:tblPr>
        <w:tblW w:w="10205" w:type="dxa"/>
        <w:jc w:val="left"/>
        <w:tblInd w:w="0" w:type="dxa"/>
        <w:tblLayout w:type="fixed"/>
        <w:tblCellMar>
          <w:top w:w="28" w:type="dxa"/>
          <w:left w:w="28" w:type="dxa"/>
          <w:bottom w:w="28" w:type="dxa"/>
          <w:right w:w="28" w:type="dxa"/>
        </w:tblCellMar>
      </w:tblPr>
      <w:tblGrid>
        <w:gridCol w:w="509"/>
        <w:gridCol w:w="433"/>
        <w:gridCol w:w="302"/>
        <w:gridCol w:w="2725"/>
        <w:gridCol w:w="2578"/>
        <w:gridCol w:w="3658"/>
      </w:tblGrid>
      <w:tr>
        <w:trPr/>
        <w:tc>
          <w:tcPr>
            <w:tcW w:w="5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Accounting Standards Update.</w:t>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Plan</w:t>
            </w:r>
          </w:p>
        </w:tc>
        <w:tc>
          <w:tcPr>
            <w:tcW w:w="8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Company’s 2021 Amended and Restated Equity Incentive Plan.</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8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Securities Exchange Act of 1934, as amended.</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Financial Accounting Standards Board.</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Accounting principles generally accepted in the United States.</w:t>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8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Nasdaq Global Select Market.</w:t>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OPEC</w:t>
            </w:r>
          </w:p>
        </w:tc>
        <w:tc>
          <w:tcPr>
            <w:tcW w:w="8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Organization of the Petroleum Exporting Countries.</w:t>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United States Securities and Exchange Commission.</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8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Securities Act of 1933, as amended.</w:t>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Guaranteed Senior Notes</w:t>
            </w:r>
          </w:p>
        </w:tc>
        <w:tc>
          <w:tcPr>
            <w:tcW w:w="8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outstanding senior notes issued by Diamondback Energy, Inc. under indentures where Diamondback E&amp;P is the sole guarantor, consisting of the 3.250% Senior Notes due 2026, 5.200% Senior Notes due 2027, 3.500% Senior Notes due 2029, 5.150% Senior Notes due 2030, 3.125% Senior Notes due 2031, 6.250% Senior Notes due 2033, 5.400% Senior Notes due 2034, 4.400% Senior Notes due 2051, 4.250% Senior Notes due 2052, 6.250% Senior Notes due 2053, 5.750% Senior Notes due 2054 and 5.900% Senior Notes due 2064.</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8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secured overnight financing rate.</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TSR</w:t>
            </w:r>
          </w:p>
        </w:tc>
        <w:tc>
          <w:tcPr>
            <w:tcW w:w="8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Total stockholder return of the Company’s common stock.</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w:t>
            </w:r>
          </w:p>
        </w:tc>
        <w:tc>
          <w:tcPr>
            <w:tcW w:w="8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Viper Energy, Inc.</w:t>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 LLC</w:t>
            </w:r>
          </w:p>
        </w:tc>
        <w:tc>
          <w:tcPr>
            <w:tcW w:w="896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Viper Energy Partners LLC, a Delaware limited liability company and a subsidiary of Viper.</w:t>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89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CAUTIONARY STATEMENT REGARDING FORWARD-LOOKING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or other effects of strategic transactions (including the recently completed Endeavor Acquisition (as defined below) discussed in this report and other acquisitions or divestitures); and plans and objectives of management (including plans for future cash flow from operations and for executing environmental strategies)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the Company are intended to identify forward-looking statements, although not all forward-looking statements contain such identifying words. In particular, the factors discussed in this report and detailed under </w:t>
      </w:r>
      <w:hyperlink w:anchor="i09b7444577484ae3b81bbbd98957e58f_169">
        <w:r>
          <w:rPr>
            <w:rStyle w:val="InternetLink"/>
            <w:rFonts w:ascii="Times New Roman;sans-serif" w:hAnsi="Times New Roman;sans-serif"/>
            <w:b w:val="false"/>
            <w:color w:val="0000FF"/>
            <w:sz w:val="20"/>
            <w:u w:val="single"/>
          </w:rPr>
          <w:t>Part II, Item 1A. Risk Factors</w:t>
        </w:r>
      </w:hyperlink>
      <w:r>
        <w:rPr>
          <w:color w:val="000000"/>
        </w:rPr>
        <w:t xml:space="preserve"> </w:t>
      </w:r>
      <w:r>
        <w:rPr>
          <w:rFonts w:ascii="Times New Roman;sans-serif" w:hAnsi="Times New Roman;sans-serif"/>
          <w:b w:val="false"/>
          <w:color w:val="000000"/>
          <w:sz w:val="20"/>
        </w:rPr>
        <w:t xml:space="preserve">in this report and our </w:t>
      </w:r>
      <w:hyperlink r:id="rId2">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year ended December 31, 2023 could affect our actual results and cause our actual results to differ materially from expectations, estimates or assumptions expressed, forecasted or implied in such forward-looking statements. Unless the context requires otherwise, references to “we,” “us,” “our” or the “Company” are intended to mean the business and operations of the Company and its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our outcomes to differ materially include (but are not limited to) the following:</w:t>
      </w:r>
    </w:p>
    <w:p>
      <w:pPr>
        <w:pStyle w:val="TextBody"/>
        <w:bidi w:val="0"/>
        <w:spacing w:before="0" w:after="0"/>
        <w:ind w:left="0" w:right="0" w:firstLine="720"/>
        <w:jc w:val="both"/>
        <w:rPr/>
      </w:pPr>
      <w:r>
        <w:rPr/>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supply and demand levels for oil, natural gas and natural gas liquids, and the resulting impact on the price for those commodities;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the impact of public health crises, including epidemic or pandemic diseases and any related company or government policies or actions;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actions taken by the members of OPEC and Russia affecting the production and pricing of oil, as well as other domestic and global political, economic, or diplomatic developments;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general economic, business or industry conditions, including changes in foreign currency exchange rates, interest rates and inflation rates, instability in the financial sector;</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regional supply and demand factors, including delays, curtailment delays or interruptions of production, or governmental orders, rules or regulations that impose production limits;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federal and state legislative and regulatory initiatives relating to hydraulic fracturing, including the effect of existing and future laws and governmental regulations;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physical and transition risks relating to climate change;</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restrictions on the use of water, including limits on the use of produced water and a moratorium on new produced water well permits recently imposed by the Texas Railroad Commission in an effort to control induced seismicity in the Permian Basin;</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significant declines in prices for oil, natural gas, or natural gas liquids, which could require recognition of significant impairment charges;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U.S. energy, environmental, monetary and trade policies;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conditions in the capital, financial and credit markets, including the availability and pricing of capital for drilling and development operations and our environmental and social responsibility projects;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challenges with employee retention and an increasingly competitive labor market;</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availability or cost of rigs, equipment, raw materials, supplies, oilfield services;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safety, health, environmental, tax and other regulations or requirements (including those addressing air emissions, water management, or the impact of global climate change);</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security threats, including cybersecurity threats and disruptions to our business and operations from breaches of our information technology systems, or from breaches of information technology systems of third parties with whom we transact business;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lack of, or disruption in, access to adequate and reliable transportation, processing, storage and other facilities for our oil, natural gas and natural gas liquids;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difficulty in obtaining necessary approvals and permits;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severe weather conditions and natural disasters;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acts of war or terrorist acts and the governmental or military response thereto;</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the financial strength of counterparties to our credit agreement and hedging contracts;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our credit rating;</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risks related to the Endeavor Acquisition;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other risks and factors disclosed or incorporated by reference in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941"/>
        <w:gridCol w:w="2331"/>
        <w:gridCol w:w="2301"/>
        <w:gridCol w:w="226"/>
        <w:gridCol w:w="747"/>
        <w:gridCol w:w="125"/>
        <w:gridCol w:w="125"/>
        <w:gridCol w:w="125"/>
        <w:gridCol w:w="125"/>
        <w:gridCol w:w="226"/>
        <w:gridCol w:w="747"/>
        <w:gridCol w:w="186"/>
      </w:tblGrid>
      <w:tr>
        <w:trPr/>
        <w:tc>
          <w:tcPr>
            <w:tcW w:w="2941"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Diamondback Energy,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Condensed 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7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par values and share data)</w:t>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2632" w:type="dxa"/>
            <w:gridSpan w:val="9"/>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assets: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($169 million and $26 million related to Viper)</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Restricted cash</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Joint interest and other, net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Oil and natural gas sales, net ($109 million and $109 million related to Viper) </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Inventories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Prepaid expenses and other current assets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assets</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Property and equipment:</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Oil and natural gas properties, full cost method of accounting ($21,971 million and $8,659 million excluded from amortization at September 30, 2024 and December 31, 2023, respectively) ($4,771 million and $4,629 million related to Viper and $1,623 million and $1,769 million excluded from amortization related to Viper)</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79,718 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42,430 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property, equipment and land</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Accumulated depletion, depreciation, amortization and impairment ($1,016 million and $866 million related to Viper)</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(18,082)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(16,429)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and equipment, net</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63,053 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26,674 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Funds held in escrow</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method investments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 net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real estate, net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65,747 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29,001 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liabilities: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 - trade</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capital expenditures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maturities of debt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accrued liabilities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Revenues and royalties payable</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taxes payable</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liabilities</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4,463 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2,108 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Long-term debt ($822 million and $1,083 million related to Viper)</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11,923 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6,641 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 retirement obligations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long-term liabilities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26,928 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11,571 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Commitments and contingencies (Note 16)</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Stockholders’ equity:</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Common stock, $0.01 par value; 800,000,000 shares authorized; 292,742,664 and 178,723,871 shares issued and outstanding at September 30, 2024 and December 31, 2023, respectively</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Additional paid-in capital</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34,007 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14,142 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Retained earnings (accumulated deficit)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2,489 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other comprehensive income (loss)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Diamondback Energy, Inc. stockholders’ equity</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37,429 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16,625 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Non-controlling interest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equity</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38,819 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17,430 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 and stockholders' equity</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65,747 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29,001 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See accompanying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99"/>
        <w:gridCol w:w="1343"/>
        <w:gridCol w:w="1357"/>
        <w:gridCol w:w="268"/>
        <w:gridCol w:w="786"/>
        <w:gridCol w:w="138"/>
        <w:gridCol w:w="138"/>
        <w:gridCol w:w="138"/>
        <w:gridCol w:w="138"/>
        <w:gridCol w:w="268"/>
        <w:gridCol w:w="786"/>
        <w:gridCol w:w="138"/>
        <w:gridCol w:w="109"/>
        <w:gridCol w:w="109"/>
        <w:gridCol w:w="109"/>
        <w:gridCol w:w="260"/>
        <w:gridCol w:w="761"/>
        <w:gridCol w:w="134"/>
        <w:gridCol w:w="134"/>
        <w:gridCol w:w="134"/>
        <w:gridCol w:w="134"/>
        <w:gridCol w:w="260"/>
        <w:gridCol w:w="761"/>
        <w:gridCol w:w="203"/>
      </w:tblGrid>
      <w:tr>
        <w:trPr/>
        <w:tc>
          <w:tcPr>
            <w:tcW w:w="159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 shares in thousands)</w:t>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Oil sales</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5,359 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Natural gas sales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Natural gas liquid sales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Sales of purchased oil</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operating income</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2,645 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2,340 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7,355 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6,184 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Lease operating expenses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Production and ad valorem taxes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Gathering, processing and transportation</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Purchased oil expense</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General and administrative expenses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Merger and integration expenses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operating expenses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costs and expenses</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1,935 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4,371 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2,819 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2,984 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3,365 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 net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derivative instruments, net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extinguishment of debt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equity investments, net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other income (expense), net</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(392)</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3,096 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2,973 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Net income (loss) </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2,411 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2,325 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non-controlling interest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Diamondback Energy, Inc.</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2,264 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2,183 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Earnings (loss) per common share:</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common shares outstanding:</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204,730 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178,872 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187,253 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180,400 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204,730 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178,872 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187,253 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180,400 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1"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381" w:type="dxa"/>
        <w:jc w:val="left"/>
        <w:tblInd w:w="0" w:type="dxa"/>
        <w:tblLayout w:type="fixed"/>
        <w:tblCellMar>
          <w:top w:w="28" w:type="dxa"/>
          <w:left w:w="28" w:type="dxa"/>
          <w:bottom w:w="28" w:type="dxa"/>
          <w:right w:w="28" w:type="dxa"/>
        </w:tblCellMar>
      </w:tblPr>
      <w:tblGrid>
        <w:gridCol w:w="679"/>
        <w:gridCol w:w="268"/>
        <w:gridCol w:w="269"/>
        <w:gridCol w:w="368"/>
        <w:gridCol w:w="368"/>
        <w:gridCol w:w="196"/>
        <w:gridCol w:w="109"/>
        <w:gridCol w:w="109"/>
        <w:gridCol w:w="109"/>
        <w:gridCol w:w="248"/>
        <w:gridCol w:w="305"/>
        <w:gridCol w:w="138"/>
        <w:gridCol w:w="109"/>
        <w:gridCol w:w="109"/>
        <w:gridCol w:w="109"/>
        <w:gridCol w:w="196"/>
        <w:gridCol w:w="646"/>
        <w:gridCol w:w="109"/>
        <w:gridCol w:w="109"/>
        <w:gridCol w:w="109"/>
        <w:gridCol w:w="109"/>
        <w:gridCol w:w="252"/>
        <w:gridCol w:w="717"/>
        <w:gridCol w:w="142"/>
        <w:gridCol w:w="109"/>
        <w:gridCol w:w="109"/>
        <w:gridCol w:w="109"/>
        <w:gridCol w:w="424"/>
        <w:gridCol w:w="554"/>
        <w:gridCol w:w="238"/>
        <w:gridCol w:w="109"/>
        <w:gridCol w:w="109"/>
        <w:gridCol w:w="109"/>
        <w:gridCol w:w="297"/>
        <w:gridCol w:w="843"/>
        <w:gridCol w:w="166"/>
        <w:gridCol w:w="109"/>
        <w:gridCol w:w="109"/>
        <w:gridCol w:w="109"/>
        <w:gridCol w:w="196"/>
        <w:gridCol w:w="64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in millions, shares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2023</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178,724 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2,489 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 equivalent rights payments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tax withholding on vested equity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shares under buyback program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partial sale of investment in Viper Energy, Inc.</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shares upon vesting of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2024</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178,340 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18,019 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Viper equity-based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 equivalent rights payments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tax withholding on vested equity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shares upon vesting of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2024</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178,394 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3,187 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Viper equity-based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 equivalent rights payments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shares under buyback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shares issued for acquisition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117,267 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proceeds from Viper's issuance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shares upon vesting of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September 30, 2024</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292,743 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3,427 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38,819 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1"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condensed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381" w:type="dxa"/>
        <w:jc w:val="left"/>
        <w:tblInd w:w="0" w:type="dxa"/>
        <w:tblLayout w:type="fixed"/>
        <w:tblCellMar>
          <w:top w:w="28" w:type="dxa"/>
          <w:left w:w="28" w:type="dxa"/>
          <w:bottom w:w="28" w:type="dxa"/>
          <w:right w:w="28" w:type="dxa"/>
        </w:tblCellMar>
      </w:tblPr>
      <w:tblGrid>
        <w:gridCol w:w="679"/>
        <w:gridCol w:w="268"/>
        <w:gridCol w:w="269"/>
        <w:gridCol w:w="368"/>
        <w:gridCol w:w="368"/>
        <w:gridCol w:w="196"/>
        <w:gridCol w:w="109"/>
        <w:gridCol w:w="109"/>
        <w:gridCol w:w="109"/>
        <w:gridCol w:w="248"/>
        <w:gridCol w:w="305"/>
        <w:gridCol w:w="138"/>
        <w:gridCol w:w="109"/>
        <w:gridCol w:w="109"/>
        <w:gridCol w:w="109"/>
        <w:gridCol w:w="196"/>
        <w:gridCol w:w="646"/>
        <w:gridCol w:w="109"/>
        <w:gridCol w:w="109"/>
        <w:gridCol w:w="109"/>
        <w:gridCol w:w="109"/>
        <w:gridCol w:w="252"/>
        <w:gridCol w:w="717"/>
        <w:gridCol w:w="142"/>
        <w:gridCol w:w="109"/>
        <w:gridCol w:w="109"/>
        <w:gridCol w:w="109"/>
        <w:gridCol w:w="424"/>
        <w:gridCol w:w="554"/>
        <w:gridCol w:w="238"/>
        <w:gridCol w:w="109"/>
        <w:gridCol w:w="109"/>
        <w:gridCol w:w="109"/>
        <w:gridCol w:w="352"/>
        <w:gridCol w:w="757"/>
        <w:gridCol w:w="197"/>
        <w:gridCol w:w="109"/>
        <w:gridCol w:w="109"/>
        <w:gridCol w:w="109"/>
        <w:gridCol w:w="196"/>
        <w:gridCol w:w="64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in millions, shares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179,841 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Unit-based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 equivalent rights payments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tax withholding on vested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shares under buyback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units under buyback programs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shares issued for acquisition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Exercise of stock options and issuance of restricted stock units and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181,605 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659 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 equivalent rights payments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tax withholding on vested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shares under buyback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units under buyback programs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to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 paid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Exercise of stock options and vesting of restricted stock units and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ownership of consolidated subsidiaries,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179,219 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 equivalent rights payments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tax withholding on vested equity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shares under buyback program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units under buyback programs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Exercise of stock options and vesting of restricted stock units and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September 30, 2023</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178,815 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2,136 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704 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16,984 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553" w:type="dxa"/>
        <w:jc w:val="left"/>
        <w:tblInd w:w="0" w:type="dxa"/>
        <w:tblLayout w:type="fixed"/>
        <w:tblCellMar>
          <w:top w:w="28" w:type="dxa"/>
          <w:left w:w="28" w:type="dxa"/>
          <w:bottom w:w="28" w:type="dxa"/>
          <w:right w:w="28" w:type="dxa"/>
        </w:tblCellMar>
      </w:tblPr>
      <w:tblGrid>
        <w:gridCol w:w="2505"/>
        <w:gridCol w:w="2196"/>
        <w:gridCol w:w="2214"/>
        <w:gridCol w:w="247"/>
        <w:gridCol w:w="701"/>
        <w:gridCol w:w="137"/>
        <w:gridCol w:w="137"/>
        <w:gridCol w:w="137"/>
        <w:gridCol w:w="137"/>
        <w:gridCol w:w="247"/>
        <w:gridCol w:w="701"/>
        <w:gridCol w:w="194"/>
      </w:tblGrid>
      <w:tr>
        <w:trPr/>
        <w:tc>
          <w:tcPr>
            <w:tcW w:w="2505"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 September 30,</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(In millions)</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(loss) </w:t>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in) operating activities:</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deferred income taxes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depletion, amortization and accretion</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extinguishment of debt</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derivative instruments, net</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received (paid) on settlement of derivative instruments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equity investment, net</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expense</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and royalties payable</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4,296 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Drilling, completions, infrastructure and midstream additions to oil and natural gas properties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acquisitions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(9,366)</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under term loan agreement</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under credit facilities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credit facilities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senior notes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senior notes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shares under buyback program</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shares/units under Viper's buyback program</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partial sale of investment in Viper Energy, Inc.</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proceeds from Viper's issuance of common stock</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to stockholders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Dividends/distributions to non-controlling interest</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    DESCRIPTION OF THE BUSINESS AND BASIS OF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Organization and Description of the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Energy, Inc., together with its subsidiaries (collectively referred to as “Diamondback” or the “Company” unless the context otherwise requires), is an independent oil and natural gas company currently focused on the acquisition, development, exploration and exploitation of unconventional, onshore oil and natural gas reserves primarily in the Permian Basin in West Texas.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wholly owned subsidiaries of Diamondback include Diamondback E&amp;P LLC (“Diamondback E&amp;P”), a Delaware limited liability company, Rattler Midstream GP LLC, a Delaware limited liability company, Rattler Midstream LP, a Delaware limited partnership, QEP Resources, Inc., a Delaware corporation and Eclipse Merger Sub II, LLC, a Delaware limited liability company.</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Viper Conversion to Corporate Structure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13, 2023, the Company’s publicly traded subsidiary, Viper Energy Partners LP, completed its conversion from a Delaware limited partnership into a Delaware corporation, Viper Energy, Inc. (“Viper”) (the “Viper Conversion”). At the time of the Viper Conversion, each of the Company’s common units representing limited partnership interest in Viper Energy Partners, LP was converted, on a unit-for-unit basis, into one issued and outstanding, fully paid and nonassessable share of Class A common stock of Viper Energy, Inc., and each of the Company’s Class B units representing a limited partnership interest in Viper Energy Partners, LP was converted, on a unit-for-unit basis, into one issued and outstanding, fully paid and nonassessable share of Class B common stock of Viper. At the time of the Conversion, Viper was a “controlled company” under the Nasdaq rules as the Company owned more than 50% of the voting power of Viper’s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and its subsidiaries after all significant intercompany balances and transactions have been eliminated upon consolidation. The Company has one reportable segment, the upstream segment.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On October 31, 2023, pursuant to a common unit purchase and sale agreement entered into on September 4, 2023, Viper issued approximately 7.22 million of its common units, which were converted to shares of Viper Class A common stock at the time of the Viper Conversion, to the Company at a price of $27.72 per unit for total consideration to Viper of approximately $200 million. On March 5, 2024, the Company exercised certain of its demand rights, pursuant to a registration rights agreement initially entered into on June 23, 2014, as amended and restated on May 9, 2018 and November 10, 2023, and on March 8, 2024, completed a public offering of approximately 13.23 million of Viper’s Class A common stock at a price of $35.00 per share for proceeds, net of underwriters’ discount, of approximately $451 million. After this offering, the Company owned less than 50% of Viper’s combined outstanding Class A common stock and Class B common stock, resulting in Viper no longer being a controlled company under the Nasdaq rules. As of September 30, 2024, following the completion of the </w:t>
      </w:r>
      <w:r>
        <w:rPr>
          <w:rFonts w:ascii="Times New Roman;sans-serif" w:hAnsi="Times New Roman;sans-serif"/>
          <w:b w:val="false"/>
          <w:color w:val="000000"/>
          <w:sz w:val="20"/>
          <w:shd w:fill="FFFFFF" w:val="clear"/>
        </w:rPr>
        <w:t>Viper 2024 Equity Offering</w:t>
      </w:r>
      <w:r>
        <w:rPr>
          <w:color w:val="000000"/>
        </w:rPr>
        <w:t xml:space="preserve"> </w:t>
      </w:r>
      <w:r>
        <w:rPr>
          <w:rFonts w:ascii="Times New Roman;sans-serif" w:hAnsi="Times New Roman;sans-serif"/>
          <w:b w:val="false"/>
          <w:color w:val="000000"/>
          <w:sz w:val="20"/>
        </w:rPr>
        <w:t>(as defined and discussed in Note 10—</w:t>
      </w:r>
      <w:hyperlink w:anchor="i09b7444577484ae3b81bbbd98957e58f_67">
        <w:r>
          <w:rPr>
            <w:rStyle w:val="InternetLink"/>
            <w:rFonts w:ascii="Times New Roman;sans-serif" w:hAnsi="Times New Roman;sans-serif"/>
            <w:b w:val="false"/>
            <w:color w:val="0000FF"/>
            <w:sz w:val="20"/>
            <w:u w:val="single"/>
          </w:rPr>
          <w:t>Stockholders' Equity and Earnings (Loss) Per Share</w:t>
        </w:r>
      </w:hyperlink>
      <w:r>
        <w:rPr>
          <w:rFonts w:ascii="Times New Roman;sans-serif" w:hAnsi="Times New Roman;sans-serif"/>
          <w:b w:val="false"/>
          <w:color w:val="000000"/>
          <w:sz w:val="20"/>
        </w:rPr>
        <w:t>) the Company’s ownership of Viper’s voting securities was further reduced to approximately 45%. However, the Company determined, in each case, that it still controls the activities of Viper in accordance with the guidance for variable interest entities in Accounting Standards Codification Topic 810— “Consolidation” (“ASC 810”) and therefore continues to consolidate Viper in the Company’s financial statements at September 30, 2024. See further discussion of the Company’s determination that Viper is a variable interest entity (“VIE”) in Note 2—</w:t>
      </w:r>
      <w:hyperlink w:anchor="i09b7444577484ae3b81bbbd98957e58f_43">
        <w:r>
          <w:rPr>
            <w:rStyle w:val="InternetLink"/>
            <w:rFonts w:ascii="Times New Roman;sans-serif" w:hAnsi="Times New Roman;sans-serif"/>
            <w:b w:val="false"/>
            <w:color w:val="0000FF"/>
            <w:sz w:val="20"/>
            <w:u w:val="single"/>
          </w:rPr>
          <w:t>Summary of Significant Accounting Policies</w:t>
        </w:r>
      </w:hyperlink>
      <w:r>
        <w:rPr>
          <w:rFonts w:ascii="Times New Roman;sans-serif" w:hAnsi="Times New Roman;sans-serif"/>
          <w:b w:val="false"/>
          <w:color w:val="000000"/>
          <w:sz w:val="20"/>
        </w:rPr>
        <w:t>. The results of operations attributable to the non-controlling interest in Viper are presented within equity and net income and are shown separately from the equity and net income attributable to the Company.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Quarterly Report on Form 10–Q should be read in conjunction with the Company’s most recent </w:t>
      </w:r>
      <w:hyperlink r:id="rId3">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 xml:space="preserve">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fiscal year ended December 31, 2023, which contains a summary of the Company’s significant accounting policies and other disclosures.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period amounts have been reclassified to conform to the current period financial statement presentation. These reclassifications had an immaterial effect on the previously reported total assets, total liabilities, stockholders’ equity, results of operations or cash flows.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amounts included in or affecting the Company’s condensed consolidated financial statements and related disclosures must be estimated by management, requiring certain assumptions to be made with respect to values or conditions that cannot be known with certainty at the time the condensed consolidated financial statements are prepared. These estimates and assumptions affect the amounts the Company reports for assets and liabilities and the Company’s disclosure of contingent assets and liabilities as of the date of the condensed consolidated financial statements. Actual results could differ from those estimates.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Making accurate estimates and assumptions is particularly difficult in the oil and natural gas industry given the challenges resulting from volatility in oil and natural gas prices. For instance, the war in Ukraine, the Israel-Hamas war and other conflicts in the Middle East, global supply chain disruptions, recent measures to combat persistent inflation and instability in the financial sector have contributed to recent economic and pricing volatility. The financial results of companies in the oil and natural gas industry have been impacted materially as a result of these events and changing market conditions. Such circumstances generally increase uncertainty in the Company’s accounting estimates, particularly those involving financial forecasts.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fair value estimates of derivative instruments, the fair value determination of acquired assets and liabilities assumed and estimates of income taxes, including deferred tax valuation allowances.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Variable Interest Entity</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Viper is a publicly traded corporation formed by the Company in 2014 to provide an attractive return to its stockholders (the largest of which is Diamondback) by focusing on business results, maximizing dividends through organic growth and pursuing accretive growth opportunities through acquisitions of mineral, royalty, overriding royalty, net profits and similar interests from the Company and from third parties. Viper has no employees and the Company provides management, operating and administrative services to Viper under a services and secondment agreement, including the services of the executive officers and other employees.</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 xml:space="preserve">In connection with the reduction of the Company’s ownership percentage in Viper to below 50% in March 2024, the Company re-evaluated whether Viper should continue to be consolidated in the Company’s financial statements. Viper meets the definition of a VIE under ASC 810 and the Company continues to be the primary beneficiary of the VIE through its ability, via existing contractual agreements, to direct the activities that most significantly affect the economic performance of Viper. The Company also has the obligation to absorb losses and the right to receive benefits that could be significant to Viper. As such, the Company will continue to consolidate the activity of Viper. The </w:t>
      </w:r>
      <w:r>
        <w:rPr>
          <w:rFonts w:ascii="Times New Roman;sans-serif" w:hAnsi="Times New Roman;sans-serif"/>
          <w:b w:val="false"/>
          <w:color w:val="000000"/>
          <w:sz w:val="20"/>
          <w:shd w:fill="FFFFFF" w:val="clear"/>
        </w:rPr>
        <w:t>Viper 2024 Equity Offering</w:t>
      </w:r>
      <w:r>
        <w:rPr>
          <w:color w:val="000000"/>
        </w:rPr>
        <w:t xml:space="preserve"> </w:t>
      </w:r>
      <w:r>
        <w:rPr>
          <w:rFonts w:ascii="Times New Roman;sans-serif" w:hAnsi="Times New Roman;sans-serif"/>
          <w:b w:val="false"/>
          <w:color w:val="000000"/>
          <w:sz w:val="20"/>
        </w:rPr>
        <w:t>(as defined and discussed in Note 10—</w:t>
      </w:r>
      <w:hyperlink w:anchor="i09b7444577484ae3b81bbbd98957e58f_67">
        <w:r>
          <w:rPr>
            <w:rStyle w:val="InternetLink"/>
            <w:rFonts w:ascii="Times New Roman;sans-serif" w:hAnsi="Times New Roman;sans-serif"/>
            <w:b w:val="false"/>
            <w:color w:val="0000FF"/>
            <w:sz w:val="20"/>
            <w:u w:val="single"/>
          </w:rPr>
          <w:t>Stockholders' Equity and Earnings (Loss) Per Share</w:t>
        </w:r>
      </w:hyperlink>
      <w:r>
        <w:rPr>
          <w:rFonts w:ascii="Times New Roman;sans-serif" w:hAnsi="Times New Roman;sans-serif"/>
          <w:b w:val="false"/>
          <w:color w:val="000000"/>
          <w:sz w:val="20"/>
        </w:rPr>
        <w:t>) was not determined to be an event that would cause the Company to change its conclusion regarding Viper’s status as a VIE.</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Viper maintains its own capital structure that is separate from the Company. The Company is not under any obligation to provide additional financial support or investment to Viper. Viper’s assets cannot be used by the Company for general corporate purposes, and the creditors of Viper’s liabilities do not have recourse to the Company’s assets. The assets and liabilities of Viper are included in the Company’s condensed consolidated balance sheets and disclosed parenthetically, if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Recently Adopted Pronouncements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the FASB issued ASU 2023-01, “Leases (Topic 842) – Common Control Arrangements.” This update (i) requires all lessees that are a party to a lease between entities under common control in which there are leasehold improvements to record amortization over the useful life of the leasehold improvements to the common control group, regardless of the lease term, and (ii) requires leasehold improvements to be accounted for as a transfer between entities under common control through an adjustment to equity if, and when, the lessee no longer controls the use of the underlying asset. The Company adopted this update effective January 1, 2024 by electing to apply the guidance in ASU 2023-01 prospectively to all new leasehold improvements recognized on or after January 1, 2024. As such, the adoption of this update did not have a material impact on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Accounting Pronouncements Not Yet Adopted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 Improvements to Reportable Segment Disclosures,” which updates reportable segment disclosure requirements primarily through enhanced disclosures about significant segment expenses and information used to assess segment performance. The amendments are effective for annual periods beginning after December 15, 2023, and for interim periods within fiscal years beginning after December 15, 2024. Early adoption is permitted. The amendments should be applied retrospectively to all prior periods presented in the financial statements.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 Improvements to Income Tax Disclosures,” which requires that certain information in a reporting entity’s tax rate reconciliation be disaggregated and provides additional requirements regarding income taxes paid. The amendments are effective for annual periods beginning after December 15, 2024, with early adoption permitted, and should be applied either prospectively or retrospectively.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“Income Statement—Reporting Comprehensive Income—Expense Disaggregation Disclosures (Subtopic 220-40) – Disaggregation of Income Statement Expenses,”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 prospectively or retrospectively.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applicability and impact of all ASUs. ASUs not listed above were assessed and determined to be either not applicable, previously disclosed, or not material upon adoption.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REVENUE FROM CONTRACTS WITH CUSTOMERS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 from Contracts with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revenue from contracts with customers: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530"/>
        <w:gridCol w:w="1331"/>
        <w:gridCol w:w="1343"/>
        <w:gridCol w:w="273"/>
        <w:gridCol w:w="801"/>
        <w:gridCol w:w="141"/>
        <w:gridCol w:w="141"/>
        <w:gridCol w:w="141"/>
        <w:gridCol w:w="141"/>
        <w:gridCol w:w="273"/>
        <w:gridCol w:w="801"/>
        <w:gridCol w:w="141"/>
        <w:gridCol w:w="109"/>
        <w:gridCol w:w="109"/>
        <w:gridCol w:w="109"/>
        <w:gridCol w:w="265"/>
        <w:gridCol w:w="773"/>
        <w:gridCol w:w="136"/>
        <w:gridCol w:w="136"/>
        <w:gridCol w:w="136"/>
        <w:gridCol w:w="136"/>
        <w:gridCol w:w="265"/>
        <w:gridCol w:w="773"/>
        <w:gridCol w:w="201"/>
      </w:tblGrid>
      <w:tr>
        <w:trPr/>
        <w:tc>
          <w:tcPr>
            <w:tcW w:w="153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natural gas and natural gas liquid revenues</w:t>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oil</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 revenues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revenue from oil, natural gas, and natural gas liquids disaggregated by basin:</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29"/>
        <w:gridCol w:w="289"/>
        <w:gridCol w:w="211"/>
        <w:gridCol w:w="216"/>
        <w:gridCol w:w="633"/>
        <w:gridCol w:w="112"/>
        <w:gridCol w:w="109"/>
        <w:gridCol w:w="109"/>
        <w:gridCol w:w="109"/>
        <w:gridCol w:w="218"/>
        <w:gridCol w:w="639"/>
        <w:gridCol w:w="113"/>
        <w:gridCol w:w="109"/>
        <w:gridCol w:w="109"/>
        <w:gridCol w:w="109"/>
        <w:gridCol w:w="211"/>
        <w:gridCol w:w="406"/>
        <w:gridCol w:w="109"/>
        <w:gridCol w:w="109"/>
        <w:gridCol w:w="109"/>
        <w:gridCol w:w="109"/>
        <w:gridCol w:w="211"/>
        <w:gridCol w:w="616"/>
        <w:gridCol w:w="109"/>
        <w:gridCol w:w="109"/>
        <w:gridCol w:w="109"/>
        <w:gridCol w:w="109"/>
        <w:gridCol w:w="216"/>
        <w:gridCol w:w="633"/>
        <w:gridCol w:w="112"/>
        <w:gridCol w:w="109"/>
        <w:gridCol w:w="109"/>
        <w:gridCol w:w="109"/>
        <w:gridCol w:w="218"/>
        <w:gridCol w:w="639"/>
        <w:gridCol w:w="113"/>
        <w:gridCol w:w="109"/>
        <w:gridCol w:w="109"/>
        <w:gridCol w:w="109"/>
        <w:gridCol w:w="211"/>
        <w:gridCol w:w="256"/>
        <w:gridCol w:w="109"/>
        <w:gridCol w:w="109"/>
        <w:gridCol w:w="109"/>
        <w:gridCol w:w="109"/>
        <w:gridCol w:w="211"/>
        <w:gridCol w:w="616"/>
        <w:gridCol w:w="160"/>
      </w:tblGrid>
      <w:tr>
        <w:trPr/>
        <w:tc>
          <w:tcPr>
            <w:tcW w:w="32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2023</w:t>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Delaware Basin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Delaware Basin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5"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6" w:type="dxa"/>
            <w:gridSpan w:val="4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ACQUISITIONS AND DIVESTITURES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2024 Activity</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ind w:left="0" w:right="0" w:firstLine="720"/>
        <w:jc w:val="both"/>
        <w:rPr/>
      </w:pPr>
      <w:r>
        <w:rPr/>
      </w:r>
    </w:p>
    <w:p>
      <w:pPr>
        <w:pStyle w:val="TextBody"/>
        <w:bidi w:val="0"/>
        <w:spacing w:lineRule="auto" w:line="264"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Endeavor Acquisition</w:t>
      </w:r>
    </w:p>
    <w:p>
      <w:pPr>
        <w:pStyle w:val="TextBody"/>
        <w:bidi w:val="0"/>
        <w:spacing w:before="0" w:after="0"/>
        <w:ind w:left="0" w:right="0" w:firstLine="720"/>
        <w:jc w:val="left"/>
        <w:rPr/>
      </w:pPr>
      <w:r>
        <w:rPr/>
      </w:r>
    </w:p>
    <w:p>
      <w:pPr>
        <w:pStyle w:val="TextBody"/>
        <w:bidi w:val="0"/>
        <w:spacing w:lineRule="auto" w:line="264" w:before="0" w:after="0"/>
        <w:ind w:left="0" w:right="0" w:firstLine="720"/>
        <w:jc w:val="both"/>
        <w:rPr/>
      </w:pPr>
      <w:r>
        <w:rPr>
          <w:rFonts w:ascii="Times New Roman;sans-serif" w:hAnsi="Times New Roman;sans-serif"/>
          <w:b w:val="false"/>
          <w:color w:val="000000"/>
          <w:sz w:val="20"/>
        </w:rPr>
        <w:t>For details on the Endeavor Acquisition, which closed on September 10, 2024, see Note 5—</w:t>
      </w:r>
      <w:hyperlink w:anchor="i09b7444577484ae3b81bbbd98957e58f_88">
        <w:r>
          <w:rPr>
            <w:rStyle w:val="InternetLink"/>
            <w:rFonts w:ascii="Times New Roman;sans-serif" w:hAnsi="Times New Roman;sans-serif"/>
            <w:b w:val="false"/>
            <w:color w:val="0000FF"/>
            <w:sz w:val="20"/>
            <w:u w:val="single"/>
          </w:rPr>
          <w:t>Endeavor Energy Resources, LP Acquisition</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Viper Q Acquisition</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3, 2024, Viper and Viper LLC acquired all of the issued and outstanding equity interests in Tumbleweed-Q Royalties, LLC (the “Viper Q Acquisition”), pursuant to a definitive purchase and sale agreement for consideration consisting of (i) approximately $114 million in cash, subject to transaction costs and customary post-closing adjustments, and (ii) contingent cash consideration of up to $5 million, payable in January of 2026, based on the average price of WTI sweet crude oil prompt month futures contracts for the calendar year 2025 (the “WTI 2025 Average”). The mineral and royalty interests acquired in the Viper Q Acquisition represent approximately 406 net royalty acres located primarily in the Permian Basin. The contingent cash consideration was recorded at its fair value of $3 million. Viper funded the cash consideration, and intends to fund any contingent cash consideration, for the Viper Q Acquisition through a combination of cash on hand and borrowings under the Viper LLC credit agreement.</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Viper M Acquisition</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3, 2024, Viper and Viper LLC acquired all of the issued and outstanding equity interests in MC TWR Royalties, LP and MC TWR Intermediate, LLC (the “Viper M Acquisition” and, together with the Viper Q Acquisition, the “Viper Q&amp;M Acquisitions”), pursuant to a definitive purchase and sale agreement for consideration consisting of (i) approximately $76 million in cash, subject to transaction costs and customary post-closing adjustments, and (ii) contingent cash consideration of up to $4 million, payable in January of 2026, based on the WTI 2025 Average. The mineral and royalty interests acquired in the Viper M Acquisition represent approximately 267 net royalty acres located primarily in the Permian Basin. The contingent cash consideration was recorded at its fair value of $2 million. Viper funded the cash consideration, and intends to fund any contingent cash consideration, for the Viper M Acquisition through a combination of cash on hand and borrowings under the Viper LLC credit agreement.</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pPr>
      <w:r>
        <w:rPr>
          <w:rFonts w:ascii="Times New Roman;sans-serif" w:hAnsi="Times New Roman;sans-serif"/>
          <w:b w:val="false"/>
          <w:color w:val="000000"/>
          <w:sz w:val="20"/>
        </w:rPr>
        <w:t>See Note 14—</w:t>
      </w:r>
      <w:hyperlink w:anchor="i09b7444577484ae3b81bbbd98957e58f_79">
        <w:r>
          <w:rPr>
            <w:rStyle w:val="InternetLink"/>
            <w:rFonts w:ascii="Times New Roman;sans-serif" w:hAnsi="Times New Roman;sans-serif"/>
            <w:b w:val="false"/>
            <w:color w:val="0000FF"/>
            <w:sz w:val="20"/>
            <w:u w:val="single"/>
          </w:rPr>
          <w:t>Fair Value Measurements</w:t>
        </w:r>
      </w:hyperlink>
      <w:r>
        <w:rPr>
          <w:color w:val="000000"/>
        </w:rPr>
        <w:t xml:space="preserve"> </w:t>
      </w:r>
      <w:r>
        <w:rPr>
          <w:rFonts w:ascii="Times New Roman;sans-serif" w:hAnsi="Times New Roman;sans-serif"/>
          <w:b w:val="false"/>
          <w:color w:val="000000"/>
          <w:sz w:val="20"/>
        </w:rPr>
        <w:t>for further discussion of the fair value of the Viper Q&amp;M Acquisitions contingent consideration liabilities (collectively, the “2026 WTI Contingent Liability”).</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Divestitures</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WTG Midstream Transaction</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owns a 25% non-operating equity investment in Remuda Midstream Holdings LLC, referred to as the “WTG joint venture”. On July 15, 2024, the WTG joint venture sold its WTG Midstream LLC subsidiary (the “WTG Midstream Transaction”), for which the Company received as its portion of the consideration 10.1 million common units issued by Energy Transfer LP (NYSE: ET) and $190 million in cash, subject to customary post-closing adjustments. The common unit consideration is also subject to preferred distributions to incentive members of the WTG joint venture which reduce the proceeds attributable to the Company. At the closing of the WTG Midstream Transaction, the value attributable to the Company of the 10.1 million common units was approximately $135 million, of which approximately $81 million was received by the Company and $54 million was held in escrow pursuant to an escrow agreement entered into by the WTG joint venture in connection with the initial transaction. The total value of distributions received by the Company through September 30, 2024 of $271 million (excluding amounts held in escrow) exceeded the carrying value of the Company’s investment balance in the WTG joint venture, resulting in a gain of approximately $76 million, which is included in the caption “Other income (expense), net” in the condensed consolidated statement of operations for the three and nine months ended September 30, 2024.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2023 Activity</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GRP Acquisition</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Viper and Viper LLC acquired certain mineral and royalty interests from Royalty Asset Holdings, LP, Royalty Asset Holdings II, LP and Saxum Asset Holdings, LP and affiliates of Warwick Capital Partners and GRP Energy Capital (collectively, “GRP”), pursuant to a definitive purchase and sale agreement for approximately 9.02 million Viper common units and $748 million in cash, including transaction costs and customary post-closing adjustments (the “GRP Acquisition”). The mineral and royalty interests acquired in the GRP Acquisition represent 4,600 net royalty acres in the Permian Basin, plus an additional 2,700 net royalty acres in other major basins. The cash consideration for the GRP Acquisition was funded through a combination of cash on hand and held in escrow, borrowings under the Viper LLC credit agreement, proceeds from Viper’s offering of $400 million in aggregate principal amount of its 7.375% Senior Notes due in 2031 and proceeds from the $200 million common unit issuance to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Lario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2023, the Company closed on its acquisition of all leasehold interests and related assets of Lario Permian, LLC, a wholly owned subsidiary of Lario Oil and Gas Company, and certain associated sellers (collectively “Lario”). The acquisition included approximately 25,000 gross (16,000 net) acres in the Midland Basin and certain related oil and gas assets (the “Lario Acquisition”), in exchange for 4.33 million shares of the Company’s common stock and $814 million in cash, including certain customary post-closing adjustments. Approximately $113 million of the cash consideration was deposited in an indemnity holdback escrow account at closing and was distributed upon satisfactory settlement of any potential title defects on the acquired properties during the first quarter of 2024. The cash consideration for the Lario Acquisition was funded through a combination of cash on hand, a portion of the net proceeds from the Company’s offering of 6.250% Senior Notes due 2053 and borrowings under the Company’s revolving credit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acquisition consideration paid in the Lario Acquisition (in millions, except per share data, shares in thousands):</w:t>
      </w:r>
    </w:p>
    <w:p>
      <w:pPr>
        <w:pStyle w:val="TextBody"/>
        <w:bidi w:val="0"/>
        <w:spacing w:before="0" w:after="0"/>
        <w:ind w:left="0" w:right="0" w:firstLine="720"/>
        <w:jc w:val="both"/>
        <w:rPr/>
      </w:pPr>
      <w:r>
        <w:rPr/>
      </w:r>
    </w:p>
    <w:tbl>
      <w:tblPr>
        <w:tblW w:w="7356" w:type="dxa"/>
        <w:jc w:val="left"/>
        <w:tblInd w:w="0" w:type="dxa"/>
        <w:tblLayout w:type="fixed"/>
        <w:tblCellMar>
          <w:top w:w="28" w:type="dxa"/>
          <w:left w:w="28" w:type="dxa"/>
          <w:bottom w:w="28" w:type="dxa"/>
          <w:right w:w="28" w:type="dxa"/>
        </w:tblCellMar>
      </w:tblPr>
      <w:tblGrid>
        <w:gridCol w:w="2267"/>
        <w:gridCol w:w="1996"/>
        <w:gridCol w:w="2007"/>
        <w:gridCol w:w="211"/>
        <w:gridCol w:w="721"/>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Consideration: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Diamondback common stock issued at closing</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Closing price per share of Diamondback common stock on the closing date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Diamondback common stock issued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 (including fair value of Diamondback common stock issued)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Lario Acquisition has been accounted for as a business combination using the acquisition method. The following table represents the allocation of the total purchase price paid in the Lario Acquisition to the identifiable assets acquired and the liabilities assumed based on the fair values at the acquisition date. The purchase price allocation was completed in December 2023.</w:t>
      </w:r>
    </w:p>
    <w:p>
      <w:pPr>
        <w:pStyle w:val="TextBody"/>
        <w:bidi w:val="0"/>
        <w:spacing w:before="0" w:after="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purchase price allocation (in millions):</w:t>
      </w:r>
    </w:p>
    <w:p>
      <w:pPr>
        <w:pStyle w:val="TextBody"/>
        <w:bidi w:val="0"/>
        <w:spacing w:before="0" w:after="0"/>
        <w:ind w:left="0" w:right="0" w:firstLine="720"/>
        <w:jc w:val="both"/>
        <w:rPr/>
      </w:pPr>
      <w:r>
        <w:rPr/>
      </w:r>
    </w:p>
    <w:tbl>
      <w:tblPr>
        <w:tblW w:w="4371" w:type="dxa"/>
        <w:jc w:val="left"/>
        <w:tblInd w:w="0" w:type="dxa"/>
        <w:tblLayout w:type="fixed"/>
        <w:tblCellMar>
          <w:top w:w="28" w:type="dxa"/>
          <w:left w:w="28" w:type="dxa"/>
          <w:bottom w:w="28" w:type="dxa"/>
          <w:right w:w="28" w:type="dxa"/>
        </w:tblCellMar>
      </w:tblPr>
      <w:tblGrid>
        <w:gridCol w:w="1229"/>
        <w:gridCol w:w="1079"/>
        <w:gridCol w:w="1082"/>
        <w:gridCol w:w="211"/>
        <w:gridCol w:w="616"/>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liabilities assumed: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assets acquired: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attributable to assets acquired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assets acquired and liabilities assumed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acquired midstream assets, vehicles and a field office were based on the cost approach, which utilized asset listings and cost records with consideration for the reported age, condition, utilization and economic support of the assets and were included in the Company’s condensed consolidated balance sheets under the caption “Other property, equipment and land.” The majority of the measurements of assets acquired and liabilities assumed are based on inputs that are not observable in the market and are therefore considered Level 3 inputs in the fair value hierarchy.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the completion of the Lario Acquisition, the Company acquired proved properties of $924 million and unproved properties of $536 million.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Divestitures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Divestiture of Deep Blue Water Assets and Deep Blue Formation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 2023, the Company closed on a joint venture agreement with Five Point Energy LLC (“Five Point”) to form Deep Blue Midland Basin LLC (“Deep Blue”). At closing, the Company contributed certain treated water, fresh water and saltwater disposal assets (the “Deep Blue Water Assets”) with a net carrying value of $703 million, including certain post-closing adjustments, and Five Point contributed $251 million in cash to Deep Blue. In exchange for these contributions, Deep Blue issued the Company a one-time cash distribution of approximately $516 million and issued to the Company a 30% equity ownership and voting interest, and issued to Five Point a 70% equity ownership and voting interest.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under a separate agreement with Deep Blue, the Company continued to operate the Deep Blue Water Assets on a short-term basis. Five Point agreed to pay the Company approximately $47 million upon the successful transfer of operations to Deep Blue and the Company recorded approximately $43 million as a contingent consideration receivable on the closing date based on the assessed probability of earning the additional consideration. Upon the successful transfer of operations in June 2024, the Company received the full contingent consideration amount of $47 million.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its 30% equity interest in Deep Blue at fair value based on the cash consideration and contingent consideration contributed by Five Point to Deep Blue in exchange for its 70% equity ownership. The Company’s equity method investment in Deep Blue had an initial fair value of $126 million. The Company’s proportionate share of the income or loss from Deep Blue is recognized on a two-month lag. The Company has recognized an aggregate $13 million loss on the sale of its Deep Blue Water Assets, of which approximately $1 million was recognized during the nine months ended September 30, 2024. The loss on the sale of Deep Blue Water Assets is included in the caption “Other operating expenses” in the condensed consolidated statement of operations. The majority of measurements utilized to determine the fair value amounts reported above relating to this transaction are based on inputs that are not observable in the market and are therefore considered Level 3 inputs in the fair value hierarchy.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Five Point currently anticipate collectively contributing $500 million in follow-on capital to fund future growth projects and acquisitions.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part of the transaction, the Company also entered into a 15-year dedication with Deep Blue for its produced water and supply water within a 12-county area of mutual interest in the Midland Basin. See Note 8—</w:t>
      </w:r>
      <w:hyperlink w:anchor="i09b7444577484ae3b81bbbd98957e58f_61">
        <w:r>
          <w:rPr>
            <w:rStyle w:val="InternetLink"/>
            <w:rFonts w:ascii="Times New Roman;sans-serif" w:hAnsi="Times New Roman;sans-serif"/>
            <w:b w:val="false"/>
            <w:color w:val="0000FF"/>
            <w:sz w:val="20"/>
            <w:u w:val="single"/>
          </w:rPr>
          <w:t>Related Party Transactions</w:t>
        </w:r>
      </w:hyperlink>
      <w:r>
        <w:rPr>
          <w:color w:val="000000"/>
        </w:rPr>
        <w:t xml:space="preserve"> </w:t>
      </w:r>
      <w:r>
        <w:rPr>
          <w:rFonts w:ascii="Times New Roman;sans-serif" w:hAnsi="Times New Roman;sans-serif"/>
          <w:b w:val="false"/>
          <w:color w:val="000000"/>
          <w:sz w:val="20"/>
        </w:rPr>
        <w:t>for further discussion of transactions with Deep Blue.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OMOG Divestiture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28, 2023, the Company divested its 43% limited liability company interest in OMOG JV LLC (“OMOG”) for $225 million in cash received at closing. This divestiture resulted in a gain on the sale of equity method investments of approximately $35 million, which is included in the caption “Other income (expense), net” on the condensed consolidated statements of operations for the three and nine months ended September 30, 2023. The Company used its net proceeds from this transaction for debt reduction and other general corporate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Non-Core Assets 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28, 2023, the Company divested non-core assets to an unrelated third-party buyer consisting of approximately 19,000 net acres in Glasscock County, TX for net cash proceeds at closing of $269 million, including customary post-closing adjustments. The Company used its net proceeds from this transaction for debt reduction and other general corporate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2023, the Company divested non-core assets consisting of approximately 4,900 net acres in Ward and Winkler counties to unrelated third-party buyers for $72 million in net cash proceeds, including customary post-closing adjustments.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divestitures of non-core oil and gas assets did not result in a significant alteration of the relationship between the Company’s capitalized costs and proved reserves and, accordingly, the Company recorded the proceeds as a reduction of its full cost pool with no gain or loss recognized on the sales.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Gray Oak 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9, 2023, the Company divested its 10% non-operating equity investment in Gray Oak Pipeline, LLC (“Gray Oak”) for $172 million in net cash proceeds and recorded a gain on the sale of equity method investments of approximately $53 million, which is included in the caption “Other income (expense), net” on the condensed consolidated statements of operations for the three and nine months ended September 30,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5.    ENDEAVOR ENERGY RESOURCES, LP ACQUISITION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10, 2024, the Company completed its acquisition of Endeavor Parent, LLC (“Endeavor”) (the “Endeavor Acquisition”) for consideration consisting of (i) $7.1 billion in cash paid to the Endeavor equityholders, subject to certain customary post-closing adjustments, (ii) $238 million for the repayment of Endeavor’s net debt, which included the $219 million net debt position and the associated $19 million make-whole premium paid upon redemption of the senior notes and costs incurred to terminate Endeavor’s revolving credit facility, and (iii) approximately 117.27 million shares of the Company’s common stock. The Endeavor Acquisition included approximately 500,849 gross (361,927 net) acres, which are primarily located in the Permian Basin. Following the Endeavor Acquisition, the Company believes its inventory will have industry-leading depth and quality that will be converted into cash flow with the industry’s lowest cost structure, creating a differentiated value proposition for Diamondback stockholders.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cash consideration for the Endeavor Acquisition was funded through a combination of cash on hand, the net proceeds from the Company’s April 2024 Notes offering and borrowings under the Tranche A Loans. Immediately following the close of the Endeavor Acquisition, Endeavor equityholders held approximately 39.8% of Diamondback’s common stock.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closing of the Endeavor Acquisition, the Company filed with the SEC a shelf registration statement, which became immediately effective upon filing, registering for resale the shares of common stock issued in the Endeavor Acquisition, as required by the terms of the related registration rights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acquisition consideration paid to Endeavor equityholders in the Endeavor Acquisition (in millions, except per share data, shares in thousands):</w:t>
      </w:r>
    </w:p>
    <w:p>
      <w:pPr>
        <w:pStyle w:val="TextBody"/>
        <w:bidi w:val="0"/>
        <w:spacing w:before="0" w:after="0"/>
        <w:ind w:left="0" w:right="0" w:firstLine="720"/>
        <w:jc w:val="both"/>
        <w:rPr/>
      </w:pPr>
      <w:r>
        <w:rPr/>
      </w:r>
    </w:p>
    <w:tbl>
      <w:tblPr>
        <w:tblW w:w="7355" w:type="dxa"/>
        <w:jc w:val="left"/>
        <w:tblInd w:w="0" w:type="dxa"/>
        <w:tblLayout w:type="fixed"/>
        <w:tblCellMar>
          <w:top w:w="28" w:type="dxa"/>
          <w:left w:w="28" w:type="dxa"/>
          <w:bottom w:w="28" w:type="dxa"/>
          <w:right w:w="28" w:type="dxa"/>
        </w:tblCellMar>
      </w:tblPr>
      <w:tblGrid>
        <w:gridCol w:w="2267"/>
        <w:gridCol w:w="1996"/>
        <w:gridCol w:w="2006"/>
        <w:gridCol w:w="211"/>
        <w:gridCol w:w="721"/>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Consideration: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Shares of Diamondback common stock issued at closing</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117,267</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Closing price per share of Diamondback common stock on the closing date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Fair value of Diamondback common stock issued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Base cash amount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Preliminary closing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Cash consideration to Endeavor equityholders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Cash payment of net debt position and make-whole amount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Total cash consideration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Total consideration (including fair value of Diamondback common stock issued)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Purchase Price Allocation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Endeavor Acquisition has been accounted for under the acquisition method of accounting for business combinations in accordance with Accounting Standards Codification 805, Business Combinations (“ASC 805”). The following table represents the preliminary allocation of the total purchase price for the acquisition of Endeavor to the identifiable assets acquired and the liabilities assumed based on the fair values at the acquisition date. Although the purchase price allocation is substantially complete as of the date of this filing, certain data necessary to complete the purchase price allocation is not yet available, including, but not limited to, final tax returns that provide the underlying tax basis of Endeavor’s assets and liabilities. As such, there may be further adjustments to the fair value of certain assets acquired and liabilities assumed, including Endeavor’s deferred tax liability, oil and natural gas properties, which include mineral and royalty interests acquired, and other property and equipment. The Company expects to complete the purchase price allocation during the 12-month period following the acquisition date.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preliminary purchase price allocation (in millions):</w:t>
      </w:r>
    </w:p>
    <w:p>
      <w:pPr>
        <w:pStyle w:val="TextBody"/>
        <w:bidi w:val="0"/>
        <w:spacing w:before="0" w:after="0"/>
        <w:ind w:left="0" w:right="0" w:firstLine="720"/>
        <w:jc w:val="both"/>
        <w:rPr/>
      </w:pPr>
      <w:r>
        <w:rPr/>
      </w:r>
    </w:p>
    <w:tbl>
      <w:tblPr>
        <w:tblW w:w="5286" w:type="dxa"/>
        <w:jc w:val="left"/>
        <w:tblInd w:w="0" w:type="dxa"/>
        <w:tblLayout w:type="fixed"/>
        <w:tblCellMar>
          <w:top w:w="28" w:type="dxa"/>
          <w:left w:w="28" w:type="dxa"/>
          <w:bottom w:w="28" w:type="dxa"/>
          <w:right w:w="28" w:type="dxa"/>
        </w:tblCellMar>
      </w:tblPr>
      <w:tblGrid>
        <w:gridCol w:w="1524"/>
        <w:gridCol w:w="1336"/>
        <w:gridCol w:w="1340"/>
        <w:gridCol w:w="211"/>
        <w:gridCol w:w="721"/>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liabilities assumed: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 - trade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Revenues and royalties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Derivative instruments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retirement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Amount attributable to liabilities acquired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assets acquired:</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 - joint interest and other,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 - oil and natural gas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Derivative instruments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Oil and natural gas properties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property, equipment and land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Amount attributable to assets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36,490 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assets acquired and liabilities assumed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purchase price allocation above is based on the fair values of the assets and liabilities of Endeavor as of the closing date of the Endeavor Acquisition. The majority of the measurements of assets acquired and liabilities assumed are based on inputs that are not observable in the market and are therefore considered Level 3 inputs. The fair value of acquired property and equipment is based on the cost approach, which utilized asset listings and cost records with consideration for the reported age, condition, utilization and economic support of the assets. Oil and natural gas properties were valued using an income approach utilizing the discounted cash flow method, which takes into account production and mineral interest forecasts, projected commodity prices and pricing differentials, and estimates of future capital and operating costs which were then discounted utilizing an estimated weighted-average cost of capital for industry market participants. The value of derivative instruments was based on observable inputs including forward commodity-price curves which are considered Level 2 inputs. Deferred income taxes represent the tax effects of differences in the tax basis and acquisition-date fair values of assets acquired and liabilities assumed. The fair values of asset retirement obligations and inventories were calculated in accordance with the Company’s internal policies as described in </w:t>
      </w:r>
      <w:r>
        <w:fldChar w:fldCharType="begin"/>
      </w:r>
      <w:r>
        <w:rPr>
          <w:rStyle w:val="InternetLink"/>
          <w:sz w:val="20"/>
          <w:u w:val="single"/>
          <w:b w:val="false"/>
          <w:rFonts w:ascii="Times New Roman;sans-serif" w:hAnsi="Times New Roman;sans-serif"/>
          <w:color w:val="0000FF"/>
        </w:rPr>
        <w:instrText xml:space="preserve"> HYPERLINK "https://www.sec.gov/ix?doc=/Archives/edgar/data/1539838/000153983824000019/fang-20231231.htm" \l "i0d77fdad85ad4c5b80695648ad1eb956_193"</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Note 13—Fair Value Measurements in the Company’s 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for the year ended December 31, 2023. The fair values of various current assets and liabilities including accounts receivable and accounts payable approximate their carrying values on the closing date of the Endeavor Acquisition because of the short-term nature of the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completion of the Endeavor Acquisition, the Company acquired proved properties of $20.9 billion and unproved properties of $13.9 billion, primarily in the Midland Basin.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attributable to the Endeavor Acquisition since the acquisition date have been included in the condensed consolidated statements of operations and include $297 million of total revenue and $57 million of net income for the three and nine months ended September 30,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 Forma Financial Information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summary pro forma financial information for the three and nine months ended September 30, 2024 and 2023 has been prepared to give effect to the Endeavor Acquisition as if it had occurred on January 1, 2023. The unaudited pro forma financial information does not purport to be indicative of what the combined company’s results of operations would have been if the transaction had occurred on the dates indicated, nor is it indicative of the future financial position or results of operations of the combined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below information reflects pro forma adjustments for the issuance of the Company’s common stock as consideration for the Endeavor Acquisition, as well as pro forma adjustments based on available information and certain assumptions that the Company believes are reasonable, including adjustments to depreciation, depletion and amortization based on the full cost method of accounting.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pro forma earnings for the three and nine months ended September 30, 2024 include historical acquisition-related costs incurred by Endeavor of $412 million and $415 million, respectively, which consist primarily of incentive compensation, investment banking and legal costs. The Company incurred acquisition related costs of $258 million and $273 million for the three and nine months ended September 30, 2024 which consist primarily of $171 million in severance and accelerated incentive compensation payments to former Endeavor employees, $78 million in investment banking and legal costs incurred upon the closing of the Endeavor Acquisition, and other individually insignificant items including SEC filing fees and other professional fees. The pro forma results of operations do not include any cost savings or other synergies that may result from the Endeavor Acquisition or any estimated costs that have been or will be incurred by the Company to integrate the acquired assets. The pro forma financial data does not include the results of operations for any other acquisitions made during the periods presented, as they were primarily acreage acquisitions, and their results were not deemed material.</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593"/>
        <w:gridCol w:w="1357"/>
        <w:gridCol w:w="1371"/>
        <w:gridCol w:w="265"/>
        <w:gridCol w:w="778"/>
        <w:gridCol w:w="137"/>
        <w:gridCol w:w="137"/>
        <w:gridCol w:w="137"/>
        <w:gridCol w:w="137"/>
        <w:gridCol w:w="265"/>
        <w:gridCol w:w="778"/>
        <w:gridCol w:w="137"/>
        <w:gridCol w:w="109"/>
        <w:gridCol w:w="109"/>
        <w:gridCol w:w="109"/>
        <w:gridCol w:w="239"/>
        <w:gridCol w:w="817"/>
        <w:gridCol w:w="123"/>
        <w:gridCol w:w="123"/>
        <w:gridCol w:w="123"/>
        <w:gridCol w:w="123"/>
        <w:gridCol w:w="239"/>
        <w:gridCol w:w="817"/>
        <w:gridCol w:w="182"/>
      </w:tblGrid>
      <w:tr>
        <w:trPr/>
        <w:tc>
          <w:tcPr>
            <w:tcW w:w="159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w:t>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Diamondback Energy, Inc.</w:t>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common share</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per common share</w:t>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6.    PROPERTY AND EQUIPMENT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includes the following as of the dates indicated:</w:t>
      </w:r>
    </w:p>
    <w:p>
      <w:pPr>
        <w:pStyle w:val="TextBody"/>
        <w:bidi w:val="0"/>
        <w:spacing w:before="0" w:after="0"/>
        <w:ind w:left="0" w:right="0" w:firstLine="720"/>
        <w:jc w:val="both"/>
        <w:rPr/>
      </w:pPr>
      <w:r>
        <w:rPr/>
      </w:r>
    </w:p>
    <w:tbl>
      <w:tblPr>
        <w:tblW w:w="8261" w:type="dxa"/>
        <w:jc w:val="left"/>
        <w:tblInd w:w="0" w:type="dxa"/>
        <w:tblLayout w:type="fixed"/>
        <w:tblCellMar>
          <w:top w:w="28" w:type="dxa"/>
          <w:left w:w="28" w:type="dxa"/>
          <w:bottom w:w="28" w:type="dxa"/>
          <w:right w:w="28" w:type="dxa"/>
        </w:tblCellMar>
      </w:tblPr>
      <w:tblGrid>
        <w:gridCol w:w="2009"/>
        <w:gridCol w:w="1764"/>
        <w:gridCol w:w="1777"/>
        <w:gridCol w:w="243"/>
        <w:gridCol w:w="831"/>
        <w:gridCol w:w="125"/>
        <w:gridCol w:w="109"/>
        <w:gridCol w:w="109"/>
        <w:gridCol w:w="109"/>
        <w:gridCol w:w="230"/>
        <w:gridCol w:w="787"/>
        <w:gridCol w:w="168"/>
      </w:tblGrid>
      <w:tr>
        <w:trPr/>
        <w:tc>
          <w:tcPr>
            <w:tcW w:w="2009"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depletion</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subject to depletion</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oil and natural gas properties</w:t>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79,718 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depletion</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net</w:t>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amortization, accretion and impairment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property and equipment, net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63,053 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full cost method of accounting, the Company is required to perform a ceiling test each quarter which determines a limit, or ceiling, on the book value of proved oil and natural gas properties. No impairment expense was recorded for the three and nine months ended September 30, 2024 or 2023 based on the results of the respective quarterly ceiling tests.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commodity prices, the Company’s production rates, levels of proved reserves, future development costs, transfers of unevaluated properties and other factors will determine its actual ceiling test calculation and impairment analysis in future periods. If the future trailing 12-month commodity prices decline as compared to the commodity prices used in prior quarters, the Company may have material write downs in subsequent quarters. It is possible that circumstances requiring additional impairment testing will occur in future interim periods, which could result in potentially material impairment charges being recorded.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7.    ASSET RETIREMENT OBLIGATIONS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the changes to the Company’s asset retirement obligations liability for the following periods:</w:t>
      </w:r>
    </w:p>
    <w:p>
      <w:pPr>
        <w:pStyle w:val="TextBody"/>
        <w:bidi w:val="0"/>
        <w:spacing w:before="0" w:after="0"/>
        <w:ind w:left="0" w:right="0" w:firstLine="720"/>
        <w:jc w:val="both"/>
        <w:rPr/>
      </w:pPr>
      <w:r>
        <w:rPr/>
      </w:r>
    </w:p>
    <w:tbl>
      <w:tblPr>
        <w:tblW w:w="6955" w:type="dxa"/>
        <w:jc w:val="left"/>
        <w:tblInd w:w="0" w:type="dxa"/>
        <w:tblLayout w:type="fixed"/>
        <w:tblCellMar>
          <w:top w:w="28" w:type="dxa"/>
          <w:left w:w="28" w:type="dxa"/>
          <w:bottom w:w="28" w:type="dxa"/>
          <w:right w:w="28" w:type="dxa"/>
        </w:tblCellMar>
      </w:tblPr>
      <w:tblGrid>
        <w:gridCol w:w="1489"/>
        <w:gridCol w:w="1309"/>
        <w:gridCol w:w="1312"/>
        <w:gridCol w:w="309"/>
        <w:gridCol w:w="683"/>
        <w:gridCol w:w="159"/>
        <w:gridCol w:w="159"/>
        <w:gridCol w:w="159"/>
        <w:gridCol w:w="159"/>
        <w:gridCol w:w="309"/>
        <w:gridCol w:w="683"/>
        <w:gridCol w:w="225"/>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retirement obligations, beginning of period</w:t>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liabilities incurred</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Liabilities acquired</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Liabilities settled and divested</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Accretion expense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Revisions in estimated liabilities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retirement obligations, end of period</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9"/>
              </w:rPr>
              <w:t>Less current portion</w:t>
            </w:r>
            <w:r>
              <w:rPr>
                <w:rFonts w:ascii="Times New Roman;sans-serif" w:hAnsi="Times New Roman;sans-serif"/>
                <w:b w:val="false"/>
                <w:color w:val="000000"/>
                <w:sz w:val="13"/>
              </w:rPr>
              <w:t>(1)</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retirement obligations - long-term</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current portion of the asset retirement obligation is included in the caption “Other accrued liabilities” in the Company’s condensed consolidated balance sheets.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8.    RELATED PARTY TRANSACTIONS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Deep Blue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addition to the Deep Blue transaction discussed in Note 4—</w:t>
      </w:r>
      <w:hyperlink w:anchor="i09b7444577484ae3b81bbbd98957e58f_49">
        <w:r>
          <w:rPr>
            <w:rStyle w:val="InternetLink"/>
            <w:rFonts w:ascii="Times New Roman;sans-serif" w:hAnsi="Times New Roman;sans-serif"/>
            <w:b w:val="false"/>
            <w:color w:val="0000FF"/>
            <w:sz w:val="20"/>
            <w:u w:val="single"/>
          </w:rPr>
          <w:t>Acquisitions and Divestitures</w:t>
        </w:r>
      </w:hyperlink>
      <w:r>
        <w:rPr>
          <w:rFonts w:ascii="Times New Roman;sans-serif" w:hAnsi="Times New Roman;sans-serif"/>
          <w:b w:val="false"/>
          <w:color w:val="000000"/>
          <w:sz w:val="20"/>
        </w:rPr>
        <w:t>, the Company has other significant related party transactions with Deep Blue which include (i) certain accounts receivable from Deep Blue, (ii) accrued capital expenditures and other accrued payables related to a commitment to fund certain capital expenditures on projects that were in process at the time of the Deep Blue transaction, and (iii) lease operating expenses and capitalized expenses related to fees paid to Deep Blue under a 15-year dedication for its produced water and supply water within a 12-county area of mutual interest in the Midland Basin.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significant related party balances included in the condensed consolidated balance sheets at September 30, 2024 and December 31, 2023:</w:t>
      </w:r>
    </w:p>
    <w:p>
      <w:pPr>
        <w:pStyle w:val="TextBody"/>
        <w:bidi w:val="0"/>
        <w:spacing w:before="0" w:after="0"/>
        <w:ind w:left="0" w:right="0" w:firstLine="720"/>
        <w:jc w:val="both"/>
        <w:rPr/>
      </w:pPr>
      <w:r>
        <w:rPr/>
      </w:r>
    </w:p>
    <w:tbl>
      <w:tblPr>
        <w:tblW w:w="6790" w:type="dxa"/>
        <w:jc w:val="left"/>
        <w:tblInd w:w="0" w:type="dxa"/>
        <w:tblLayout w:type="fixed"/>
        <w:tblCellMar>
          <w:top w:w="28" w:type="dxa"/>
          <w:left w:w="28" w:type="dxa"/>
          <w:bottom w:w="28" w:type="dxa"/>
          <w:right w:w="28" w:type="dxa"/>
        </w:tblCellMar>
      </w:tblPr>
      <w:tblGrid>
        <w:gridCol w:w="1478"/>
        <w:gridCol w:w="1297"/>
        <w:gridCol w:w="1305"/>
        <w:gridCol w:w="363"/>
        <w:gridCol w:w="647"/>
        <w:gridCol w:w="189"/>
        <w:gridCol w:w="109"/>
        <w:gridCol w:w="109"/>
        <w:gridCol w:w="109"/>
        <w:gridCol w:w="336"/>
        <w:gridCol w:w="600"/>
        <w:gridCol w:w="248"/>
      </w:tblGrid>
      <w:tr>
        <w:trPr/>
        <w:tc>
          <w:tcPr>
            <w:tcW w:w="14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 Accounts receivable</w:t>
            </w:r>
          </w:p>
        </w:tc>
        <w:tc>
          <w:tcPr>
            <w:tcW w:w="3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 Accrued capital expenditures</w:t>
            </w:r>
          </w:p>
        </w:tc>
        <w:tc>
          <w:tcPr>
            <w:tcW w:w="3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 Other accrued liabilities</w:t>
            </w:r>
          </w:p>
        </w:tc>
        <w:tc>
          <w:tcPr>
            <w:tcW w:w="3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2024, the Company recorded approximately $30 million and $90 million, respectively, for water services provided by Deep Blue during the completion phase of wells. These costs were capitalized and are included in the caption “Oil and natural gas properties” on the condensed consolidated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significant related party transactions included in the condensed consolidated statements of operations for the three and nine months ended September 30, 2024 and 2023:</w:t>
      </w:r>
    </w:p>
    <w:p>
      <w:pPr>
        <w:pStyle w:val="TextBody"/>
        <w:bidi w:val="0"/>
        <w:spacing w:before="0" w:after="0"/>
        <w:ind w:left="0" w:right="0" w:firstLine="720"/>
        <w:jc w:val="both"/>
        <w:rPr/>
      </w:pPr>
      <w:r>
        <w:rPr/>
      </w:r>
    </w:p>
    <w:tbl>
      <w:tblPr>
        <w:tblW w:w="8255" w:type="dxa"/>
        <w:jc w:val="left"/>
        <w:tblInd w:w="0" w:type="dxa"/>
        <w:tblLayout w:type="fixed"/>
        <w:tblCellMar>
          <w:top w:w="28" w:type="dxa"/>
          <w:left w:w="28" w:type="dxa"/>
          <w:bottom w:w="28" w:type="dxa"/>
          <w:right w:w="28" w:type="dxa"/>
        </w:tblCellMar>
      </w:tblPr>
      <w:tblGrid>
        <w:gridCol w:w="792"/>
        <w:gridCol w:w="697"/>
        <w:gridCol w:w="700"/>
        <w:gridCol w:w="385"/>
        <w:gridCol w:w="660"/>
        <w:gridCol w:w="199"/>
        <w:gridCol w:w="199"/>
        <w:gridCol w:w="199"/>
        <w:gridCol w:w="199"/>
        <w:gridCol w:w="385"/>
        <w:gridCol w:w="468"/>
        <w:gridCol w:w="199"/>
        <w:gridCol w:w="109"/>
        <w:gridCol w:w="109"/>
        <w:gridCol w:w="109"/>
        <w:gridCol w:w="369"/>
        <w:gridCol w:w="631"/>
        <w:gridCol w:w="190"/>
        <w:gridCol w:w="190"/>
        <w:gridCol w:w="190"/>
        <w:gridCol w:w="190"/>
        <w:gridCol w:w="369"/>
        <w:gridCol w:w="448"/>
        <w:gridCol w:w="269"/>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3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9.    DEBT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as of the dates indicated:</w:t>
      </w:r>
    </w:p>
    <w:p>
      <w:pPr>
        <w:pStyle w:val="TextBody"/>
        <w:bidi w:val="0"/>
        <w:spacing w:before="0" w:after="0"/>
        <w:ind w:left="0" w:right="0" w:firstLine="720"/>
        <w:jc w:val="both"/>
        <w:rPr/>
      </w:pPr>
      <w:r>
        <w:rPr/>
      </w:r>
    </w:p>
    <w:tbl>
      <w:tblPr>
        <w:tblW w:w="9175" w:type="dxa"/>
        <w:jc w:val="left"/>
        <w:tblInd w:w="0" w:type="dxa"/>
        <w:tblLayout w:type="fixed"/>
        <w:tblCellMar>
          <w:top w:w="28" w:type="dxa"/>
          <w:left w:w="28" w:type="dxa"/>
          <w:bottom w:w="28" w:type="dxa"/>
          <w:right w:w="28" w:type="dxa"/>
        </w:tblCellMar>
      </w:tblPr>
      <w:tblGrid>
        <w:gridCol w:w="2342"/>
        <w:gridCol w:w="2057"/>
        <w:gridCol w:w="2065"/>
        <w:gridCol w:w="243"/>
        <w:gridCol w:w="831"/>
        <w:gridCol w:w="125"/>
        <w:gridCol w:w="109"/>
        <w:gridCol w:w="109"/>
        <w:gridCol w:w="109"/>
        <w:gridCol w:w="255"/>
        <w:gridCol w:w="744"/>
        <w:gridCol w:w="186"/>
      </w:tblGrid>
      <w:tr>
        <w:trPr/>
        <w:tc>
          <w:tcPr>
            <w:tcW w:w="2342"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3.250% Senior Notes due 2026</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5.625% Senior Notes due 2026</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5.200% Senior Notes due 2027</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7.125% Medium-term Notes, Series B, due 2028</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3.500% Senior Notes due 2029</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5.150% Senior Notes due 2030</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3.125% Senior Notes due 2031</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6.250% Senior Notes due 2033</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5.400% Senior Notes due 2034</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4.400% Senior Notes due 2051</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4.250% Senior Notes due 2052</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6.250% Senior Notes due 2053</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5.750% Senior Notes due 2054</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5.900% Senior Notes due 2064</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Tranche A Loans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costs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premium costs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Unamortized basis adjustment of dedesignated interest rate swap agreements</w:t>
            </w:r>
            <w:r>
              <w:rPr>
                <w:rFonts w:ascii="Times New Roman;sans-serif" w:hAnsi="Times New Roman;sans-serif"/>
                <w:b w:val="false"/>
                <w:color w:val="000000"/>
                <w:sz w:val="13"/>
              </w:rPr>
              <w:t>(1)</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 revolving credit facility</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5.375% Senior Notes due 2027</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7.375% Senior Notes due 2031</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w:t>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 of debt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Represents the unamortized basis adjustment related to two receive-fixed, pay variable interest rate swap agreements which were previously designated as fair value hedges of the Company’s $1.2 billion 3.500% fixed rate senior notes due 2029. This basis adjustment is being amortized to interest expense over the remaining term of the 2029 Notes utilizing the effective interest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References in this section to the Company shall mean Diamondback Energy, Inc. and Diamondback E&amp;P, collectively, unless otherwise specified.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Credit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6, 2024, Diamondback E&amp;P, as borrower, and Diamondback Energy, Inc., as parent guarantor, entered into a fourteenth amendment to the existing credit agreement, which upon consummation of the Endeavor Acquisition, (i) increased the maximum credit amount from $1.6 billion to $2.5 billion, (ii) decreased the swingline commitments amount from $100 million to $50 million and (iii) made certain amendments to the representations and warranties, affirmative and negative covenants, and events of default. As of September 30, 2024, the Company had $115 million outstanding borrowings under the credit agreement and approximately $2.4 billion available for future borrowings. During the three and nine months ended September 30, 2024, the weighted average interest rate on borrowings under the credit agreement was 6.64%. During the three and nine months ended September 30, 2023, the weighted average interest rate on borrowings under the credit agreement was 6.59% and 6.31%, respectively. The credit agreement matures on June 2, 2028.</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was in compliance with all financial maintenance covenants under the credit agreement.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Term Loan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Endeavor Acquisition, Diamondback Energy, Inc., as guarantor, entered into a Term Loan Credit Agreement with Diamondback E&amp;P LLC, as borrower, and Citibank, N.A., as administrative agent (the “Term Loan Agreement”) on February 29,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Agreement provided the Company with the ability to borrow up to $1.5 billion, which was comprised of $1.0 billion of Tranche A Loans and $500 million of Tranche B Loans on an unsecured basis to fund a portion of the cash consideration for the Endeavor Acquisition, repay certain debt of Endeavor or pay fees, costs and expenses related to the acquisition. The undrawn Tranche B Loans were terminated on August 2, 2024. As of September 30, 2024, the Company had $1.0 billion outstanding borrowings under the Tranche A Loans under the Term Loan Agreement and no availability for future borrowings. During the three and nine months ended September 30, 2024, the weighted average interest rate on borrowings under the Term Loan Agreement was 6.46%.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Tranche A Loans were made in a single borrowing on the date of closing of the Endeavor Acquisition (the “Closing Date”) and will mature and be payable in full on the first anniversary of the Closing Date.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borrowings under the Term Loan Agreement bear interest at a per annum rate elected by the Company that is equal to (i) term SOFR plus 0.10% (“Adjusted Term SOFR”) or (ii) an alternate base rate (which is equal to the greatest of the prime rate, the federal funds effective rate plus 0.50%, and 1-month Adjusted Term SOFR plus 1.0%), in each case plus the applicable margin. After giving effect to the amendment, (i) the applicable margin ranges from 0.125% to 1.000% per annum in the case of the alternate base rate, and from 1.125% to 2.000% per annum in the case of Adjusted Term SOFR, in each case based on the pricing level, and (ii) the commitment fee is equal to 0.125% per annum on the aggregate principal amount of the commitments. The pricing level depends on the Company’s long-term senior unsecured debt ratings.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Bridge Facility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11, 2024, in connection with the Endeavor Acquisition, Diamondback Energy, Inc., as guarantor, obtained commitments of $8.0 billion to a 364-day senior unsecured term loan facility with Diamondback E&amp;P LLC, as borrower, and Citigroup Global Markets Inc., as administrative agent (the “Bridge Facility”). The Bridge Facility was reduced on a dollar-for-dollar basis by the amount of the Term Loan Agreement to $6.5 billion on February 29, 2024 and was further reduced on a dollar-for-dollar basis by the amount of the April 2024 Notes (as defined below) to $1.0 billion. The undrawn Bridge Facility was terminated on June 4, 2024. The Company recorded additional interest expense of $28 million during the nine months ended September 30, 2024, respectively, related to the amortization and write-off of debt issuance costs incurred for the Bridge Facility.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Issuance of Notes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18, 2024, Diamondback Energy, Inc., as borrower, and Diamondback E&amp;P LLC, as guarantor, issued an aggregate of $5.5 billion in senior notes, consisting of (i) $850 million aggregate principal amount of 5.200% Senior Notes due April 18, 2027 (the “2027 Notes”), (ii) $850 million aggregate principal amount of 5.150% Senior Notes due January 30, 2030 (the “2030 Notes”), (iii) $1.3 billion aggregate principal amount of 5.400% Senior Notes due April 18, 2034 (the “2034 Notes”), (iv) $1.5 billion aggregate principal amount of 5.750% Senior Notes due April 18, 2054 (the “2054 Notes”), and (v) $1.0 billion aggregate principal amount of 5.900% Senior Notes due April 18, 2064 (the “2064 Notes” and together with the 2027 Notes, the 2030 Notes the 2034 Notes and the 2054 Notes, the “April 2024 Notes”). The Company received net proceeds of $5.5 billion, after underwriters’ discounts and transaction costs. Interest on the 2030 Notes is payable semi-annually on January 30 and July 30 of each year, beginning on July 30, 2024. Interest on each other series of notes will be payable semi-annually on April 18 and October 18 of each year, beginning on October 18, 2024. The Company used the net proceeds to fund a portion of the cash consideration for the Endeavor Acquisition.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April 2024 Notes are included in the Guaranteed Senior Notes for the Company, which are senior unsecured obligations and are fully and unconditionally guaranteed by Diamondback E&amp;P, are senior in right of payment to any of the Company’s future subordinated indebtedness and rank equal in right of payment with all of the Company’s existing and future senior indebtedness.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Retirement of Notes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2024, the Company opportunistically repurchased principal amounts of $22 million of its 3.125% Senior Notes due 2031 and $6 million of its 3.500% Senior Notes due 2029 for total cash consideration, including accrued interest paid of $25 million. These repurchases resulted in an immaterial gain on extinguishment of debt during the nine months ended September 30, 2024.</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Viper’s Credit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Viper LLC’s credit agreement, as amended to date, provides for a revolving credit facility in the maximum credit amount of $2.0 billion with a borrowing base of $1.3 billion. As of September 30, 2024, the elected commitment amount was $850 million, with no outstanding borrowings and $850 million available for future borrowings. During the three and nine months ended September 30, 2024 and 2023, the weighted average interest rates on borrowings under the Viper credit agreement were 7.51%, 7.52%, 7.58% and 7.37%, respectively. </w:t>
      </w:r>
      <w:r>
        <w:rPr>
          <w:rFonts w:ascii="Times New Roman;sans-serif" w:hAnsi="Times New Roman;sans-serif"/>
          <w:b w:val="false"/>
          <w:color w:val="000000"/>
          <w:sz w:val="20"/>
          <w:shd w:fill="FFFFFF" w:val="clear"/>
        </w:rPr>
        <w:t xml:space="preserve">The revolving credit facility will mature on September 22, 2028. </w:t>
      </w:r>
      <w:r>
        <w:rPr>
          <w:rFonts w:ascii="Times New Roman;sans-serif" w:hAnsi="Times New Roman;sans-serif"/>
          <w:b w:val="false"/>
          <w:color w:val="000000"/>
          <w:sz w:val="20"/>
        </w:rPr>
        <w:t xml:space="preserve">As of September 30, 2024, Viper LLC was in compliance with all financial maintenance covenants under the Viper LLC credit agreement.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STOCKHOLDERS’ EQUITY AND EARNINGS (LOSS) PER SHARE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 Repurchase Program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18, 2024, the Company’s board of directors approved an increase in the Company’s common stock repurchase program from $4.0 billion to $6.0 billion of the Company’s outstanding common stock, excluding excise tax. Purchases under the repurchase program may be made from time to time in open market or privately negotiated transactions, and are subject to market conditions, applicable regulatory and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three and nine months ended September 30, 2024 and 2023, the Company repurchased approximately $515 million, $557 million, $56 million and $709 million of common stock under this repurchase program, respectively, in each case excluding excise tax. As of September 30, 2024, approximately $3.1 billion remained available for future repurchases under the Company’s common stock repurchase program, excluding excise tax.</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Viper 2024 Equity Offering</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On September 13, 2024, Viper completed an underwritten public offering of approximately 11.5 million shares of its Class A Common Stock, which included 1.5 million shares issued pursuant to an option to purchase additional shares of Class A Common Stock granted to the under</w:t>
      </w:r>
      <w:r>
        <w:rPr>
          <w:rFonts w:ascii="Times New Roman;sans-serif" w:hAnsi="Times New Roman;sans-serif"/>
          <w:b w:val="false"/>
          <w:color w:val="000000"/>
          <w:sz w:val="20"/>
        </w:rPr>
        <w:t>writers, at a price to the public of $42.50 per share fo</w:t>
      </w:r>
      <w:r>
        <w:rPr>
          <w:rFonts w:ascii="Times New Roman;sans-serif" w:hAnsi="Times New Roman;sans-serif"/>
          <w:b w:val="false"/>
          <w:color w:val="000000"/>
          <w:sz w:val="20"/>
          <w:shd w:fill="FFFFFF" w:val="clear"/>
        </w:rPr>
        <w:t xml:space="preserve">r total net proceeds to Viper of approximately </w:t>
      </w:r>
      <w:r>
        <w:rPr>
          <w:rFonts w:ascii="Times New Roman;sans-serif" w:hAnsi="Times New Roman;sans-serif"/>
          <w:b w:val="false"/>
          <w:color w:val="000000"/>
          <w:sz w:val="20"/>
        </w:rPr>
        <w:t>$476 million</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after underwriters’ discounts and </w:t>
      </w:r>
      <w:r>
        <w:rPr>
          <w:rFonts w:ascii="Times New Roman;sans-serif" w:hAnsi="Times New Roman;sans-serif"/>
          <w:b w:val="false"/>
          <w:color w:val="000000"/>
          <w:sz w:val="20"/>
          <w:shd w:fill="FFFFFF" w:val="clear"/>
        </w:rPr>
        <w:t xml:space="preserve">transaction costs (the “Viper 2024 Equity Offering”). The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proceeds were used to fund a portion of the cash consideration for </w:t>
      </w:r>
      <w:r>
        <w:rPr>
          <w:rFonts w:ascii="Times New Roman;sans-serif" w:hAnsi="Times New Roman;sans-serif"/>
          <w:b w:val="false"/>
          <w:color w:val="000000"/>
          <w:sz w:val="20"/>
        </w:rPr>
        <w:t>the Viper TWR Acquisition (as defined below in Note 17—</w:t>
      </w:r>
      <w:hyperlink w:anchor="i09b7444577484ae3b81bbbd98957e58f_91">
        <w:r>
          <w:rPr>
            <w:rStyle w:val="InternetLink"/>
            <w:rFonts w:ascii="Times New Roman;sans-serif" w:hAnsi="Times New Roman;sans-serif"/>
            <w:b w:val="false"/>
            <w:color w:val="0000FF"/>
            <w:sz w:val="20"/>
            <w:u w:val="single"/>
          </w:rPr>
          <w:t>Subsequent Events</w:t>
        </w:r>
      </w:hyperlink>
      <w:r>
        <w:rPr>
          <w:rFonts w:ascii="Times New Roman;sans-serif" w:hAnsi="Times New Roman;sans-serif"/>
          <w:b w:val="false"/>
          <w:color w:val="000000"/>
          <w:sz w:val="20"/>
        </w:rPr>
        <w:t xml:space="preserve">). Pending closing of the Viper TWR Acquisition, Viper temporarily repaid all of the amounts outstanding under the Viper LLC credit agreement with a portion of the net proceeds from the </w:t>
      </w:r>
      <w:r>
        <w:rPr>
          <w:rFonts w:ascii="Times New Roman;sans-serif" w:hAnsi="Times New Roman;sans-serif"/>
          <w:b w:val="false"/>
          <w:color w:val="000000"/>
          <w:sz w:val="20"/>
          <w:shd w:fill="FFFFFF" w:val="clear"/>
        </w:rPr>
        <w:t>Viper 2024 Equity Offering.</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 in Ownership of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Non-controlling interests in the accompanying condensed consolidated financial statements represent minority interest ownership in Viper and are presented as a component of equity. When the Company’s relative ownership interests in Viper change, adjustments to non-controlling interest and additional paid-in-capital, tax effected, will occur.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changes in the ownership interest in consolidated subsidiaries during the periods presented: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998"/>
        <w:gridCol w:w="1509"/>
        <w:gridCol w:w="1520"/>
        <w:gridCol w:w="259"/>
        <w:gridCol w:w="574"/>
        <w:gridCol w:w="134"/>
        <w:gridCol w:w="134"/>
        <w:gridCol w:w="134"/>
        <w:gridCol w:w="134"/>
        <w:gridCol w:w="259"/>
        <w:gridCol w:w="574"/>
        <w:gridCol w:w="134"/>
        <w:gridCol w:w="109"/>
        <w:gridCol w:w="109"/>
        <w:gridCol w:w="109"/>
        <w:gridCol w:w="236"/>
        <w:gridCol w:w="689"/>
        <w:gridCol w:w="121"/>
        <w:gridCol w:w="121"/>
        <w:gridCol w:w="121"/>
        <w:gridCol w:w="121"/>
        <w:gridCol w:w="236"/>
        <w:gridCol w:w="689"/>
        <w:gridCol w:w="181"/>
      </w:tblGrid>
      <w:tr>
        <w:trPr/>
        <w:tc>
          <w:tcPr>
            <w:tcW w:w="1998"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5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the Company</w:t>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ownership of consolidated subsidiaries</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from net income (loss) attributable to the Company's stockholders and transfers with non-controlling interest</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following table presents dividends and distribution equivalent rights paid on the Company’s common stock during the</w:t>
      </w:r>
      <w:r>
        <w:rPr>
          <w:color w:val="000000"/>
          <w:shd w:fill="FFFFFF" w:val="clear"/>
        </w:rPr>
        <w:t xml:space="preserve"> </w:t>
      </w:r>
      <w:r>
        <w:rPr>
          <w:rFonts w:ascii="Times New Roman;sans-serif" w:hAnsi="Times New Roman;sans-serif"/>
          <w:b w:val="false"/>
          <w:color w:val="000000"/>
          <w:sz w:val="20"/>
          <w:shd w:fill="FFFFFF" w:val="clear"/>
        </w:rPr>
        <w:t>respective periods</w:t>
      </w:r>
      <w:r>
        <w:rPr>
          <w:rFonts w:ascii="Times New Roman;sans-serif" w:hAnsi="Times New Roman;sans-serif"/>
          <w:b w:val="false"/>
          <w:color w:val="000000"/>
          <w:sz w:val="20"/>
        </w:rPr>
        <w:t>:</w:t>
      </w:r>
    </w:p>
    <w:p>
      <w:pPr>
        <w:pStyle w:val="TextBody"/>
        <w:bidi w:val="0"/>
        <w:spacing w:before="0" w:after="0"/>
        <w:jc w:val="both"/>
        <w:rPr/>
      </w:pPr>
      <w:r>
        <w:rPr/>
      </w:r>
    </w:p>
    <w:tbl>
      <w:tblPr>
        <w:tblW w:w="6503" w:type="dxa"/>
        <w:jc w:val="left"/>
        <w:tblInd w:w="0" w:type="dxa"/>
        <w:tblLayout w:type="fixed"/>
        <w:tblCellMar>
          <w:top w:w="28" w:type="dxa"/>
          <w:left w:w="28" w:type="dxa"/>
          <w:bottom w:w="28" w:type="dxa"/>
          <w:right w:w="28" w:type="dxa"/>
        </w:tblCellMar>
      </w:tblPr>
      <w:tblGrid>
        <w:gridCol w:w="567"/>
        <w:gridCol w:w="499"/>
        <w:gridCol w:w="508"/>
        <w:gridCol w:w="211"/>
        <w:gridCol w:w="511"/>
        <w:gridCol w:w="109"/>
        <w:gridCol w:w="109"/>
        <w:gridCol w:w="109"/>
        <w:gridCol w:w="109"/>
        <w:gridCol w:w="211"/>
        <w:gridCol w:w="511"/>
        <w:gridCol w:w="109"/>
        <w:gridCol w:w="109"/>
        <w:gridCol w:w="109"/>
        <w:gridCol w:w="109"/>
        <w:gridCol w:w="331"/>
        <w:gridCol w:w="803"/>
        <w:gridCol w:w="171"/>
        <w:gridCol w:w="109"/>
        <w:gridCol w:w="109"/>
        <w:gridCol w:w="109"/>
        <w:gridCol w:w="211"/>
        <w:gridCol w:w="616"/>
        <w:gridCol w:w="154"/>
      </w:tblGrid>
      <w:tr>
        <w:trPr/>
        <w:tc>
          <w:tcPr>
            <w:tcW w:w="56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Variable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2024</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year-to-date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year-to-date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Earnings (Loss) Per Share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earnings (loss) per share amounts have been computed using the two-class method. The two-class method is an earnings allocation proportional to the respective ownership among holders of common stock and participating securities. Basic earnings (loss) per share amounts have been computed based on the weighted-average number of shares of common stock outstanding for the period. Diluted earnings per share include the effect of potentially dilutive non-participating securities outstanding for the period. Additionally, the per share earnings of Viper are included in the consolidated earnings per share computation based on the consolidated group’s holdings of the subsidiaries.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components of basic and diluted earnings per common share is presented in the table below:</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891"/>
        <w:gridCol w:w="1385"/>
        <w:gridCol w:w="1390"/>
        <w:gridCol w:w="307"/>
        <w:gridCol w:w="652"/>
        <w:gridCol w:w="138"/>
        <w:gridCol w:w="138"/>
        <w:gridCol w:w="138"/>
        <w:gridCol w:w="138"/>
        <w:gridCol w:w="307"/>
        <w:gridCol w:w="652"/>
        <w:gridCol w:w="138"/>
        <w:gridCol w:w="109"/>
        <w:gridCol w:w="109"/>
        <w:gridCol w:w="109"/>
        <w:gridCol w:w="244"/>
        <w:gridCol w:w="714"/>
        <w:gridCol w:w="126"/>
        <w:gridCol w:w="126"/>
        <w:gridCol w:w="126"/>
        <w:gridCol w:w="126"/>
        <w:gridCol w:w="244"/>
        <w:gridCol w:w="714"/>
        <w:gridCol w:w="184"/>
      </w:tblGrid>
      <w:tr>
        <w:trPr/>
        <w:tc>
          <w:tcPr>
            <w:tcW w:w="1891"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 shares in thousands)</w:t>
            </w:r>
          </w:p>
        </w:tc>
      </w:tr>
      <w:tr>
        <w:trPr/>
        <w:tc>
          <w:tcPr>
            <w:tcW w:w="4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shares</w:t>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Less: distributed and undistributed earnings allocated to participating securities</w:t>
            </w:r>
            <w:r>
              <w:rPr>
                <w:rFonts w:ascii="Times New Roman;sans-serif" w:hAnsi="Times New Roman;sans-serif"/>
                <w:b w:val="false"/>
                <w:color w:val="000000"/>
                <w:sz w:val="13"/>
              </w:rPr>
              <w:t>(1)</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204,730 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187,253 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potential common shares issuable</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204,730 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178,872 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187,253 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180,400 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attributable to common shares</w:t>
            </w:r>
          </w:p>
        </w:tc>
        <w:tc>
          <w:tcPr>
            <w:tcW w:w="3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8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attributable to common shares</w:t>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Unvested restricted stock awards and performance stock awards that contain non-forfeitable distribution equivalent rights are considered participating securities and therefore are included in the earnings per share calculation pursuant to the two-class method.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11.    EQUITY-BASED COMPENSATION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Equity Plan approved by the board of directors, the Company is authorized to issue up to 11.8 million shares of incentive and non-statutory stock options, restricted stock awards and restricted stock units, performance awards and stock appreciation rights to eligible employees. The Company currently has outstanding restricted stock units and performance-based restricted stock units under the Equity Plan. At September 30, 2024, approximately 4.6 million shares of common stock remain available for future grants under the Equity Plan. The Company classifies its restricted stock units and performance-based restricted stock units as equity-based awards and estimates the fair values of restricted stock awards and units as the closing price of the Company’s common stock on the grant date of the award, which is expensed over the applicable vesting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Equity Plan, Viper maintains its own long-term incentive plan, which is not significant to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financial statement impacts of equity compensation plans and related costs on the Company’s financial statements: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928"/>
        <w:gridCol w:w="1693"/>
        <w:gridCol w:w="1697"/>
        <w:gridCol w:w="284"/>
        <w:gridCol w:w="487"/>
        <w:gridCol w:w="146"/>
        <w:gridCol w:w="146"/>
        <w:gridCol w:w="146"/>
        <w:gridCol w:w="146"/>
        <w:gridCol w:w="284"/>
        <w:gridCol w:w="487"/>
        <w:gridCol w:w="146"/>
        <w:gridCol w:w="109"/>
        <w:gridCol w:w="109"/>
        <w:gridCol w:w="109"/>
        <w:gridCol w:w="277"/>
        <w:gridCol w:w="474"/>
        <w:gridCol w:w="143"/>
        <w:gridCol w:w="143"/>
        <w:gridCol w:w="143"/>
        <w:gridCol w:w="143"/>
        <w:gridCol w:w="277"/>
        <w:gridCol w:w="474"/>
        <w:gridCol w:w="214"/>
      </w:tblGrid>
      <w:tr>
        <w:trPr/>
        <w:tc>
          <w:tcPr>
            <w:tcW w:w="1928"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capitalized pursuant to full cost method of accounting for oil and natural gas properties</w:t>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Restricted Stock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restricted stock unit activity during the nine months ended September 30, 2024 under the Equity Plan:</w:t>
      </w:r>
    </w:p>
    <w:p>
      <w:pPr>
        <w:pStyle w:val="TextBody"/>
        <w:bidi w:val="0"/>
        <w:spacing w:before="0" w:after="0"/>
        <w:ind w:left="0" w:right="0" w:firstLine="720"/>
        <w:jc w:val="both"/>
        <w:rPr/>
      </w:pPr>
      <w:r>
        <w:rPr/>
      </w:r>
    </w:p>
    <w:tbl>
      <w:tblPr>
        <w:tblW w:w="6924" w:type="dxa"/>
        <w:jc w:val="left"/>
        <w:tblInd w:w="0" w:type="dxa"/>
        <w:tblLayout w:type="fixed"/>
        <w:tblCellMar>
          <w:top w:w="28" w:type="dxa"/>
          <w:left w:w="28" w:type="dxa"/>
          <w:bottom w:w="28" w:type="dxa"/>
          <w:right w:w="28" w:type="dxa"/>
        </w:tblCellMar>
      </w:tblPr>
      <w:tblGrid>
        <w:gridCol w:w="994"/>
        <w:gridCol w:w="874"/>
        <w:gridCol w:w="876"/>
        <w:gridCol w:w="454"/>
        <w:gridCol w:w="454"/>
        <w:gridCol w:w="456"/>
        <w:gridCol w:w="109"/>
        <w:gridCol w:w="109"/>
        <w:gridCol w:w="109"/>
        <w:gridCol w:w="483"/>
        <w:gridCol w:w="1653"/>
        <w:gridCol w:w="353"/>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Restricted Stock</w:t>
              <w:br/>
              <w: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Grant-Date</w:t>
              <w:br/>
              <w:t>Fair Value</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751,196 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132.29 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355,283 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179.72 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(154,168)</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145.03 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(23,406)</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147.21 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September 30, 2024</w:t>
            </w:r>
          </w:p>
        </w:tc>
        <w:tc>
          <w:tcPr>
            <w:tcW w:w="9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928,905 </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147.94 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grant date fair value of restricted stock units that vested during the nine months ended September 30, 2024 was $22 million. As of September 30, 2024, the Company’s unrecognized compensation cost related to unvested restricted stock units was $90 million, which is expected to be recognized over a weighted-average period of 1.9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Performance Based Restricted Stock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performance restricted stock units activity under the Equity Plan for the nine months ended September 30, 2024:</w:t>
      </w:r>
    </w:p>
    <w:p>
      <w:pPr>
        <w:pStyle w:val="TextBody"/>
        <w:bidi w:val="0"/>
        <w:spacing w:before="0" w:after="0"/>
        <w:jc w:val="both"/>
        <w:rPr/>
      </w:pPr>
      <w:r>
        <w:rPr/>
      </w:r>
    </w:p>
    <w:tbl>
      <w:tblPr>
        <w:tblW w:w="9432" w:type="dxa"/>
        <w:jc w:val="left"/>
        <w:tblInd w:w="0" w:type="dxa"/>
        <w:tblLayout w:type="fixed"/>
        <w:tblCellMar>
          <w:top w:w="28" w:type="dxa"/>
          <w:left w:w="28" w:type="dxa"/>
          <w:bottom w:w="28" w:type="dxa"/>
          <w:right w:w="28" w:type="dxa"/>
        </w:tblCellMar>
      </w:tblPr>
      <w:tblGrid>
        <w:gridCol w:w="1054"/>
        <w:gridCol w:w="927"/>
        <w:gridCol w:w="929"/>
        <w:gridCol w:w="949"/>
        <w:gridCol w:w="949"/>
        <w:gridCol w:w="952"/>
        <w:gridCol w:w="109"/>
        <w:gridCol w:w="109"/>
        <w:gridCol w:w="109"/>
        <w:gridCol w:w="650"/>
        <w:gridCol w:w="2221"/>
        <w:gridCol w:w="474"/>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Grant-Date Fair Value</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1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278,056 </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234.80 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117,739 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341.14 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Unvested at September 30, 2024</w:t>
            </w:r>
            <w:r>
              <w:rPr>
                <w:rFonts w:ascii="Times New Roman;sans-serif" w:hAnsi="Times New Roman;sans-serif"/>
                <w:b w:val="false"/>
                <w:color w:val="000000"/>
                <w:sz w:val="13"/>
              </w:rPr>
              <w:t>(1)</w:t>
            </w:r>
          </w:p>
        </w:tc>
        <w:tc>
          <w:tcPr>
            <w:tcW w:w="18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395,795 </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266.43 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 maximum of 940,051 units could be awarded based upon the Company’s final TSR ranking.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Company’s unrecognized compensation cost related to unvested performance based restricted stock awards and units was $51 million, which is expected to be recognized over a weighted-average period of 1.5 years.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eligible employees received performance restricted stock unit awards totaling 110,989 units from which a minimum of 0% and a maximum of 200% of the units could be awarded based upon the measurement of total stockholder return of the Company’s common stock as compared to a designated peer group during the three-year performance period of January 1, 2024 to December 31, 2026 and cliff vest at December 31, 2026 subject to continued employment. The initial payout of the March 2024 awards will be further adjusted by a TSR modifier that may reduce the payout or increase the payout up to a maximum of 250%. Additionally, in September 2024 the Company granted 6,750 units under substantially the same terms as the March 2024 performance restricted stock unit awards.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each performance restricted stock unit issuance is estimated at the date of grant using a Monte Carlo simulation, which results in an expected percentage of units to be earned during the performance period.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grant-date fair values of performance restricted stock units granted and the related assumptions for the awards granted during the periods presented:</w:t>
      </w:r>
    </w:p>
    <w:p>
      <w:pPr>
        <w:pStyle w:val="TextBody"/>
        <w:bidi w:val="0"/>
        <w:spacing w:before="0" w:after="0"/>
        <w:ind w:left="0" w:right="0" w:firstLine="720"/>
        <w:jc w:val="both"/>
        <w:rPr/>
      </w:pPr>
      <w:r>
        <w:rPr/>
      </w:r>
    </w:p>
    <w:tbl>
      <w:tblPr>
        <w:tblW w:w="5347" w:type="dxa"/>
        <w:jc w:val="center"/>
        <w:tblInd w:w="0" w:type="dxa"/>
        <w:tblLayout w:type="fixed"/>
        <w:tblCellMar>
          <w:top w:w="28" w:type="dxa"/>
          <w:left w:w="28" w:type="dxa"/>
          <w:bottom w:w="28" w:type="dxa"/>
          <w:right w:w="28" w:type="dxa"/>
        </w:tblCellMar>
      </w:tblPr>
      <w:tblGrid>
        <w:gridCol w:w="645"/>
        <w:gridCol w:w="569"/>
        <w:gridCol w:w="570"/>
        <w:gridCol w:w="211"/>
        <w:gridCol w:w="721"/>
        <w:gridCol w:w="271"/>
        <w:gridCol w:w="109"/>
        <w:gridCol w:w="109"/>
        <w:gridCol w:w="109"/>
        <w:gridCol w:w="234"/>
        <w:gridCol w:w="800"/>
        <w:gridCol w:w="300"/>
        <w:gridCol w:w="109"/>
        <w:gridCol w:w="109"/>
        <w:gridCol w:w="109"/>
        <w:gridCol w:w="109"/>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March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September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337.23 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volatility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Company’s provision for (benefit from) income taxes and the effective income tax rate for the periods indicated:</w:t>
      </w:r>
    </w:p>
    <w:p>
      <w:pPr>
        <w:pStyle w:val="TextBody"/>
        <w:bidi w:val="0"/>
        <w:spacing w:before="0" w:after="0"/>
        <w:ind w:left="0" w:right="0" w:firstLine="720"/>
        <w:jc w:val="both"/>
        <w:rPr/>
      </w:pPr>
      <w:r>
        <w:rPr/>
      </w:r>
    </w:p>
    <w:tbl>
      <w:tblPr>
        <w:tblW w:w="9501" w:type="dxa"/>
        <w:jc w:val="left"/>
        <w:tblInd w:w="0" w:type="dxa"/>
        <w:tblLayout w:type="fixed"/>
        <w:tblCellMar>
          <w:top w:w="28" w:type="dxa"/>
          <w:left w:w="28" w:type="dxa"/>
          <w:bottom w:w="28" w:type="dxa"/>
          <w:right w:w="28" w:type="dxa"/>
        </w:tblCellMar>
      </w:tblPr>
      <w:tblGrid>
        <w:gridCol w:w="1243"/>
        <w:gridCol w:w="1094"/>
        <w:gridCol w:w="1098"/>
        <w:gridCol w:w="274"/>
        <w:gridCol w:w="607"/>
        <w:gridCol w:w="353"/>
        <w:gridCol w:w="141"/>
        <w:gridCol w:w="141"/>
        <w:gridCol w:w="141"/>
        <w:gridCol w:w="274"/>
        <w:gridCol w:w="607"/>
        <w:gridCol w:w="353"/>
        <w:gridCol w:w="109"/>
        <w:gridCol w:w="109"/>
        <w:gridCol w:w="109"/>
        <w:gridCol w:w="265"/>
        <w:gridCol w:w="585"/>
        <w:gridCol w:w="340"/>
        <w:gridCol w:w="137"/>
        <w:gridCol w:w="137"/>
        <w:gridCol w:w="137"/>
        <w:gridCol w:w="265"/>
        <w:gridCol w:w="585"/>
        <w:gridCol w:w="397"/>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for tax rate)</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3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income tax expense from continuing operations for the three and nine months ended September 30, 2024 and 2023 differed from amounts computed by applying the U.S. federal statutory tax rate to pre-tax income primarily due to (i) state income taxes, net of federal benefit, (ii) the impact of permanently nondeductible transaction costs, and (iii) other permanent differences between book and taxable income.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closing of the Endeavor Acquisition, the Company assumed approximately $200 million of taxes payable and recognized a $7.3 billion deferred tax liability.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Viper maintained a partial valuation allowance against its deferred tax assets, based on its assessment of all available evidence, both positive and negative, supporting realizability of Viper’s deferred tax assets.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public offering of Viper’s Class A common stock and resulting decrease in its ownership of Viper in March 2024, the Company recorded a $36 million increase in tax payable and a $3 million increase in deferred tax liability through paid in capital and an $18 million increase in the deferred tax asset, net of valuation allowance, through non-controlling interest on the Company’s condensed consolidated balance sheet.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on application of the Inflation Reduction Act of 2022 guidance, the Company’s income tax expense for the three and nine months ended September 30, 2024 was not impacted by the corporate alternative minimum tax.</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DERIVATIVES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the Company has commodity derivative contracts and interest rate swaps outstanding. All derivative financial instruments are recorded at fair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Commodity Contracts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multiple crude oil and natural gas derivatives, indexed to the respective indices as noted in the table below, to reduce price volatility associated with certain of its oil and natural gas sales. As part of the Endeavor Acquisition, the Company acquired a number of derivative financial instruments that were added to its hedging program during the third quarter of 2024. The Company has not designated its commodity derivative instruments as hedges for accounting purposes and, as a result, marks its commodity derivative instruments to fair value and recognizes the cash and non-cash changes in fair value in the condensed consolidated statements of operations under the caption “Gain (loss) on derivative instruments, net.”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 has entered into commodity derivative instruments only with counterparties that are also lenders under its credit facility and have been deemed an acceptable credit risk. As such, collateral is not required from either the counterparties or the Company on its outstanding commodity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had the following outstanding commodity derivative contracts. When aggregating multiple contracts, the weighted average contract price is disclosed.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73"/>
        <w:gridCol w:w="327"/>
        <w:gridCol w:w="328"/>
        <w:gridCol w:w="326"/>
        <w:gridCol w:w="326"/>
        <w:gridCol w:w="328"/>
        <w:gridCol w:w="320"/>
        <w:gridCol w:w="309"/>
        <w:gridCol w:w="311"/>
        <w:gridCol w:w="397"/>
        <w:gridCol w:w="310"/>
        <w:gridCol w:w="311"/>
        <w:gridCol w:w="353"/>
        <w:gridCol w:w="353"/>
        <w:gridCol w:w="359"/>
        <w:gridCol w:w="442"/>
        <w:gridCol w:w="442"/>
        <w:gridCol w:w="444"/>
        <w:gridCol w:w="405"/>
        <w:gridCol w:w="405"/>
        <w:gridCol w:w="406"/>
        <w:gridCol w:w="109"/>
        <w:gridCol w:w="405"/>
        <w:gridCol w:w="405"/>
        <w:gridCol w:w="406"/>
        <w:gridCol w:w="377"/>
        <w:gridCol w:w="377"/>
        <w:gridCol w:w="551"/>
      </w:tblGrid>
      <w:tr>
        <w:trPr/>
        <w:tc>
          <w:tcPr>
            <w:tcW w:w="37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Swaps</w:t>
            </w:r>
          </w:p>
        </w:tc>
        <w:tc>
          <w:tcPr>
            <w:tcW w:w="109" w:type="dxa"/>
            <w:tcBorders/>
            <w:vAlign w:val="center"/>
          </w:tcPr>
          <w:p>
            <w:pPr>
              <w:pStyle w:val="TableContents"/>
              <w:bidi w:val="0"/>
              <w:spacing w:before="0" w:after="283"/>
              <w:jc w:val="left"/>
              <w:rPr>
                <w:sz w:val="4"/>
                <w:szCs w:val="4"/>
              </w:rPr>
            </w:pPr>
            <w:r>
              <w:rPr>
                <w:sz w:val="4"/>
                <w:szCs w:val="4"/>
              </w:rPr>
            </w:r>
          </w:p>
        </w:tc>
        <w:tc>
          <w:tcPr>
            <w:tcW w:w="252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Collars</w:t>
            </w:r>
          </w:p>
        </w:tc>
      </w:tr>
      <w:tr>
        <w:trPr/>
        <w:tc>
          <w:tcPr>
            <w:tcW w:w="1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Month</w:t>
            </w:r>
          </w:p>
        </w:tc>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Year</w:t>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Type of Contract</w:t>
            </w:r>
          </w:p>
        </w:tc>
        <w:tc>
          <w:tcPr>
            <w:tcW w:w="10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Bbls/MMBtu Per Day</w:t>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Index</w:t>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Weighted Average Differential</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Weighted Average Fixed Price</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Weighted Average Floor Price</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Weighted Average Ceiling Price</w:t>
            </w:r>
          </w:p>
        </w:tc>
      </w:tr>
      <w:tr>
        <w:trPr/>
        <w:tc>
          <w:tcPr>
            <w:tcW w:w="1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OIL</w:t>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43,000</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Midland</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Roll Swap</w:t>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40,000</w:t>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46,000</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$60.87</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$89.91</w:t>
            </w:r>
          </w:p>
        </w:tc>
      </w:tr>
      <w:tr>
        <w:trPr/>
        <w:tc>
          <w:tcPr>
            <w:tcW w:w="1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38,000</w:t>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Midland</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13,000</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$89.55</w:t>
            </w:r>
          </w:p>
        </w:tc>
      </w:tr>
      <w:tr>
        <w:trPr/>
        <w:tc>
          <w:tcPr>
            <w:tcW w:w="1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 - Dec.</w:t>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Midland</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4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NATURAL GAS</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398,261</w:t>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$6.53</w:t>
            </w:r>
          </w:p>
        </w:tc>
      </w:tr>
      <w:tr>
        <w:trPr/>
        <w:tc>
          <w:tcPr>
            <w:tcW w:w="10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471,630</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Swap</w:t>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13,370</w:t>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670,000</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$5.42</w:t>
            </w:r>
          </w:p>
        </w:tc>
      </w:tr>
      <w:tr>
        <w:trPr/>
        <w:tc>
          <w:tcPr>
            <w:tcW w:w="10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600,000</w:t>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$(0.78)</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Dec.</w:t>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610,000</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$5.47</w:t>
            </w:r>
          </w:p>
        </w:tc>
      </w:tr>
      <w:tr>
        <w:trPr/>
        <w:tc>
          <w:tcPr>
            <w:tcW w:w="10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Dec.</w:t>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540,000</w:t>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$(0.80)</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Company has fixed price basis swaps for the spread between the Cushing crude oil price and the Midland WTI crude oil price as well as the spread between the Henry Hub natural gas price and the Waha Hub natural gas price. The weighted average differential represents the amount of reduction to the Cushing, Oklahoma oil price and the Waha Hub natural gas price for the notional volumes covered by the basis swap contracts.</w:t>
      </w:r>
    </w:p>
    <w:p>
      <w:pPr>
        <w:pStyle w:val="TextBody"/>
        <w:bidi w:val="0"/>
        <w:spacing w:before="0" w:after="0"/>
        <w:jc w:val="both"/>
        <w:rPr/>
      </w:pPr>
      <w:r>
        <w:rPr/>
      </w:r>
    </w:p>
    <w:tbl>
      <w:tblPr>
        <w:tblW w:w="9390" w:type="dxa"/>
        <w:jc w:val="left"/>
        <w:tblInd w:w="0" w:type="dxa"/>
        <w:tblLayout w:type="fixed"/>
        <w:tblCellMar>
          <w:top w:w="28" w:type="dxa"/>
          <w:left w:w="28" w:type="dxa"/>
          <w:bottom w:w="28" w:type="dxa"/>
          <w:right w:w="28" w:type="dxa"/>
        </w:tblCellMar>
      </w:tblPr>
      <w:tblGrid>
        <w:gridCol w:w="511"/>
        <w:gridCol w:w="449"/>
        <w:gridCol w:w="450"/>
        <w:gridCol w:w="424"/>
        <w:gridCol w:w="424"/>
        <w:gridCol w:w="426"/>
        <w:gridCol w:w="454"/>
        <w:gridCol w:w="454"/>
        <w:gridCol w:w="456"/>
        <w:gridCol w:w="349"/>
        <w:gridCol w:w="349"/>
        <w:gridCol w:w="352"/>
        <w:gridCol w:w="570"/>
        <w:gridCol w:w="570"/>
        <w:gridCol w:w="585"/>
        <w:gridCol w:w="319"/>
        <w:gridCol w:w="319"/>
        <w:gridCol w:w="321"/>
        <w:gridCol w:w="109"/>
        <w:gridCol w:w="438"/>
        <w:gridCol w:w="438"/>
        <w:gridCol w:w="623"/>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Month</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Year</w:t>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Type of Contract</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Bbls Per Day</w:t>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Index</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Strike Price</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Deferred Premium</w:t>
            </w:r>
          </w:p>
        </w:tc>
      </w:tr>
      <w:tr>
        <w:trPr/>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OIL</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$57.34</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$57.57</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$57.28</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$57.12</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$56.72</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Jun.</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Jun.</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$55.48</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Jun.</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$55.78</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Sep.</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Sep.</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Sep.</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bl>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Swaps and Treasury Locks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two receive-fixed, pay variable interest rate swap agreements for notional amounts of $600 million which are considered economic hedges of the Company’s $1.2 billion 3.50% fixed rate senior notes due 2029 (the “2029 Notes”). During the third quarter, the Company terminated and settled $300 million of the notional amount of interest rate swaps for a loss of $37 million recognized in the caption “Gain (loss) on derivative instruments, net” on the condensed consolidated statements of operations for the three and nine months ended September 30, 2024. As a result of the partial termination, the Company has interest rate swap agreements for a notional amount of $900 million at September 30, 2024. The Company receives a fixed 3.50% rate of interest on these swaps and pays the variable rate of SOFR plus 2.1865%. The interest rate swaps are not treated as hedges for accounting purposes and, as a result, changes in fair value are recorded in earnings under the caption “Gain (loss) on derivative instruments, net” in the condensed consolidated statements of operations.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interest rate swaps were designated as fair value hedges at inception, but the Company subsequently elected to discontinue hedge accounting. The cumulative fair value basis adjustment recorded at the time of dedesignation is being amortized to interest expense over the remaining term of the 2029 Notes utilizing the effective interest method. See Note 9—</w:t>
      </w:r>
      <w:hyperlink w:anchor="i09b7444577484ae3b81bbbd98957e58f_64">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Treasury Locks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2024, the Company entered into certain treasury lock contracts to reduce the forecasted interest rate risk associated with the issuance of the April 2024 Notes. The treasury locks were terminated and settled upon issuance of the April 2024 Notes with a loss of $25 million recognized in the caption “Gain (loss) on derivative instruments, net” on the condensed consolidated statements of operations for the nine months ended September 30, 2024.</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Balance Sheet Offsetting of Derivative Assets and Liabilities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14—</w:t>
      </w:r>
      <w:hyperlink w:anchor="i09b7444577484ae3b81bbbd98957e58f_79">
        <w:r>
          <w:rPr>
            <w:rStyle w:val="InternetLink"/>
            <w:rFonts w:ascii="Times New Roman;sans-serif" w:hAnsi="Times New Roman;sans-serif"/>
            <w:b w:val="false"/>
            <w:color w:val="0000FF"/>
            <w:sz w:val="20"/>
            <w:u w:val="single"/>
          </w:rPr>
          <w:t>Fair Value Measurements</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Gains and Losses on Derivative Instruments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gains and losses on derivative instruments included in the condensed consolidated statements of operations:</w:t>
      </w:r>
    </w:p>
    <w:tbl>
      <w:tblPr>
        <w:tblW w:w="9569" w:type="dxa"/>
        <w:jc w:val="left"/>
        <w:tblInd w:w="0" w:type="dxa"/>
        <w:tblLayout w:type="fixed"/>
        <w:tblCellMar>
          <w:top w:w="28" w:type="dxa"/>
          <w:left w:w="28" w:type="dxa"/>
          <w:bottom w:w="28" w:type="dxa"/>
          <w:right w:w="28" w:type="dxa"/>
        </w:tblCellMar>
      </w:tblPr>
      <w:tblGrid>
        <w:gridCol w:w="1270"/>
        <w:gridCol w:w="1118"/>
        <w:gridCol w:w="1121"/>
        <w:gridCol w:w="326"/>
        <w:gridCol w:w="722"/>
        <w:gridCol w:w="168"/>
        <w:gridCol w:w="168"/>
        <w:gridCol w:w="168"/>
        <w:gridCol w:w="168"/>
        <w:gridCol w:w="326"/>
        <w:gridCol w:w="675"/>
        <w:gridCol w:w="168"/>
        <w:gridCol w:w="109"/>
        <w:gridCol w:w="109"/>
        <w:gridCol w:w="109"/>
        <w:gridCol w:w="297"/>
        <w:gridCol w:w="658"/>
        <w:gridCol w:w="153"/>
        <w:gridCol w:w="153"/>
        <w:gridCol w:w="153"/>
        <w:gridCol w:w="153"/>
        <w:gridCol w:w="297"/>
        <w:gridCol w:w="763"/>
        <w:gridCol w:w="217"/>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Interest rate swaps</w:t>
            </w:r>
            <w:r>
              <w:rPr>
                <w:rFonts w:ascii="Times New Roman;sans-serif" w:hAnsi="Times New Roman;sans-serif"/>
                <w:b w:val="false"/>
                <w:color w:val="000000"/>
                <w:sz w:val="13"/>
              </w:rPr>
              <w:t>(1)</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locks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received (paid) on settlements:</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Interest rate swaps</w:t>
            </w:r>
            <w:r>
              <w:rPr>
                <w:rFonts w:ascii="Times New Roman;sans-serif" w:hAnsi="Times New Roman;sans-serif"/>
                <w:b w:val="false"/>
                <w:color w:val="000000"/>
                <w:sz w:val="13"/>
              </w:rPr>
              <w:t>(1)</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locks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three and nine months ended September 30, 2024 includes cash paid on interest rate swaps terminated prior to their contractual maturity of $37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14.    FAIR VALUE MEASUREMENTS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Measured at Fair Value on a Recurring Basis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discussed in </w:t>
      </w:r>
      <w:r>
        <w:fldChar w:fldCharType="begin"/>
      </w:r>
      <w:r>
        <w:rPr>
          <w:rStyle w:val="InternetLink"/>
          <w:sz w:val="20"/>
          <w:u w:val="single"/>
          <w:b w:val="false"/>
          <w:rFonts w:ascii="Times New Roman;sans-serif" w:hAnsi="Times New Roman;sans-serif"/>
          <w:color w:val="0000FF"/>
        </w:rPr>
        <w:instrText xml:space="preserve"> HYPERLINK "https://www.sec.gov/ix?doc=/Archives/edgar/data/1539838/000153983824000019/fang-20231231.htm" \l "i0d77fdad85ad4c5b80695648ad1eb956_193"</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Note 13—Fair Value Measurements in the Company’s 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for the year ended December 31, 2023, certain financial instruments of the Company are reported at fair value on the Company’s condensed consolidated balance sheets</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The net amounts of derivative instruments are classified as current or noncurrent based on their anticipated settlement dates. The Company has an immaterial investment that is reported at fair value using observable, quoted stock prices and is included in “Other assets” on the Company’s condensed consolidated balance sheets at September 30, 2024 and December 31,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an immaterial contingent liability that is reported at fair value using observable market data inputs and a Monte Carlo pricing model, which are considered Level 2 inputs within the fair value hierarchy. The 2026 WTI Contingent Liability is recorded in “Other long-term liabilities” on the Company’s condensed consolidated balance sheets at September 30, 2024, with the change in fair value being recognized in “Gain (loss) on derivative instruments, net” on the Company’s condensed consolidated statements of operations for the three and nine months ended September 30, 2024.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following table provides the fair value of financial instruments that are recorded at fair value in the condensed consolidated balance sheets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September 30, 2024 and December 31, 2023:</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950"/>
        <w:gridCol w:w="823"/>
        <w:gridCol w:w="830"/>
        <w:gridCol w:w="211"/>
        <w:gridCol w:w="406"/>
        <w:gridCol w:w="109"/>
        <w:gridCol w:w="211"/>
        <w:gridCol w:w="466"/>
        <w:gridCol w:w="109"/>
        <w:gridCol w:w="211"/>
        <w:gridCol w:w="406"/>
        <w:gridCol w:w="109"/>
        <w:gridCol w:w="351"/>
        <w:gridCol w:w="775"/>
        <w:gridCol w:w="181"/>
        <w:gridCol w:w="481"/>
        <w:gridCol w:w="1218"/>
        <w:gridCol w:w="249"/>
        <w:gridCol w:w="609"/>
        <w:gridCol w:w="1046"/>
        <w:gridCol w:w="454"/>
      </w:tblGrid>
      <w:tr>
        <w:trPr/>
        <w:tc>
          <w:tcPr>
            <w:tcW w:w="95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2"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 2024</w:t>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3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Gross Fair Value</w:t>
            </w:r>
          </w:p>
        </w:tc>
        <w:tc>
          <w:tcPr>
            <w:tcW w:w="19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Balance Sheet</w:t>
            </w:r>
          </w:p>
        </w:tc>
        <w:tc>
          <w:tcPr>
            <w:tcW w:w="2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 Fair Value Presented in Balance Sheet</w:t>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2"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948" w:type="dxa"/>
            <w:gridSpan w:val="3"/>
            <w:tcBorders/>
            <w:vAlign w:val="center"/>
          </w:tcPr>
          <w:p>
            <w:pPr>
              <w:pStyle w:val="TableContents"/>
              <w:bidi w:val="0"/>
              <w:spacing w:before="0" w:after="283"/>
              <w:jc w:val="left"/>
              <w:rPr>
                <w:sz w:val="4"/>
                <w:szCs w:val="4"/>
              </w:rPr>
            </w:pPr>
            <w:r>
              <w:rPr>
                <w:sz w:val="4"/>
                <w:szCs w:val="4"/>
              </w:rPr>
            </w:r>
          </w:p>
        </w:tc>
        <w:tc>
          <w:tcPr>
            <w:tcW w:w="2109" w:type="dxa"/>
            <w:gridSpan w:val="3"/>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948" w:type="dxa"/>
            <w:gridSpan w:val="3"/>
            <w:tcBorders/>
            <w:vAlign w:val="center"/>
          </w:tcPr>
          <w:p>
            <w:pPr>
              <w:pStyle w:val="TableContents"/>
              <w:bidi w:val="0"/>
              <w:spacing w:before="0" w:after="283"/>
              <w:jc w:val="left"/>
              <w:rPr>
                <w:sz w:val="4"/>
                <w:szCs w:val="4"/>
              </w:rPr>
            </w:pPr>
            <w:r>
              <w:rPr>
                <w:sz w:val="4"/>
                <w:szCs w:val="4"/>
              </w:rPr>
            </w:r>
          </w:p>
        </w:tc>
        <w:tc>
          <w:tcPr>
            <w:tcW w:w="2109" w:type="dxa"/>
            <w:gridSpan w:val="3"/>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948" w:type="dxa"/>
            <w:gridSpan w:val="3"/>
            <w:tcBorders/>
            <w:vAlign w:val="center"/>
          </w:tcPr>
          <w:p>
            <w:pPr>
              <w:pStyle w:val="TableContents"/>
              <w:bidi w:val="0"/>
              <w:spacing w:before="0" w:after="283"/>
              <w:jc w:val="left"/>
              <w:rPr>
                <w:sz w:val="4"/>
                <w:szCs w:val="4"/>
              </w:rPr>
            </w:pPr>
            <w:r>
              <w:rPr>
                <w:sz w:val="4"/>
                <w:szCs w:val="4"/>
              </w:rPr>
            </w:r>
          </w:p>
        </w:tc>
        <w:tc>
          <w:tcPr>
            <w:tcW w:w="2109" w:type="dxa"/>
            <w:gridSpan w:val="3"/>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 Derivative instruments: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liabilities-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liabilities- Other long-term 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2026 WTI Contingent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18"/>
        <w:gridCol w:w="795"/>
        <w:gridCol w:w="802"/>
        <w:gridCol w:w="211"/>
        <w:gridCol w:w="406"/>
        <w:gridCol w:w="109"/>
        <w:gridCol w:w="211"/>
        <w:gridCol w:w="466"/>
        <w:gridCol w:w="109"/>
        <w:gridCol w:w="211"/>
        <w:gridCol w:w="406"/>
        <w:gridCol w:w="109"/>
        <w:gridCol w:w="355"/>
        <w:gridCol w:w="785"/>
        <w:gridCol w:w="183"/>
        <w:gridCol w:w="576"/>
        <w:gridCol w:w="1107"/>
        <w:gridCol w:w="300"/>
        <w:gridCol w:w="541"/>
        <w:gridCol w:w="1200"/>
        <w:gridCol w:w="405"/>
      </w:tblGrid>
      <w:tr>
        <w:trPr/>
        <w:tc>
          <w:tcPr>
            <w:tcW w:w="91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Gross Fair Value</w:t>
            </w:r>
          </w:p>
        </w:tc>
        <w:tc>
          <w:tcPr>
            <w:tcW w:w="1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Balance Sheet</w:t>
            </w:r>
          </w:p>
        </w:tc>
        <w:tc>
          <w:tcPr>
            <w:tcW w:w="2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 Fair Value Presented in Balance Sheet</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 Derivative instruments: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liabilities-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Not Recorded at Fair Value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fair value of financial instruments that are not recorded at fair value in the condensed consolidated balance sheets:</w:t>
      </w:r>
    </w:p>
    <w:p>
      <w:pPr>
        <w:pStyle w:val="TextBody"/>
        <w:bidi w:val="0"/>
        <w:spacing w:before="0" w:after="0"/>
        <w:jc w:val="both"/>
        <w:rPr/>
      </w:pPr>
      <w:r>
        <w:rPr/>
      </w:r>
    </w:p>
    <w:tbl>
      <w:tblPr>
        <w:tblW w:w="5491" w:type="dxa"/>
        <w:jc w:val="left"/>
        <w:tblInd w:w="0" w:type="dxa"/>
        <w:tblLayout w:type="fixed"/>
        <w:tblCellMar>
          <w:top w:w="28" w:type="dxa"/>
          <w:left w:w="28" w:type="dxa"/>
          <w:bottom w:w="28" w:type="dxa"/>
          <w:right w:w="28" w:type="dxa"/>
        </w:tblCellMar>
      </w:tblPr>
      <w:tblGrid>
        <w:gridCol w:w="185"/>
        <w:gridCol w:w="162"/>
        <w:gridCol w:w="164"/>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credit agreement and the Viper credit agreement approximate their carrying values based on borrowing rates available to the Company for bank loans with similar terms and maturities and are classified as Level 2 in the fair value hierarchy. The fair values of the outstanding notes were determined using the quoted market price at each period end, a Level 1 classification in the fair value hierarchy.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Measured at Fair Value on a Nonrecurring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Certain assets and liabilities are measured at fair value on a nonrecurring basis in certain circumstances. These assets and liabilities can include those acquired in a business combination, inventory, proved and unproved oil and gas properties, equity method investments, asset retirement obligations and other long-lived assets that are written down to fair value when they are impaired or held for sale. Refer to Note 4—</w:t>
      </w:r>
      <w:hyperlink w:anchor="i09b7444577484ae3b81bbbd98957e58f_49">
        <w:r>
          <w:rPr>
            <w:rStyle w:val="InternetLink"/>
            <w:rFonts w:ascii="Times New Roman;sans-serif" w:hAnsi="Times New Roman;sans-serif"/>
            <w:b w:val="false"/>
            <w:color w:val="0000FF"/>
            <w:sz w:val="20"/>
            <w:u w:val="single"/>
          </w:rPr>
          <w:t>Acquisitions and Divestitures</w:t>
        </w:r>
      </w:hyperlink>
      <w:r>
        <w:rPr>
          <w:rFonts w:ascii="Times New Roman;sans-serif" w:hAnsi="Times New Roman;sans-serif"/>
          <w:b w:val="false"/>
          <w:color w:val="000000"/>
          <w:sz w:val="20"/>
        </w:rPr>
        <w:t>, Note 5—</w:t>
      </w:r>
      <w:hyperlink w:anchor="i09b7444577484ae3b81bbbd98957e58f_88">
        <w:r>
          <w:rPr>
            <w:rStyle w:val="InternetLink"/>
            <w:rFonts w:ascii="Times New Roman;sans-serif" w:hAnsi="Times New Roman;sans-serif"/>
            <w:b w:val="false"/>
            <w:color w:val="0000FF"/>
            <w:sz w:val="20"/>
            <w:u w:val="single"/>
          </w:rPr>
          <w:t>Endeavor Energy Resources, LP Acquisition</w:t>
        </w:r>
      </w:hyperlink>
      <w:r>
        <w:rPr>
          <w:color w:val="000000"/>
        </w:rPr>
        <w:t xml:space="preserve"> </w:t>
      </w:r>
      <w:r>
        <w:rPr>
          <w:rFonts w:ascii="Times New Roman;sans-serif" w:hAnsi="Times New Roman;sans-serif"/>
          <w:b w:val="false"/>
          <w:color w:val="000000"/>
          <w:sz w:val="20"/>
        </w:rPr>
        <w:t>and Note 6—</w:t>
      </w:r>
      <w:hyperlink w:anchor="i09b7444577484ae3b81bbbd98957e58f_55">
        <w:r>
          <w:rPr>
            <w:rStyle w:val="InternetLink"/>
            <w:rFonts w:ascii="Times New Roman;sans-serif" w:hAnsi="Times New Roman;sans-serif"/>
            <w:b w:val="false"/>
            <w:color w:val="0000FF"/>
            <w:sz w:val="20"/>
            <w:u w:val="single"/>
          </w:rPr>
          <w:t>Property and Equipment</w:t>
        </w:r>
      </w:hyperlink>
      <w:r>
        <w:rPr>
          <w:color w:val="000000"/>
        </w:rPr>
        <w:t xml:space="preserve"> </w:t>
      </w:r>
      <w:r>
        <w:rPr>
          <w:rFonts w:ascii="Times New Roman;sans-serif" w:hAnsi="Times New Roman;sans-serif"/>
          <w:b w:val="false"/>
          <w:color w:val="000000"/>
          <w:sz w:val="20"/>
        </w:rPr>
        <w:t>for additional discussion of nonrecurring fair value adjustments.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 of Financial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of cash and cash equivalents, receivables, prepaid expenses and other current assets, payables, other accrued liabilities and funds held in escrow approximate their fair value because of the short-term nature of the instruments.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15.    SUPPLEMENTAL INFORMATION TO STATEMENTS OF CASH FLOWS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248"/>
        <w:gridCol w:w="1970"/>
        <w:gridCol w:w="1981"/>
        <w:gridCol w:w="109"/>
        <w:gridCol w:w="109"/>
        <w:gridCol w:w="221"/>
        <w:gridCol w:w="221"/>
        <w:gridCol w:w="429"/>
        <w:gridCol w:w="1468"/>
        <w:gridCol w:w="221"/>
        <w:gridCol w:w="109"/>
        <w:gridCol w:w="109"/>
        <w:gridCol w:w="109"/>
        <w:gridCol w:w="211"/>
        <w:gridCol w:w="531"/>
        <w:gridCol w:w="159"/>
      </w:tblGrid>
      <w:tr>
        <w:trPr/>
        <w:tc>
          <w:tcPr>
            <w:tcW w:w="2248"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0"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1228" w:type="dxa"/>
            <w:gridSpan w:val="6"/>
            <w:tcBorders/>
          </w:tcPr>
          <w:p>
            <w:pPr>
              <w:pStyle w:val="TableContents"/>
              <w:bidi w:val="0"/>
              <w:spacing w:before="0" w:after="283"/>
              <w:jc w:val="left"/>
              <w:rPr>
                <w:sz w:val="4"/>
                <w:szCs w:val="4"/>
              </w:rPr>
            </w:pPr>
            <w:r>
              <w:rPr>
                <w:sz w:val="4"/>
                <w:szCs w:val="4"/>
              </w:rPr>
            </w:r>
          </w:p>
        </w:tc>
      </w:tr>
      <w:tr>
        <w:trPr/>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3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received for income taxes,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transactions: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capital expenditures included in 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for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Assets contributed in exchange for ownership interest in an equity method investment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16.    COMMITMENTS AND CONTINGENCIES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various routine legal proceedings, disputes and claims arising in the ordinary course of its business, including those that arise from interpretation of federal and state laws and regulations affecting the crude oil and natural gas industry, personal injury claims, title disputes, royalty disputes, contract claims, employment claims, claims alleging violations of antitrust laws, contamination claims relating to oil and natural gas exploration and development and environmental claims, including claims involving assets previously sold to third parties and no longer part of the Company’s current operations.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accrued liabilities for contingencies related to outstanding legal proceedings, disputes or claims when information available indicates that a loss is probable and the amount of the loss can be reasonably estimated.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United States Department of the Interior, Bureau of Safety and Environmental Enforcement, ordered several oil and gas operators, including a corporate predecessor of Energen Corporation, to perform decommissioning and reclamation activities related to a Louisiana offshore oil and gas production platform and related facilities. In response to the insolvency of the operator of record, the government ordered the former operators and/or alleged former lease record title owners to decommission the platform and related facilities. The Company has agreed to an arrangement with other operators to contribute to a trust to fund the decommissioning costs, however, the Company’s portion of such costs are not expected to be material.</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Several coastal Louisiana parishes and the State of Louisiana have filed numerous lawsuits under Louisiana’s State and Local Coastal Resources Management Act (“SLCRMA”) against numerous oil and gas producers seeking damages for coastal erosion in or near oil fields located within Louisiana’s coastal zone. The Company is a defendant in five of these cases. The Company has exercised contractual indemnification rights where applicable. Plaintiffs’ SLCRMA theories are unprecedented, and there remains significant uncertainty about the claims (both as to scope and damages). Although the Company cannot predict the ultimate outcome of these matters, the Company believes the claims lack merit and intends to continue vigorously defending these lawsuits.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17.    SUBSEQUENT EVENTS</w:t>
      </w:r>
    </w:p>
    <w:p>
      <w:pPr>
        <w:pStyle w:val="TextBody"/>
        <w:bidi w:val="0"/>
        <w:spacing w:before="0" w:after="0"/>
        <w:jc w:val="both"/>
        <w:rPr/>
      </w:pPr>
      <w:r>
        <w:rPr/>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TRP Energy, LLC Asset Exchange</w:t>
      </w:r>
    </w:p>
    <w:p>
      <w:pPr>
        <w:pStyle w:val="TextBody"/>
        <w:bidi w:val="0"/>
        <w:spacing w:before="0" w:after="0"/>
        <w:jc w:val="left"/>
        <w:rPr/>
      </w:pPr>
      <w:r>
        <w:rPr/>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On November 3, 2024, the Company entered into an exchange agreement with TRP Energy, LLC (“TRP”), pursuant to which the Company agreed to exchange certain of its assets consisting of approximately 35,000 net acres located in the Delaware Basin and $238 million in cash, subject to customary regulatory approvals and closing conditions, for certain of TRP’s assets consisting of approximately 15,000 net acres</w:t>
      </w:r>
      <w:r>
        <w:rPr>
          <w:color w:val="000000"/>
        </w:rPr>
        <w:t xml:space="preserve"> </w:t>
      </w:r>
      <w:r>
        <w:rPr>
          <w:rFonts w:ascii="Times New Roman;sans-serif" w:hAnsi="Times New Roman;sans-serif"/>
          <w:b w:val="false"/>
          <w:color w:val="000000"/>
          <w:sz w:val="20"/>
        </w:rPr>
        <w:t xml:space="preserve">located in the Midland Basin with 55 operated locations. This transaction is expected to close by the end of 2024. The Company intends to fund the cash portion of the exchange with cash on hand and borrowings under its revolving credit facility.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Third Quarter 2024 Dividend Declaration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31, 2024, the board of directors of the Company declared a base cash dividend for the third quarter of 2024 of $0.90 per share of common stock, payable on November 21, 2024 to its stockholders of record at the close of business on November 14, 2024. Future base and variable dividends are at the discretion of the board of directors of the Company.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Viper TWR Acquisition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2024, Viper and Viper LLC acquired all of the issued and outstanding equity interests in TWR IV, LLC and TWR IV SellCo, LLC from Tumbleweed Royalty IV, LLC (“TWR IV”) and TWR IV SellCo Parent, LLC (the “Viper TWR Acquisition”), pursuant to a definitive purchase and sale agreement for consideration consisting of approximately (i) $459 million in cash, subject to transaction costs and customary post-closing adjustments, (ii) 10.09 million Viper LLC units to TWR IV, (iii) an option for TWR IV to acquire up to 10.09 million shares of Viper’s Class B Common Stock (the “TWR Class B Option”), and (iv) contingent cash consideration of up to $41 million, payable in January of 2026, based on the WTI 2025 Average.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TWR IV can exchange some or all of the Viper LLC units received for an equal number of shares of Viper’s Class A Common Stock upon expiration of the six month lockup period, and any Viper LLC units so exchanged will reduce the number of shares of Viper’s Class B Common Stock subject to the TWR Class B Option. The mineral and royalty interests acquired in the Viper TWR Acquisition represent approximately 3,067 net royalty acres located primarily in the Permian Basin. Viper funded the cash consideration through a combination of cash on hand, borrowings under the Viper LLC credit agreement and proceeds from the </w:t>
      </w:r>
      <w:r>
        <w:rPr>
          <w:rFonts w:ascii="Times New Roman;sans-serif" w:hAnsi="Times New Roman;sans-serif"/>
          <w:b w:val="false"/>
          <w:color w:val="000000"/>
          <w:sz w:val="20"/>
          <w:shd w:fill="FFFFFF" w:val="clear"/>
        </w:rPr>
        <w:t>Viper 2024 Equity Offering</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18.    SEGMENT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has one reportable segment, the upstream segment, which is engaged in the acquisition, development, exploration and exploitation of unconventional, onshore oil and natural gas reserves primarily in the Permian Basin in West Texas. Other operations are included in the “All Other” category in the table below. The sources of the revenue included in the “All Other” category include midstream gathering, compression, water handling, disposal and treatment operations which are primarily derived from intersegment transactions for services provided to the upstream segment. The segments comprise the structure used by the Company’s Chief Operating Decision Maker (“CODM”) to make key operating decisions and assess performance.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results of the Company’s operating segments during the periods presented:</w:t>
      </w:r>
    </w:p>
    <w:p>
      <w:pPr>
        <w:pStyle w:val="TextBody"/>
        <w:bidi w:val="0"/>
        <w:spacing w:before="0" w:after="0"/>
        <w:ind w:left="0" w:right="0" w:firstLine="720"/>
        <w:jc w:val="both"/>
        <w:rPr/>
      </w:pPr>
      <w:r>
        <w:rPr/>
      </w:r>
    </w:p>
    <w:tbl>
      <w:tblPr>
        <w:tblW w:w="9947" w:type="dxa"/>
        <w:jc w:val="left"/>
        <w:tblInd w:w="0" w:type="dxa"/>
        <w:tblLayout w:type="fixed"/>
        <w:tblCellMar>
          <w:top w:w="28" w:type="dxa"/>
          <w:left w:w="28" w:type="dxa"/>
          <w:bottom w:w="28" w:type="dxa"/>
          <w:right w:w="28" w:type="dxa"/>
        </w:tblCellMar>
      </w:tblPr>
      <w:tblGrid>
        <w:gridCol w:w="1783"/>
        <w:gridCol w:w="1570"/>
        <w:gridCol w:w="1581"/>
        <w:gridCol w:w="211"/>
        <w:gridCol w:w="721"/>
        <w:gridCol w:w="109"/>
        <w:gridCol w:w="109"/>
        <w:gridCol w:w="109"/>
        <w:gridCol w:w="109"/>
        <w:gridCol w:w="221"/>
        <w:gridCol w:w="489"/>
        <w:gridCol w:w="114"/>
        <w:gridCol w:w="109"/>
        <w:gridCol w:w="109"/>
        <w:gridCol w:w="109"/>
        <w:gridCol w:w="284"/>
        <w:gridCol w:w="649"/>
        <w:gridCol w:w="148"/>
        <w:gridCol w:w="109"/>
        <w:gridCol w:w="109"/>
        <w:gridCol w:w="109"/>
        <w:gridCol w:w="211"/>
        <w:gridCol w:w="721"/>
        <w:gridCol w:w="154"/>
      </w:tblGrid>
      <w:tr>
        <w:trPr/>
        <w:tc>
          <w:tcPr>
            <w:tcW w:w="1783"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Upstream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September 30, 2024:</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Third-party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equity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non-controlling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Diamondback Energy, Inc.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September 30, 2024:</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059" w:type="dxa"/>
        <w:jc w:val="left"/>
        <w:tblInd w:w="0" w:type="dxa"/>
        <w:tblLayout w:type="fixed"/>
        <w:tblCellMar>
          <w:top w:w="28" w:type="dxa"/>
          <w:left w:w="28" w:type="dxa"/>
          <w:bottom w:w="28" w:type="dxa"/>
          <w:right w:w="28" w:type="dxa"/>
        </w:tblCellMar>
      </w:tblPr>
      <w:tblGrid>
        <w:gridCol w:w="1783"/>
        <w:gridCol w:w="1570"/>
        <w:gridCol w:w="1581"/>
        <w:gridCol w:w="211"/>
        <w:gridCol w:w="721"/>
        <w:gridCol w:w="109"/>
        <w:gridCol w:w="109"/>
        <w:gridCol w:w="109"/>
        <w:gridCol w:w="109"/>
        <w:gridCol w:w="211"/>
        <w:gridCol w:w="616"/>
        <w:gridCol w:w="109"/>
        <w:gridCol w:w="109"/>
        <w:gridCol w:w="109"/>
        <w:gridCol w:w="109"/>
        <w:gridCol w:w="284"/>
        <w:gridCol w:w="649"/>
        <w:gridCol w:w="148"/>
        <w:gridCol w:w="109"/>
        <w:gridCol w:w="109"/>
        <w:gridCol w:w="109"/>
        <w:gridCol w:w="211"/>
        <w:gridCol w:w="721"/>
        <w:gridCol w:w="154"/>
      </w:tblGrid>
      <w:tr>
        <w:trPr/>
        <w:tc>
          <w:tcPr>
            <w:tcW w:w="1783"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Upstream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September 30, 2023:</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Third-party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equity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non-controlling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Diamondback Energy, Inc.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947" w:type="dxa"/>
        <w:jc w:val="left"/>
        <w:tblInd w:w="0" w:type="dxa"/>
        <w:tblLayout w:type="fixed"/>
        <w:tblCellMar>
          <w:top w:w="28" w:type="dxa"/>
          <w:left w:w="28" w:type="dxa"/>
          <w:bottom w:w="28" w:type="dxa"/>
          <w:right w:w="28" w:type="dxa"/>
        </w:tblCellMar>
      </w:tblPr>
      <w:tblGrid>
        <w:gridCol w:w="1783"/>
        <w:gridCol w:w="1570"/>
        <w:gridCol w:w="1581"/>
        <w:gridCol w:w="211"/>
        <w:gridCol w:w="721"/>
        <w:gridCol w:w="109"/>
        <w:gridCol w:w="109"/>
        <w:gridCol w:w="109"/>
        <w:gridCol w:w="109"/>
        <w:gridCol w:w="221"/>
        <w:gridCol w:w="489"/>
        <w:gridCol w:w="114"/>
        <w:gridCol w:w="109"/>
        <w:gridCol w:w="109"/>
        <w:gridCol w:w="109"/>
        <w:gridCol w:w="284"/>
        <w:gridCol w:w="649"/>
        <w:gridCol w:w="148"/>
        <w:gridCol w:w="109"/>
        <w:gridCol w:w="109"/>
        <w:gridCol w:w="109"/>
        <w:gridCol w:w="211"/>
        <w:gridCol w:w="721"/>
        <w:gridCol w:w="154"/>
      </w:tblGrid>
      <w:tr>
        <w:trPr/>
        <w:tc>
          <w:tcPr>
            <w:tcW w:w="1783"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Upstream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Nine Months Ended September 30, 2024:</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Third-party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equity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non-controlling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Diamondback Energy, Inc.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September 30, 2024:</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059" w:type="dxa"/>
        <w:jc w:val="left"/>
        <w:tblInd w:w="0" w:type="dxa"/>
        <w:tblLayout w:type="fixed"/>
        <w:tblCellMar>
          <w:top w:w="28" w:type="dxa"/>
          <w:left w:w="28" w:type="dxa"/>
          <w:bottom w:w="28" w:type="dxa"/>
          <w:right w:w="28" w:type="dxa"/>
        </w:tblCellMar>
      </w:tblPr>
      <w:tblGrid>
        <w:gridCol w:w="1783"/>
        <w:gridCol w:w="1570"/>
        <w:gridCol w:w="1581"/>
        <w:gridCol w:w="211"/>
        <w:gridCol w:w="721"/>
        <w:gridCol w:w="109"/>
        <w:gridCol w:w="109"/>
        <w:gridCol w:w="109"/>
        <w:gridCol w:w="109"/>
        <w:gridCol w:w="211"/>
        <w:gridCol w:w="616"/>
        <w:gridCol w:w="109"/>
        <w:gridCol w:w="109"/>
        <w:gridCol w:w="109"/>
        <w:gridCol w:w="109"/>
        <w:gridCol w:w="284"/>
        <w:gridCol w:w="649"/>
        <w:gridCol w:w="148"/>
        <w:gridCol w:w="109"/>
        <w:gridCol w:w="109"/>
        <w:gridCol w:w="109"/>
        <w:gridCol w:w="211"/>
        <w:gridCol w:w="721"/>
        <w:gridCol w:w="154"/>
      </w:tblGrid>
      <w:tr>
        <w:trPr/>
        <w:tc>
          <w:tcPr>
            <w:tcW w:w="1783"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Upstream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c>
          <w:tcPr>
            <w:tcW w:w="5125" w:type="dxa"/>
            <w:gridSpan w:val="21"/>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Diamondback Energy, Inc.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are an independent oil and natural gas company currently focused on the acquisition, development, exploration and exploitation of unconventional, onshore oil and natural gas reserves in the Permian Basin in West Texas. As discussed in Note 1—</w:t>
      </w:r>
      <w:hyperlink w:anchor="i09b7444577484ae3b81bbbd98957e58f_40">
        <w:r>
          <w:rPr>
            <w:rStyle w:val="InternetLink"/>
            <w:rFonts w:ascii="Times New Roman;sans-serif" w:hAnsi="Times New Roman;sans-serif"/>
            <w:b w:val="false"/>
            <w:color w:val="0000FF"/>
            <w:sz w:val="20"/>
            <w:u w:val="single"/>
          </w:rPr>
          <w:t>Description of the Business and Basis of Presentation</w:t>
        </w:r>
      </w:hyperlink>
      <w:r>
        <w:rPr>
          <w:color w:val="000000"/>
        </w:rPr>
        <w:t xml:space="preserve"> </w:t>
      </w:r>
      <w:r>
        <w:rPr>
          <w:rFonts w:ascii="Times New Roman;sans-serif" w:hAnsi="Times New Roman;sans-serif"/>
          <w:b w:val="false"/>
          <w:color w:val="000000"/>
          <w:sz w:val="20"/>
        </w:rPr>
        <w:t>and Note 18—</w:t>
      </w:r>
      <w:hyperlink w:anchor="i09b7444577484ae3b81bbbd98957e58f_97">
        <w:r>
          <w:rPr>
            <w:rStyle w:val="InternetLink"/>
            <w:rFonts w:ascii="Times New Roman;sans-serif" w:hAnsi="Times New Roman;sans-serif"/>
            <w:b w:val="false"/>
            <w:color w:val="0000FF"/>
            <w:sz w:val="20"/>
            <w:u w:val="single"/>
          </w:rPr>
          <w:t>Segment Information</w:t>
        </w:r>
      </w:hyperlink>
      <w:r>
        <w:rPr>
          <w:color w:val="000000"/>
        </w:rPr>
        <w:t xml:space="preserve"> </w:t>
      </w:r>
      <w:r>
        <w:rPr>
          <w:rFonts w:ascii="Times New Roman;sans-serif" w:hAnsi="Times New Roman;sans-serif"/>
          <w:b w:val="false"/>
          <w:color w:val="000000"/>
          <w:sz w:val="20"/>
        </w:rPr>
        <w:t>of the condensed notes to the consolidated financial statements, as of September 30, 2024, we have one reportable segment, the upstream segment.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Third Quarter 2024 Financial and Operating Highlights</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Recorded net income of $659 million.</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Paid dividends to stockholders of $416 million during the third quarter of 2024 and declared a base cash dividend payable in the fourth quarter of 2024 of $0.90 per share of common stock.</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Increased our common stock repurchase program authorization to $6.0 billion, excluding excise taxes, repurchased $515 million of our common stock and had approximately $3.1 billion available for future repurchases under our common stock repurchase program at September 30, 2024.</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cash operating costs were $11.49 per BOE, including lease operating expenses of $6.01 per BOE, cash general and administrative expenses of $0.63 per BOE and production and ad valorem taxes and gathering, processing and transportation expenses of $4.85 per BOE.</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Our average production was 571.1 MBOE/d.</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Drilled 71 gross horizontal wells in the Midland Basin and five gross horizontal wells in the Delaware Basin, and turned 95 gross operated horizontal wells (87 in the Midland Basin and eight in the Delaware Basin) to production.</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Incurred capital expenditures, excluding acquisitions, of $688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0"/>
        <w:jc w:val="both"/>
        <w:rPr>
          <w:rFonts w:ascii="Times New Roman;sans-serif" w:hAnsi="Times New Roman;sans-serif"/>
          <w:b/>
          <w:color w:val="000000"/>
          <w:sz w:val="20"/>
        </w:rPr>
      </w:pPr>
      <w:r>
        <w:rPr>
          <w:rFonts w:ascii="Times New Roman;sans-serif" w:hAnsi="Times New Roman;sans-serif"/>
          <w:b/>
          <w:color w:val="000000"/>
          <w:sz w:val="20"/>
        </w:rPr>
        <w:t>Transactions and Recent Developments</w:t>
      </w:r>
    </w:p>
    <w:p>
      <w:pPr>
        <w:pStyle w:val="TextBody"/>
        <w:bidi w:val="0"/>
        <w:spacing w:before="0" w:after="0"/>
        <w:jc w:val="left"/>
        <w:rPr/>
      </w:pPr>
      <w:r>
        <w:rPr/>
      </w:r>
    </w:p>
    <w:p>
      <w:pPr>
        <w:pStyle w:val="TextBody"/>
        <w:bidi w:val="0"/>
        <w:spacing w:lineRule="auto" w:line="264"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Acquisitions and Divestitures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TRP Energy, LLC Asset Exchange</w:t>
      </w:r>
    </w:p>
    <w:p>
      <w:pPr>
        <w:pStyle w:val="TextBody"/>
        <w:bidi w:val="0"/>
        <w:spacing w:before="0" w:after="0"/>
        <w:ind w:left="0" w:right="0" w:firstLine="720"/>
        <w:jc w:val="left"/>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2024, we entered into an exchange agreement with TRP, pursuant to which we agreed to exchange certain of our assets consisting of approximately 35,000 net acres located in the Delaware Basin and $238 million in cash, subject to customary regulatory approvals and closing conditions, for certain of TRP’s assets consisting of approximately 15,000 net acres located in the Midland Basin. This transaction is expected to close by the end of 2024. We intend to fund the cash portion of the exchange with cash on hand and borrowings under our revolving credit facility.</w:t>
      </w:r>
    </w:p>
    <w:p>
      <w:pPr>
        <w:pStyle w:val="TextBody"/>
        <w:bidi w:val="0"/>
        <w:spacing w:before="0" w:after="0"/>
        <w:ind w:left="0" w:right="0" w:firstLine="720"/>
        <w:jc w:val="left"/>
        <w:rPr/>
      </w:pPr>
      <w:r>
        <w:rPr/>
      </w:r>
    </w:p>
    <w:p>
      <w:pPr>
        <w:pStyle w:val="TextBody"/>
        <w:bidi w:val="0"/>
        <w:spacing w:lineRule="auto" w:line="264"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Viper TWR Acquisition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 2024 Viper and Viper LLC completed the Viper TWR Acquisition for consideration consisting of approximately $459 million of cash and 10.09 million Viper LLC units, subject to customary post-closing adjustments, and the TWR Class B Option. Additionally, the Viper TWR Acquisition contemplates contingent cash consideration of up to $41 million payable in January of 2026, based on the WTI 2025 Average. The mineral and royalty interests acquired in the Viper TWR Acquisition represent approximately 3,067 net royalty acres located primarily in the Permian Basin.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See Note 17—</w:t>
      </w:r>
      <w:hyperlink w:anchor="i09b7444577484ae3b81bbbd98957e58f_91">
        <w:r>
          <w:rPr>
            <w:rStyle w:val="InternetLink"/>
            <w:rFonts w:ascii="Times New Roman;sans-serif" w:hAnsi="Times New Roman;sans-serif"/>
            <w:b w:val="false"/>
            <w:color w:val="0000FF"/>
            <w:sz w:val="20"/>
            <w:u w:val="single"/>
          </w:rPr>
          <w:t>Subsequent Events</w:t>
        </w:r>
      </w:hyperlink>
      <w:r>
        <w:rPr>
          <w:color w:val="000000"/>
        </w:rPr>
        <w:t xml:space="preserve"> </w:t>
      </w:r>
      <w:r>
        <w:rPr>
          <w:rFonts w:ascii="Times New Roman;sans-serif" w:hAnsi="Times New Roman;sans-serif"/>
          <w:b w:val="false"/>
          <w:color w:val="000000"/>
          <w:sz w:val="20"/>
        </w:rPr>
        <w:t>of the condensed notes to the consolidated financial statements for further discussion of the transactions above.</w:t>
      </w:r>
    </w:p>
    <w:p>
      <w:pPr>
        <w:pStyle w:val="TextBody"/>
        <w:bidi w:val="0"/>
        <w:spacing w:before="0" w:after="0"/>
        <w:ind w:left="0" w:right="0" w:firstLine="720"/>
        <w:jc w:val="both"/>
        <w:rPr/>
      </w:pPr>
      <w:r>
        <w:rPr/>
      </w:r>
    </w:p>
    <w:p>
      <w:pPr>
        <w:pStyle w:val="TextBody"/>
        <w:bidi w:val="0"/>
        <w:spacing w:lineRule="auto" w:line="264"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Endeavor Acquisition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10, 2024, we completed the Endeavor Acquisition for consideration consisting of $7.3 billion in cash, subject to certain customary post-closing adjustments, and approximately 117.27 million shares of our common stock. The Endeavor Acquisition included approximately 500,849 gross (361,927 net) acres, which are primarily located in the Permian Basin.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See Note 5—</w:t>
      </w:r>
      <w:hyperlink w:anchor="i09b7444577484ae3b81bbbd98957e58f_88">
        <w:r>
          <w:rPr>
            <w:rStyle w:val="InternetLink"/>
            <w:rFonts w:ascii="Times New Roman;sans-serif" w:hAnsi="Times New Roman;sans-serif"/>
            <w:b w:val="false"/>
            <w:color w:val="0000FF"/>
            <w:sz w:val="20"/>
            <w:u w:val="single"/>
          </w:rPr>
          <w:t>Endeavor Energy Resources, LP Acquisition</w:t>
        </w:r>
      </w:hyperlink>
      <w:r>
        <w:rPr>
          <w:color w:val="000000"/>
        </w:rPr>
        <w:t xml:space="preserve"> </w:t>
      </w:r>
      <w:r>
        <w:rPr>
          <w:rFonts w:ascii="Times New Roman;sans-serif" w:hAnsi="Times New Roman;sans-serif"/>
          <w:b w:val="false"/>
          <w:color w:val="000000"/>
          <w:sz w:val="20"/>
        </w:rPr>
        <w:t>of the condensed notes to the consolidated financial statements for further discussion of the Endeavor Acquisition.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64"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Viper Q&amp;M Acquisitions</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3, 2024 Viper and Viper LLC completed the Viper Q Acquisition which consisted of approximately 406 net royalty acres primarily in the Permian Basin for a purchase price of $114 million in cash, subject to transaction costs and customary post-closing adjustments, and contingent cash consideration of up to $5 million payable in January of 2026.</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3, 2024 Viper and Viper LLC completed the Viper M Acquisition which consisted of approximately 267 net royalty acres primarily in the Permian Basin for a purchase price of $76 million in cash, subject to transaction costs and customary post-closing adjustments, and contingent cash consideration of up to $4 million payable in January of 2026.</w:t>
      </w:r>
    </w:p>
    <w:p>
      <w:pPr>
        <w:pStyle w:val="TextBody"/>
        <w:bidi w:val="0"/>
        <w:spacing w:before="0" w:after="0"/>
        <w:jc w:val="both"/>
        <w:rPr/>
      </w:pPr>
      <w:r>
        <w:rPr/>
      </w:r>
    </w:p>
    <w:p>
      <w:pPr>
        <w:pStyle w:val="TextBody"/>
        <w:bidi w:val="0"/>
        <w:spacing w:lineRule="auto" w:line="264"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WTG Midstream Transaction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15, 2024, the WTG joint venture completed the WTG Midstream Transaction, resulting in proceeds to us of 10.1 million common units of Energy Transfer LP and $190 million in cash, subject to customary closing adjustments. At the closing of the WTG Midstream Transaction, the value attributable to us for the 10.1 million common units was approximately $135 million, of which we received approximately $81 million and $54 million was held in escrow pursuant to an escrow agreement entered into by the WTG joint venture in connection with the initial transaction. The WTG Midstream Transaction resulted in a gain of approximately $76 million in the third quarter of 2024.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See Note 4—</w:t>
      </w:r>
      <w:hyperlink w:anchor="i09b7444577484ae3b81bbbd98957e58f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of the condensed notes to the consolidated financial statements for further discussion of the transactions above.</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Viper 2024 Equity Offering</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On September 13, 2024, Viper completed an underwritten public offering of approximately 11.50 million shares of its Class A Common Stock, which included 1.50 million shares issued pursuant to an option to purchase additional shares of Class A Common Stock granted to the underwriters, at a price to the public of $42.50 per share for total net proceeds to Viper of approximately $476 million, after the underwriters’ discount and transaction costs</w:t>
      </w:r>
      <w:r>
        <w:rPr>
          <w:rFonts w:ascii="Times New Roman;sans-serif" w:hAnsi="Times New Roman;sans-serif"/>
          <w:b w:val="false"/>
          <w:color w:val="000000"/>
          <w:sz w:val="20"/>
          <w:shd w:fill="FFFFFF" w:val="clear"/>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See Note 10—</w:t>
      </w:r>
      <w:hyperlink w:anchor="i09b7444577484ae3b81bbbd98957e58f_67">
        <w:r>
          <w:rPr>
            <w:rStyle w:val="InternetLink"/>
            <w:rFonts w:ascii="Times New Roman;sans-serif" w:hAnsi="Times New Roman;sans-serif"/>
            <w:b w:val="false"/>
            <w:color w:val="0000FF"/>
            <w:sz w:val="20"/>
            <w:u w:val="single"/>
          </w:rPr>
          <w:t>Stockholders' Equity and Earnings (Loss) Per Share</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for further discussion of the </w:t>
      </w:r>
      <w:r>
        <w:rPr>
          <w:rFonts w:ascii="Times New Roman;sans-serif" w:hAnsi="Times New Roman;sans-serif"/>
          <w:b w:val="false"/>
          <w:color w:val="000000"/>
          <w:sz w:val="20"/>
          <w:shd w:fill="FFFFFF" w:val="clear"/>
        </w:rPr>
        <w:t>Viper 2024 Equity Offering.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Commodity Prices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Prices for oil, natural gas and natural gas liquids are determined primarily by prevailing market conditions. Regional and worldwide economic activity, extreme weather conditions and other substantially variable factors influence market conditions for these products. These factors are beyond our control and are difficult to predict. During the nine months ended 2024 and 2023, WTI prices averaged $77.61 and $77.28 per Bbl, respectively, and Henry Hub prices averaged $2.22 and $2.58 per MMBtu, respectively.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For additional information around risks related to commodity prices, see </w:t>
      </w:r>
      <w:hyperlink w:anchor="i09b7444577484ae3b81bbbd98957e58f_157">
        <w:r>
          <w:rPr>
            <w:rStyle w:val="InternetLink"/>
            <w:rFonts w:ascii="Times New Roman;sans-serif" w:hAnsi="Times New Roman;sans-serif"/>
            <w:b w:val="false"/>
            <w:color w:val="0000FF"/>
            <w:sz w:val="20"/>
            <w:u w:val="single"/>
          </w:rPr>
          <w:t>Part II. Item 3. Quantitative and Qualitative Disclosures About Market Risk—Commodity Price Risk</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Upstream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activities are primarily directed at the horizontal development of the Wolfcamp and Spraberry formations in the Midland Basin and the Wolfcamp and Bone Spring formations in the Delaware Basin within the Permian Basin. Additionally, our publicly-traded subsidiary, Viper, is focused on owning and acquiring mineral interests and royalty interests in oil and natural gas properties primarily in the Permian Basin and derives royalty income and lease bonus income from such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had approximately 870,303 net acres, which primarily consisted of approximately 715,956 net acres in the Midland Basin and 154,026 net acres in the Delaware Basin.</w:t>
      </w:r>
    </w:p>
    <w:p>
      <w:pPr>
        <w:pStyle w:val="TextBody"/>
        <w:bidi w:val="0"/>
        <w:spacing w:before="0" w:after="0"/>
        <w:ind w:left="0" w:right="0" w:firstLine="72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total number of operated horizontal wells drilled and completed during the periods indicated:</w:t>
      </w:r>
    </w:p>
    <w:p>
      <w:pPr>
        <w:pStyle w:val="TextBody"/>
        <w:bidi w:val="0"/>
        <w:spacing w:before="0" w:after="0"/>
        <w:ind w:left="0" w:right="0" w:firstLine="720"/>
        <w:jc w:val="both"/>
        <w:rPr/>
      </w:pPr>
      <w:r>
        <w:rPr/>
      </w:r>
    </w:p>
    <w:tbl>
      <w:tblPr>
        <w:tblW w:w="9373" w:type="dxa"/>
        <w:jc w:val="left"/>
        <w:tblInd w:w="0" w:type="dxa"/>
        <w:tblLayout w:type="fixed"/>
        <w:tblCellMar>
          <w:top w:w="28" w:type="dxa"/>
          <w:left w:w="28" w:type="dxa"/>
          <w:bottom w:w="28" w:type="dxa"/>
          <w:right w:w="28" w:type="dxa"/>
        </w:tblCellMar>
      </w:tblPr>
      <w:tblGrid>
        <w:gridCol w:w="497"/>
        <w:gridCol w:w="439"/>
        <w:gridCol w:w="443"/>
        <w:gridCol w:w="185"/>
        <w:gridCol w:w="185"/>
        <w:gridCol w:w="186"/>
        <w:gridCol w:w="157"/>
        <w:gridCol w:w="157"/>
        <w:gridCol w:w="157"/>
        <w:gridCol w:w="181"/>
        <w:gridCol w:w="180"/>
        <w:gridCol w:w="175"/>
        <w:gridCol w:w="157"/>
        <w:gridCol w:w="157"/>
        <w:gridCol w:w="157"/>
        <w:gridCol w:w="196"/>
        <w:gridCol w:w="179"/>
        <w:gridCol w:w="181"/>
        <w:gridCol w:w="157"/>
        <w:gridCol w:w="157"/>
        <w:gridCol w:w="157"/>
        <w:gridCol w:w="233"/>
        <w:gridCol w:w="233"/>
        <w:gridCol w:w="175"/>
        <w:gridCol w:w="109"/>
        <w:gridCol w:w="109"/>
        <w:gridCol w:w="109"/>
        <w:gridCol w:w="233"/>
        <w:gridCol w:w="233"/>
        <w:gridCol w:w="186"/>
        <w:gridCol w:w="152"/>
        <w:gridCol w:w="152"/>
        <w:gridCol w:w="152"/>
        <w:gridCol w:w="265"/>
        <w:gridCol w:w="201"/>
        <w:gridCol w:w="152"/>
        <w:gridCol w:w="152"/>
        <w:gridCol w:w="152"/>
        <w:gridCol w:w="152"/>
        <w:gridCol w:w="243"/>
        <w:gridCol w:w="223"/>
        <w:gridCol w:w="181"/>
        <w:gridCol w:w="152"/>
        <w:gridCol w:w="152"/>
        <w:gridCol w:w="152"/>
        <w:gridCol w:w="265"/>
        <w:gridCol w:w="201"/>
        <w:gridCol w:w="214"/>
      </w:tblGrid>
      <w:tr>
        <w:trPr/>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2024</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Drilled</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Completed</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Drilled</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Completed</w:t>
            </w:r>
            <w:r>
              <w:rPr>
                <w:rFonts w:ascii="Times New Roman;sans-serif" w:hAnsi="Times New Roman;sans-serif"/>
                <w:b/>
                <w:color w:val="000000"/>
                <w:sz w:val="12"/>
              </w:rPr>
              <w:t>(3)</w:t>
            </w:r>
          </w:p>
        </w:tc>
      </w:tr>
      <w:tr>
        <w:trPr/>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Area:</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Net</w:t>
            </w:r>
            <w:r>
              <w:rPr>
                <w:rFonts w:ascii="Times New Roman;sans-serif" w:hAnsi="Times New Roman;sans-serif"/>
                <w:b/>
                <w:color w:val="000000"/>
                <w:sz w:val="12"/>
              </w:rPr>
              <w:t>(1)</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Net</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 Basin</w:t>
            </w:r>
          </w:p>
        </w:tc>
        <w:tc>
          <w:tcPr>
            <w:tcW w:w="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Basin</w:t>
            </w:r>
          </w:p>
        </w:tc>
        <w:tc>
          <w:tcPr>
            <w:tcW w:w="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two additional net wells drilled and nine net wells completed, respectively, from interests acquired in the Endeavor Acquisition during the first six months of 2024.</w:t>
      </w:r>
    </w:p>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average lateral length for the wells completed during the third quarter of 2024 was 12,238 feet. Operated completions during the third quarter of 2024 consisted of 22 Wolfcamp A wells, 21 Lower Spraberry wells, 15 Jo Mill wells, 14 Wolfcamp B wells, 12 Middle Spraberry wells, four Dean wells, four Third Bone Spring wells and three Upper Spraberry wells.</w:t>
      </w:r>
    </w:p>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average lateral length for the wells completed during the first nine months of 2024 was 11,645 feet. Operated completions during the first nine months of 2024 consisted of 72 Lower Spraberry wells, 61 Wolfcamp A wells, 45 Wolfcamp B wells, 40 Jo Mill wells, 34 Middle Spraberry wells, nine Wolfcamp D wells, nine Dean wells, six Upper Spraberry wells, four Third Bone Spring wells, one Second Bone Spring well and one Barnett well.</w:t>
      </w:r>
    </w:p>
    <w:p>
      <w:pPr>
        <w:pStyle w:val="TextBody"/>
        <w:bidi w:val="0"/>
        <w:spacing w:before="100" w:after="283"/>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operated the following wells:</w:t>
      </w:r>
    </w:p>
    <w:p>
      <w:pPr>
        <w:pStyle w:val="TextBody"/>
        <w:bidi w:val="0"/>
        <w:spacing w:before="0" w:after="0"/>
        <w:ind w:left="0" w:right="0" w:firstLine="720"/>
        <w:jc w:val="both"/>
        <w:rPr/>
      </w:pPr>
      <w:r>
        <w:rPr/>
      </w:r>
    </w:p>
    <w:tbl>
      <w:tblPr>
        <w:tblW w:w="7921" w:type="dxa"/>
        <w:jc w:val="left"/>
        <w:tblInd w:w="0" w:type="dxa"/>
        <w:tblLayout w:type="fixed"/>
        <w:tblCellMar>
          <w:top w:w="28" w:type="dxa"/>
          <w:left w:w="28" w:type="dxa"/>
          <w:bottom w:w="28" w:type="dxa"/>
          <w:right w:w="28" w:type="dxa"/>
        </w:tblCellMar>
      </w:tblPr>
      <w:tblGrid>
        <w:gridCol w:w="497"/>
        <w:gridCol w:w="439"/>
        <w:gridCol w:w="443"/>
        <w:gridCol w:w="308"/>
        <w:gridCol w:w="308"/>
        <w:gridCol w:w="186"/>
        <w:gridCol w:w="130"/>
        <w:gridCol w:w="130"/>
        <w:gridCol w:w="130"/>
        <w:gridCol w:w="308"/>
        <w:gridCol w:w="308"/>
        <w:gridCol w:w="130"/>
        <w:gridCol w:w="109"/>
        <w:gridCol w:w="109"/>
        <w:gridCol w:w="109"/>
        <w:gridCol w:w="308"/>
        <w:gridCol w:w="308"/>
        <w:gridCol w:w="186"/>
        <w:gridCol w:w="153"/>
        <w:gridCol w:w="153"/>
        <w:gridCol w:w="153"/>
        <w:gridCol w:w="352"/>
        <w:gridCol w:w="264"/>
        <w:gridCol w:w="153"/>
        <w:gridCol w:w="109"/>
        <w:gridCol w:w="109"/>
        <w:gridCol w:w="109"/>
        <w:gridCol w:w="308"/>
        <w:gridCol w:w="308"/>
        <w:gridCol w:w="186"/>
        <w:gridCol w:w="109"/>
        <w:gridCol w:w="109"/>
        <w:gridCol w:w="109"/>
        <w:gridCol w:w="308"/>
        <w:gridCol w:w="308"/>
        <w:gridCol w:w="175"/>
      </w:tblGrid>
      <w:tr>
        <w:trPr/>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 2024</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Vertical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Horizontal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Area:</w:t>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 Basin</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Basin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7,508 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held interests in 28,920 gross (7,774 net) wells, including 2,051 gross (267 net) wells in which we have a non-operated working interest.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Guidance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production and capital expenditures to increase in the fourth quarter of 2024 due to the Endeavor Acquisition and to a lesser extent the Viper Q&amp;M Acquisitions and the Viper TWR Acquisition. Well performance continues to meet or exceed expectations in our core Midland Basin position, which we believe will allow us to continue to execute on our plan and achieve additional capital efficiency gains.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current estimates, which give effect to the Endeavor Acquisition, of certain financial and operating results for the full year of 2024 and the fourth quarter of 2024:</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tbl>
      <w:tblPr>
        <w:tblW w:w="6600" w:type="dxa"/>
        <w:jc w:val="left"/>
        <w:tblInd w:w="0" w:type="dxa"/>
        <w:tblLayout w:type="fixed"/>
        <w:tblCellMar>
          <w:top w:w="28" w:type="dxa"/>
          <w:left w:w="28" w:type="dxa"/>
          <w:bottom w:w="28" w:type="dxa"/>
          <w:right w:w="28" w:type="dxa"/>
        </w:tblCellMar>
      </w:tblPr>
      <w:tblGrid>
        <w:gridCol w:w="1561"/>
        <w:gridCol w:w="1370"/>
        <w:gridCol w:w="1374"/>
        <w:gridCol w:w="671"/>
        <w:gridCol w:w="671"/>
        <w:gridCol w:w="953"/>
      </w:tblGrid>
      <w:tr>
        <w:trPr/>
        <w:tc>
          <w:tcPr>
            <w:tcW w:w="1561"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2024 Guidance</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production - MBOE/d</w:t>
            </w:r>
          </w:p>
        </w:tc>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587 - 590 (from 462 - 470)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production - MBO/d</w:t>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335 - 337 (from 273 - 276)</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Q4 2024 oil production - MBO/d (total - MBOE/d)</w:t>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470 - 475 (840 - 850)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(Q4 2024 Unit costs $/BOE):</w:t>
            </w:r>
          </w:p>
        </w:tc>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including workovers</w:t>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$5.90 - $6.20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 cash</w:t>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$0.55 - $0.65</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$0.25 - $0.40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$14.00 - $15.00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interest income)</w:t>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$0.25 - $0.50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Gathering, processing and transportation</w:t>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$1.60 - $1.80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 (% of revenue)</w:t>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tax rate (% of pre-tax income)</w:t>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tax rate (% of pre-tax income)</w:t>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 - 18%</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Q4 2024 cash taxes (in millions)</w:t>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$240 - $300</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September 30, 2024 and June 30, 2024</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noted in “</w:t>
      </w:r>
      <w:r>
        <w:rPr>
          <w:color w:val="000000"/>
        </w:rPr>
        <w:t>—</w:t>
      </w:r>
      <w:hyperlink w:anchor="i09b7444577484ae3b81bbbd98957e58f_112">
        <w:r>
          <w:rPr>
            <w:rStyle w:val="InternetLink"/>
            <w:rFonts w:ascii="Times New Roman;sans-serif" w:hAnsi="Times New Roman;sans-serif"/>
            <w:b w:val="false"/>
            <w:i/>
            <w:color w:val="0000FF"/>
            <w:sz w:val="20"/>
            <w:u w:val="single"/>
          </w:rPr>
          <w:t>Commodity Prices</w:t>
        </w:r>
      </w:hyperlink>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markets for oil and natural gas are highly volatile and are influenced by a number of factors which can lead to significant changes in our results of operations and management’s operational strategy on a quarterly basis. Accordingly, our results of operations discussion focuses on a comparison of the current quarter’s results of operations with those of the immediately preceding quarter. We believe our discussion provides investors with a more meaningful analysis of material operational and financial changes which occurred during the quarter based on current market and operational trends.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operating data for the three months ended September 30, 2024 and June 30, 2024:</w:t>
      </w:r>
    </w:p>
    <w:p>
      <w:pPr>
        <w:pStyle w:val="TextBody"/>
        <w:bidi w:val="0"/>
        <w:spacing w:before="0" w:after="0"/>
        <w:ind w:left="0" w:right="0" w:firstLine="720"/>
        <w:jc w:val="both"/>
        <w:rPr/>
      </w:pPr>
      <w:r>
        <w:rPr/>
      </w:r>
    </w:p>
    <w:tbl>
      <w:tblPr>
        <w:tblW w:w="7512" w:type="dxa"/>
        <w:jc w:val="left"/>
        <w:tblInd w:w="0" w:type="dxa"/>
        <w:tblLayout w:type="fixed"/>
        <w:tblCellMar>
          <w:top w:w="28" w:type="dxa"/>
          <w:left w:w="28" w:type="dxa"/>
          <w:bottom w:w="28" w:type="dxa"/>
          <w:right w:w="28" w:type="dxa"/>
        </w:tblCellMar>
      </w:tblPr>
      <w:tblGrid>
        <w:gridCol w:w="1587"/>
        <w:gridCol w:w="1391"/>
        <w:gridCol w:w="1402"/>
        <w:gridCol w:w="362"/>
        <w:gridCol w:w="1056"/>
        <w:gridCol w:w="187"/>
        <w:gridCol w:w="109"/>
        <w:gridCol w:w="109"/>
        <w:gridCol w:w="109"/>
        <w:gridCol w:w="258"/>
        <w:gridCol w:w="754"/>
        <w:gridCol w:w="188"/>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Revenues (In millions):</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natural gas and natural gas liquid revenues</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66,519 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52,541 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oil volumes (BO/d)</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321,054 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276,143 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combined volumes (BOE/d)</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571,098 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474,670 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Average Prices:</w:t>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 per Bbl)</w:t>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 per Mcf)</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 per Bbl)</w:t>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 per BOE)</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Oil, hedged ($ per Bbl)</w:t>
            </w:r>
            <w:r>
              <w:rPr>
                <w:rFonts w:ascii="Times New Roman;sans-serif" w:hAnsi="Times New Roman;sans-serif"/>
                <w:b w:val="false"/>
                <w:color w:val="000000"/>
                <w:sz w:val="13"/>
              </w:rPr>
              <w:t>(2)</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Natural gas, hedged ($ per Mcf)</w:t>
            </w:r>
            <w:r>
              <w:rPr>
                <w:rFonts w:ascii="Times New Roman;sans-serif" w:hAnsi="Times New Roman;sans-serif"/>
                <w:b w:val="false"/>
                <w:color w:val="000000"/>
                <w:sz w:val="13"/>
              </w:rPr>
              <w:t>(2)</w:t>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Natural gas liquids, hedged ($ per Bbl)</w:t>
            </w:r>
            <w:r>
              <w:rPr>
                <w:rFonts w:ascii="Times New Roman;sans-serif" w:hAnsi="Times New Roman;sans-serif"/>
                <w:b w:val="false"/>
                <w:color w:val="000000"/>
                <w:sz w:val="13"/>
              </w:rPr>
              <w:t>(2)</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Average price, hedged ($ per BOE)</w:t>
            </w:r>
            <w:r>
              <w:rPr>
                <w:rFonts w:ascii="Times New Roman;sans-serif" w:hAnsi="Times New Roman;sans-serif"/>
                <w:b w:val="false"/>
                <w:color w:val="000000"/>
                <w:sz w:val="13"/>
              </w:rPr>
              <w:t>(2)</w:t>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(1)Bbl equivalents are calculated using a conversion rate of six Mcf per Bbl.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Production Data. </w:t>
      </w:r>
      <w:r>
        <w:rPr>
          <w:rFonts w:ascii="Times New Roman;sans-serif" w:hAnsi="Times New Roman;sans-serif"/>
          <w:b w:val="false"/>
          <w:color w:val="000000"/>
          <w:sz w:val="20"/>
        </w:rPr>
        <w:t>Substantially all of our revenues are generated through the sale of oil, natural gas and natural gas liquids production. The following tables provide information on the mix of our production for the three months ended September 30, 2024 and June 30, 2024:</w:t>
      </w:r>
    </w:p>
    <w:p>
      <w:pPr>
        <w:pStyle w:val="TextBody"/>
        <w:bidi w:val="0"/>
        <w:spacing w:before="0" w:after="0"/>
        <w:ind w:left="0" w:right="0" w:firstLine="720"/>
        <w:jc w:val="both"/>
        <w:rPr/>
      </w:pPr>
      <w:r>
        <w:rPr/>
      </w:r>
    </w:p>
    <w:tbl>
      <w:tblPr>
        <w:tblW w:w="5609" w:type="dxa"/>
        <w:jc w:val="left"/>
        <w:tblInd w:w="0" w:type="dxa"/>
        <w:tblLayout w:type="fixed"/>
        <w:tblCellMar>
          <w:top w:w="28" w:type="dxa"/>
          <w:left w:w="28" w:type="dxa"/>
          <w:bottom w:w="28" w:type="dxa"/>
          <w:right w:w="28" w:type="dxa"/>
        </w:tblCellMar>
      </w:tblPr>
      <w:tblGrid>
        <w:gridCol w:w="857"/>
        <w:gridCol w:w="753"/>
        <w:gridCol w:w="760"/>
        <w:gridCol w:w="357"/>
        <w:gridCol w:w="357"/>
        <w:gridCol w:w="891"/>
        <w:gridCol w:w="145"/>
        <w:gridCol w:w="145"/>
        <w:gridCol w:w="145"/>
        <w:gridCol w:w="244"/>
        <w:gridCol w:w="244"/>
        <w:gridCol w:w="711"/>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8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7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both"/>
        <w:rPr/>
      </w:pPr>
      <w:r>
        <w:rPr/>
      </w:r>
    </w:p>
    <w:tbl>
      <w:tblPr>
        <w:tblW w:w="10266" w:type="dxa"/>
        <w:jc w:val="left"/>
        <w:tblInd w:w="0" w:type="dxa"/>
        <w:tblLayout w:type="fixed"/>
        <w:tblCellMar>
          <w:top w:w="28" w:type="dxa"/>
          <w:left w:w="28" w:type="dxa"/>
          <w:bottom w:w="28" w:type="dxa"/>
          <w:right w:w="28" w:type="dxa"/>
        </w:tblCellMar>
      </w:tblPr>
      <w:tblGrid>
        <w:gridCol w:w="353"/>
        <w:gridCol w:w="311"/>
        <w:gridCol w:w="312"/>
        <w:gridCol w:w="414"/>
        <w:gridCol w:w="307"/>
        <w:gridCol w:w="256"/>
        <w:gridCol w:w="109"/>
        <w:gridCol w:w="109"/>
        <w:gridCol w:w="109"/>
        <w:gridCol w:w="434"/>
        <w:gridCol w:w="287"/>
        <w:gridCol w:w="276"/>
        <w:gridCol w:w="109"/>
        <w:gridCol w:w="109"/>
        <w:gridCol w:w="109"/>
        <w:gridCol w:w="233"/>
        <w:gridCol w:w="233"/>
        <w:gridCol w:w="186"/>
        <w:gridCol w:w="109"/>
        <w:gridCol w:w="109"/>
        <w:gridCol w:w="109"/>
        <w:gridCol w:w="360"/>
        <w:gridCol w:w="361"/>
        <w:gridCol w:w="171"/>
        <w:gridCol w:w="109"/>
        <w:gridCol w:w="109"/>
        <w:gridCol w:w="109"/>
        <w:gridCol w:w="414"/>
        <w:gridCol w:w="307"/>
        <w:gridCol w:w="256"/>
        <w:gridCol w:w="109"/>
        <w:gridCol w:w="109"/>
        <w:gridCol w:w="109"/>
        <w:gridCol w:w="434"/>
        <w:gridCol w:w="287"/>
        <w:gridCol w:w="276"/>
        <w:gridCol w:w="109"/>
        <w:gridCol w:w="109"/>
        <w:gridCol w:w="109"/>
        <w:gridCol w:w="185"/>
        <w:gridCol w:w="185"/>
        <w:gridCol w:w="186"/>
        <w:gridCol w:w="109"/>
        <w:gridCol w:w="109"/>
        <w:gridCol w:w="109"/>
        <w:gridCol w:w="360"/>
        <w:gridCol w:w="361"/>
        <w:gridCol w:w="23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2024</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(MBOE)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9,039 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52,541 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Oil, Natural Gas and Natural Gas Liquids Revenues.</w:t>
      </w:r>
      <w:r>
        <w:rPr>
          <w:color w:val="000000"/>
        </w:rPr>
        <w:t xml:space="preserve"> </w:t>
      </w:r>
      <w:r>
        <w:rPr>
          <w:rFonts w:ascii="Times New Roman;sans-serif" w:hAnsi="Times New Roman;sans-serif"/>
          <w:b w:val="false"/>
          <w:color w:val="000000"/>
          <w:sz w:val="20"/>
        </w:rPr>
        <w:t>Our revenues are a function of oil, natural gas and natural gas liquids production volumes sold and average sales prices received for those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oil, natural gas and natural gas liquids revenues for the third quarter of 2024 increased by $180 million to $2.4 billion compared to the second quarter of 2024. The net increase was due to an additional $395 million attributable to the 22% increase in our combined volumes sold due primarily to the Endeavor Acquisition, which was partially offset by a $215 million decrease attributable to lower average prices received primarily for our oil, and to a lesser extent our natural gas and natural gas liquids production.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Net Sales of Purchased Oil</w:t>
      </w:r>
      <w:r>
        <w:rPr>
          <w:rFonts w:ascii="Times New Roman;sans-serif" w:hAnsi="Times New Roman;sans-serif"/>
          <w:b w:val="false"/>
          <w:color w:val="000000"/>
          <w:sz w:val="20"/>
        </w:rPr>
        <w:t>. We have entered into purchase transactions and separate sales transactions with third parties to satisfy certain of our unused oil pipeline capacity commitments. The following table presents the net sales of purchased oil from third parties for the three months ended September 30, 2024 and June 30, 2024:</w:t>
      </w:r>
    </w:p>
    <w:p>
      <w:pPr>
        <w:pStyle w:val="TextBody"/>
        <w:bidi w:val="0"/>
        <w:spacing w:before="0" w:after="0"/>
        <w:ind w:left="0" w:right="0" w:firstLine="720"/>
        <w:jc w:val="both"/>
        <w:rPr/>
      </w:pPr>
      <w:r>
        <w:rPr/>
      </w:r>
    </w:p>
    <w:tbl>
      <w:tblPr>
        <w:tblW w:w="5320" w:type="dxa"/>
        <w:jc w:val="left"/>
        <w:tblInd w:w="0" w:type="dxa"/>
        <w:tblLayout w:type="fixed"/>
        <w:tblCellMar>
          <w:top w:w="28" w:type="dxa"/>
          <w:left w:w="28" w:type="dxa"/>
          <w:bottom w:w="28" w:type="dxa"/>
          <w:right w:w="28" w:type="dxa"/>
        </w:tblCellMar>
      </w:tblPr>
      <w:tblGrid>
        <w:gridCol w:w="793"/>
        <w:gridCol w:w="695"/>
        <w:gridCol w:w="702"/>
        <w:gridCol w:w="429"/>
        <w:gridCol w:w="950"/>
        <w:gridCol w:w="225"/>
        <w:gridCol w:w="109"/>
        <w:gridCol w:w="109"/>
        <w:gridCol w:w="109"/>
        <w:gridCol w:w="304"/>
        <w:gridCol w:w="673"/>
        <w:gridCol w:w="222"/>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oil</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oil expense</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sales of purchased oil</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Revenues.</w:t>
      </w:r>
      <w:r>
        <w:rPr>
          <w:color w:val="000000"/>
        </w:rPr>
        <w:t xml:space="preserve"> </w:t>
      </w:r>
      <w:r>
        <w:rPr>
          <w:rFonts w:ascii="Times New Roman;sans-serif" w:hAnsi="Times New Roman;sans-serif"/>
          <w:b w:val="false"/>
          <w:color w:val="000000"/>
          <w:sz w:val="20"/>
        </w:rPr>
        <w:t>The following table presents other insignificant revenue for the three months ended September 30, 2024 and June 30, 2024:</w:t>
      </w:r>
    </w:p>
    <w:p>
      <w:pPr>
        <w:pStyle w:val="TextBody"/>
        <w:bidi w:val="0"/>
        <w:spacing w:before="0" w:after="0"/>
        <w:ind w:left="0" w:right="0" w:firstLine="720"/>
        <w:jc w:val="both"/>
        <w:rPr/>
      </w:pPr>
      <w:r>
        <w:rPr/>
      </w:r>
    </w:p>
    <w:tbl>
      <w:tblPr>
        <w:tblW w:w="5228" w:type="dxa"/>
        <w:jc w:val="left"/>
        <w:tblInd w:w="0" w:type="dxa"/>
        <w:tblLayout w:type="fixed"/>
        <w:tblCellMar>
          <w:top w:w="28" w:type="dxa"/>
          <w:left w:w="28" w:type="dxa"/>
          <w:bottom w:w="28" w:type="dxa"/>
          <w:right w:w="28" w:type="dxa"/>
        </w:tblCellMar>
      </w:tblPr>
      <w:tblGrid>
        <w:gridCol w:w="738"/>
        <w:gridCol w:w="648"/>
        <w:gridCol w:w="654"/>
        <w:gridCol w:w="588"/>
        <w:gridCol w:w="712"/>
        <w:gridCol w:w="305"/>
        <w:gridCol w:w="128"/>
        <w:gridCol w:w="128"/>
        <w:gridCol w:w="128"/>
        <w:gridCol w:w="408"/>
        <w:gridCol w:w="495"/>
        <w:gridCol w:w="296"/>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Lease Operating Expenses.</w:t>
      </w:r>
      <w:r>
        <w:rPr>
          <w:color w:val="000000"/>
        </w:rPr>
        <w:t xml:space="preserve"> </w:t>
      </w:r>
      <w:r>
        <w:rPr>
          <w:rFonts w:ascii="Times New Roman;sans-serif" w:hAnsi="Times New Roman;sans-serif"/>
          <w:b w:val="false"/>
          <w:color w:val="000000"/>
          <w:sz w:val="20"/>
        </w:rPr>
        <w:t>The following table shows lease operating expenses for the three months ended September 30, 2024 and June 30, 2024:</w:t>
      </w:r>
    </w:p>
    <w:p>
      <w:pPr>
        <w:pStyle w:val="TextBody"/>
        <w:bidi w:val="0"/>
        <w:spacing w:before="0" w:after="0"/>
        <w:ind w:left="0" w:right="0" w:firstLine="720"/>
        <w:jc w:val="both"/>
        <w:rPr/>
      </w:pPr>
      <w:r>
        <w:rPr/>
      </w:r>
    </w:p>
    <w:tbl>
      <w:tblPr>
        <w:tblW w:w="7334" w:type="dxa"/>
        <w:jc w:val="left"/>
        <w:tblInd w:w="0" w:type="dxa"/>
        <w:tblLayout w:type="fixed"/>
        <w:tblCellMar>
          <w:top w:w="28" w:type="dxa"/>
          <w:left w:w="28" w:type="dxa"/>
          <w:bottom w:w="28" w:type="dxa"/>
          <w:right w:w="28" w:type="dxa"/>
        </w:tblCellMar>
      </w:tblPr>
      <w:tblGrid>
        <w:gridCol w:w="1112"/>
        <w:gridCol w:w="977"/>
        <w:gridCol w:w="985"/>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increased in total and on a per BOE basis for the third quarter of 2024 compared to the second quarter of 2024 primarily due to (i) a $38 million increase attributable to wells acquired as part of the Endeavor Acquisition, (ii) a $12 million increase in workover expense in the third quarter of 2024, (iii) a $9 million increase from higher legacy production volumes, and (iv) insignificant electrical generation and winterization costs.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Production and Ad Valorem Tax Expense.</w:t>
      </w:r>
      <w:r>
        <w:rPr>
          <w:color w:val="000000"/>
        </w:rPr>
        <w:t xml:space="preserve"> </w:t>
      </w:r>
      <w:r>
        <w:rPr>
          <w:rFonts w:ascii="Times New Roman;sans-serif" w:hAnsi="Times New Roman;sans-serif"/>
          <w:b w:val="false"/>
          <w:color w:val="000000"/>
          <w:sz w:val="20"/>
        </w:rPr>
        <w:t>The following table shows production and ad valorem tax expense for the three months ended September 30, 2024 and June 30, 2024:</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90"/>
        <w:gridCol w:w="455"/>
        <w:gridCol w:w="459"/>
        <w:gridCol w:w="211"/>
        <w:gridCol w:w="466"/>
        <w:gridCol w:w="109"/>
        <w:gridCol w:w="109"/>
        <w:gridCol w:w="109"/>
        <w:gridCol w:w="109"/>
        <w:gridCol w:w="211"/>
        <w:gridCol w:w="511"/>
        <w:gridCol w:w="109"/>
        <w:gridCol w:w="109"/>
        <w:gridCol w:w="109"/>
        <w:gridCol w:w="109"/>
        <w:gridCol w:w="409"/>
        <w:gridCol w:w="409"/>
        <w:gridCol w:w="1021"/>
        <w:gridCol w:w="109"/>
        <w:gridCol w:w="109"/>
        <w:gridCol w:w="109"/>
        <w:gridCol w:w="211"/>
        <w:gridCol w:w="466"/>
        <w:gridCol w:w="109"/>
        <w:gridCol w:w="109"/>
        <w:gridCol w:w="109"/>
        <w:gridCol w:w="109"/>
        <w:gridCol w:w="211"/>
        <w:gridCol w:w="511"/>
        <w:gridCol w:w="109"/>
        <w:gridCol w:w="109"/>
        <w:gridCol w:w="109"/>
        <w:gridCol w:w="109"/>
        <w:gridCol w:w="390"/>
        <w:gridCol w:w="384"/>
        <w:gridCol w:w="1119"/>
      </w:tblGrid>
      <w:tr>
        <w:trPr/>
        <w:tc>
          <w:tcPr>
            <w:tcW w:w="6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oil, natural gas and natural gas liquids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oil, natural gas and natural gas liquids revenue</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ad valorem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production taxes are directly related to production revenues and are based upon current year commodity prices. Production taxes as a percentage of oil, natural gas and natural gas liquids revenue remained consistent from the second quarter of 2024 to the third quarter of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 valorem taxes are based, among other factors, on property values driven by prior year commodity prices. Ad valorem taxes remained relatively consistent in total and per BOE during the third quarter of 2024 compared to the second quarter of 2024.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Gathering, Processing and Transportation Expense.</w:t>
      </w:r>
      <w:r>
        <w:rPr>
          <w:color w:val="000000"/>
        </w:rPr>
        <w:t xml:space="preserve"> </w:t>
      </w:r>
      <w:r>
        <w:rPr>
          <w:rFonts w:ascii="Times New Roman;sans-serif" w:hAnsi="Times New Roman;sans-serif"/>
          <w:b w:val="false"/>
          <w:color w:val="000000"/>
          <w:sz w:val="20"/>
        </w:rPr>
        <w:t>The following table shows gathering, processing and transportation expense for the three months ended September 30, 2024 and June 30, 2024:</w:t>
      </w:r>
    </w:p>
    <w:p>
      <w:pPr>
        <w:pStyle w:val="TextBody"/>
        <w:bidi w:val="0"/>
        <w:spacing w:before="0" w:after="0"/>
        <w:ind w:left="0" w:right="0" w:firstLine="720"/>
        <w:jc w:val="both"/>
        <w:rPr/>
      </w:pPr>
      <w:r>
        <w:rPr/>
      </w:r>
    </w:p>
    <w:tbl>
      <w:tblPr>
        <w:tblW w:w="7645" w:type="dxa"/>
        <w:jc w:val="left"/>
        <w:tblInd w:w="0" w:type="dxa"/>
        <w:tblLayout w:type="fixed"/>
        <w:tblCellMar>
          <w:top w:w="28" w:type="dxa"/>
          <w:left w:w="28" w:type="dxa"/>
          <w:bottom w:w="28" w:type="dxa"/>
          <w:right w:w="28" w:type="dxa"/>
        </w:tblCellMar>
      </w:tblPr>
      <w:tblGrid>
        <w:gridCol w:w="1237"/>
        <w:gridCol w:w="1087"/>
        <w:gridCol w:w="1096"/>
        <w:gridCol w:w="211"/>
        <w:gridCol w:w="466"/>
        <w:gridCol w:w="109"/>
        <w:gridCol w:w="109"/>
        <w:gridCol w:w="109"/>
        <w:gridCol w:w="109"/>
        <w:gridCol w:w="211"/>
        <w:gridCol w:w="511"/>
        <w:gridCol w:w="109"/>
        <w:gridCol w:w="109"/>
        <w:gridCol w:w="109"/>
        <w:gridCol w:w="109"/>
        <w:gridCol w:w="232"/>
        <w:gridCol w:w="398"/>
        <w:gridCol w:w="121"/>
        <w:gridCol w:w="109"/>
        <w:gridCol w:w="109"/>
        <w:gridCol w:w="109"/>
        <w:gridCol w:w="211"/>
        <w:gridCol w:w="511"/>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processing and transportation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gathering, processing and transportation expenses is primarily attributable to the growth in production volumes in the third quarter of 2024 compared to the second quarter of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Depreciation, Depletion, Amortization and Accretion.</w:t>
      </w:r>
      <w:r>
        <w:rPr>
          <w:color w:val="000000"/>
        </w:rPr>
        <w:t xml:space="preserve"> </w:t>
      </w:r>
      <w:r>
        <w:rPr>
          <w:rFonts w:ascii="Times New Roman;sans-serif" w:hAnsi="Times New Roman;sans-serif"/>
          <w:b w:val="false"/>
          <w:color w:val="000000"/>
          <w:sz w:val="20"/>
        </w:rPr>
        <w:t>The following table provides the components of our depreciation, depletion, amortization and accretion expense for the three months ended September 30, 2024 and June 30, 2024:</w:t>
      </w:r>
    </w:p>
    <w:p>
      <w:pPr>
        <w:pStyle w:val="TextBody"/>
        <w:bidi w:val="0"/>
        <w:spacing w:before="0" w:after="0"/>
        <w:ind w:left="0" w:right="0" w:firstLine="720"/>
        <w:jc w:val="both"/>
        <w:rPr/>
      </w:pPr>
      <w:r>
        <w:rPr/>
      </w:r>
    </w:p>
    <w:tbl>
      <w:tblPr>
        <w:tblW w:w="8397" w:type="dxa"/>
        <w:jc w:val="left"/>
        <w:tblInd w:w="0" w:type="dxa"/>
        <w:tblLayout w:type="fixed"/>
        <w:tblCellMar>
          <w:top w:w="28" w:type="dxa"/>
          <w:left w:w="28" w:type="dxa"/>
          <w:bottom w:w="28" w:type="dxa"/>
          <w:right w:w="28" w:type="dxa"/>
        </w:tblCellMar>
      </w:tblPr>
      <w:tblGrid>
        <w:gridCol w:w="1905"/>
        <w:gridCol w:w="1673"/>
        <w:gridCol w:w="1687"/>
        <w:gridCol w:w="362"/>
        <w:gridCol w:w="1056"/>
        <w:gridCol w:w="187"/>
        <w:gridCol w:w="109"/>
        <w:gridCol w:w="109"/>
        <w:gridCol w:w="109"/>
        <w:gridCol w:w="258"/>
        <w:gridCol w:w="754"/>
        <w:gridCol w:w="188"/>
      </w:tblGrid>
      <w:tr>
        <w:trPr/>
        <w:tc>
          <w:tcPr>
            <w:tcW w:w="190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BOE amounts)</w:t>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of proved oil and natural gas properties</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other property and equipment</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amortization</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 accretion</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depletion rate per BOE</w:t>
            </w:r>
          </w:p>
        </w:tc>
        <w:tc>
          <w:tcPr>
            <w:tcW w:w="3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1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8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 per BOE</w:t>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depletion of proved oil and natural gas properties of $256 million for the third quarter of 2024 compared to the second quarter of 2024 consists primarily of (i) $155 million due to an increase in the depletion rate, and (ii) $101 million from the growth in production volumes. The increase in depletion rate was due primarily to the addition of proved properties acquired in the Endeavor Acquisition and to a lesser extent, the Viper Q&amp;M Acquisitions.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General and Administrative Expenses.</w:t>
      </w:r>
      <w:r>
        <w:rPr>
          <w:color w:val="000000"/>
        </w:rPr>
        <w:t xml:space="preserve"> </w:t>
      </w:r>
      <w:r>
        <w:rPr>
          <w:rFonts w:ascii="Times New Roman;sans-serif" w:hAnsi="Times New Roman;sans-serif"/>
          <w:b w:val="false"/>
          <w:color w:val="000000"/>
          <w:sz w:val="20"/>
        </w:rPr>
        <w:t>The following table shows general and administrative expenses for the three months ended September 30, 2024 and June 30, 2024:</w:t>
      </w:r>
    </w:p>
    <w:p>
      <w:pPr>
        <w:pStyle w:val="TextBody"/>
        <w:bidi w:val="0"/>
        <w:spacing w:before="0" w:after="0"/>
        <w:ind w:left="0" w:right="0" w:firstLine="720"/>
        <w:jc w:val="both"/>
        <w:rPr/>
      </w:pPr>
      <w:r>
        <w:rPr/>
      </w:r>
    </w:p>
    <w:tbl>
      <w:tblPr>
        <w:tblW w:w="7730" w:type="dxa"/>
        <w:jc w:val="left"/>
        <w:tblInd w:w="0" w:type="dxa"/>
        <w:tblLayout w:type="fixed"/>
        <w:tblCellMar>
          <w:top w:w="28" w:type="dxa"/>
          <w:left w:w="28" w:type="dxa"/>
          <w:bottom w:w="28" w:type="dxa"/>
          <w:right w:w="28" w:type="dxa"/>
        </w:tblCellMar>
      </w:tblPr>
      <w:tblGrid>
        <w:gridCol w:w="1281"/>
        <w:gridCol w:w="1125"/>
        <w:gridCol w:w="1134"/>
        <w:gridCol w:w="232"/>
        <w:gridCol w:w="398"/>
        <w:gridCol w:w="121"/>
        <w:gridCol w:w="109"/>
        <w:gridCol w:w="109"/>
        <w:gridCol w:w="109"/>
        <w:gridCol w:w="211"/>
        <w:gridCol w:w="511"/>
        <w:gridCol w:w="109"/>
        <w:gridCol w:w="109"/>
        <w:gridCol w:w="109"/>
        <w:gridCol w:w="109"/>
        <w:gridCol w:w="232"/>
        <w:gridCol w:w="398"/>
        <w:gridCol w:w="121"/>
        <w:gridCol w:w="109"/>
        <w:gridCol w:w="109"/>
        <w:gridCol w:w="109"/>
        <w:gridCol w:w="211"/>
        <w:gridCol w:w="51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Operating Costs and Expenses.</w:t>
      </w:r>
      <w:r>
        <w:rPr>
          <w:color w:val="000000"/>
        </w:rPr>
        <w:t xml:space="preserve"> </w:t>
      </w:r>
      <w:r>
        <w:rPr>
          <w:rFonts w:ascii="Times New Roman;sans-serif" w:hAnsi="Times New Roman;sans-serif"/>
          <w:b w:val="false"/>
          <w:color w:val="000000"/>
          <w:sz w:val="20"/>
        </w:rPr>
        <w:t>The following table shows other operating costs and expenses for the three months ended September 30, 2024 and June 30, 2024:</w:t>
      </w:r>
    </w:p>
    <w:p>
      <w:pPr>
        <w:pStyle w:val="TextBody"/>
        <w:bidi w:val="0"/>
        <w:spacing w:before="0" w:after="0"/>
        <w:ind w:left="0" w:right="0" w:firstLine="720"/>
        <w:jc w:val="both"/>
        <w:rPr/>
      </w:pPr>
      <w:r>
        <w:rPr/>
      </w:r>
    </w:p>
    <w:tbl>
      <w:tblPr>
        <w:tblW w:w="5905" w:type="dxa"/>
        <w:jc w:val="left"/>
        <w:tblInd w:w="0" w:type="dxa"/>
        <w:tblLayout w:type="fixed"/>
        <w:tblCellMar>
          <w:top w:w="28" w:type="dxa"/>
          <w:left w:w="28" w:type="dxa"/>
          <w:bottom w:w="28" w:type="dxa"/>
          <w:right w:w="28" w:type="dxa"/>
        </w:tblCellMar>
      </w:tblPr>
      <w:tblGrid>
        <w:gridCol w:w="1004"/>
        <w:gridCol w:w="881"/>
        <w:gridCol w:w="889"/>
        <w:gridCol w:w="429"/>
        <w:gridCol w:w="950"/>
        <w:gridCol w:w="225"/>
        <w:gridCol w:w="109"/>
        <w:gridCol w:w="109"/>
        <w:gridCol w:w="109"/>
        <w:gridCol w:w="349"/>
        <w:gridCol w:w="597"/>
        <w:gridCol w:w="254"/>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integration expenses</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4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Merger and integration expenses for the third quarter of 2024 include (i) approximately $171 million in severance and accelerated incentive compensation payments to former Endeavor employees, (ii) approximately $78 million in investment banking and legal costs incurred upon the closing of the Endeavor Acquisition, and (iii) other individually insignificant items including SEC filing fees and other professional fees. See Note 5—</w:t>
      </w:r>
      <w:hyperlink w:anchor="i09b7444577484ae3b81bbbd98957e58f_88">
        <w:r>
          <w:rPr>
            <w:rStyle w:val="InternetLink"/>
            <w:rFonts w:ascii="Times New Roman;sans-serif" w:hAnsi="Times New Roman;sans-serif"/>
            <w:b w:val="false"/>
            <w:color w:val="0000FF"/>
            <w:sz w:val="20"/>
            <w:u w:val="single"/>
          </w:rPr>
          <w:t>Endeavor Energy Resources, LP Acquisition</w:t>
        </w:r>
      </w:hyperlink>
      <w:r>
        <w:rPr>
          <w:color w:val="000000"/>
        </w:rPr>
        <w:t xml:space="preserve"> </w:t>
      </w:r>
      <w:r>
        <w:rPr>
          <w:rFonts w:ascii="Times New Roman;sans-serif" w:hAnsi="Times New Roman;sans-serif"/>
          <w:b w:val="false"/>
          <w:color w:val="000000"/>
          <w:sz w:val="20"/>
        </w:rPr>
        <w:t>of the condensed notes to the consolidated financial statements for further details regarding the Endeavor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Derivative Instruments.</w:t>
      </w:r>
      <w:r>
        <w:rPr>
          <w:color w:val="000000"/>
        </w:rPr>
        <w:t xml:space="preserve"> </w:t>
      </w:r>
      <w:r>
        <w:rPr>
          <w:rFonts w:ascii="Times New Roman;sans-serif" w:hAnsi="Times New Roman;sans-serif"/>
          <w:b w:val="false"/>
          <w:color w:val="000000"/>
          <w:sz w:val="20"/>
        </w:rPr>
        <w:t>The following table shows the net gain (loss) on derivative instruments and the net cash receipts (payments) on settlements of derivative instruments for the three months ended September 30, 2024 and June 30, 2024:</w:t>
      </w:r>
    </w:p>
    <w:p>
      <w:pPr>
        <w:pStyle w:val="TextBody"/>
        <w:bidi w:val="0"/>
        <w:spacing w:before="0" w:after="0"/>
        <w:ind w:left="0" w:right="0" w:firstLine="720"/>
        <w:jc w:val="both"/>
        <w:rPr/>
      </w:pPr>
      <w:r>
        <w:rPr/>
      </w:r>
    </w:p>
    <w:tbl>
      <w:tblPr>
        <w:tblW w:w="6744" w:type="dxa"/>
        <w:jc w:val="left"/>
        <w:tblInd w:w="0" w:type="dxa"/>
        <w:tblLayout w:type="fixed"/>
        <w:tblCellMar>
          <w:top w:w="28" w:type="dxa"/>
          <w:left w:w="28" w:type="dxa"/>
          <w:bottom w:w="28" w:type="dxa"/>
          <w:right w:w="28" w:type="dxa"/>
        </w:tblCellMar>
      </w:tblPr>
      <w:tblGrid>
        <w:gridCol w:w="1308"/>
        <w:gridCol w:w="1145"/>
        <w:gridCol w:w="1161"/>
        <w:gridCol w:w="429"/>
        <w:gridCol w:w="950"/>
        <w:gridCol w:w="225"/>
        <w:gridCol w:w="109"/>
        <w:gridCol w:w="109"/>
        <w:gridCol w:w="109"/>
        <w:gridCol w:w="316"/>
        <w:gridCol w:w="653"/>
        <w:gridCol w:w="230"/>
      </w:tblGrid>
      <w:tr>
        <w:trPr/>
        <w:tc>
          <w:tcPr>
            <w:tcW w:w="130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Gain (loss) on derivative instruments, net</w:t>
            </w:r>
            <w:r>
              <w:rPr>
                <w:rFonts w:ascii="Times New Roman;sans-serif" w:hAnsi="Times New Roman;sans-serif"/>
                <w:b w:val="false"/>
                <w:color w:val="000000"/>
                <w:sz w:val="13"/>
              </w:rPr>
              <w:t>(1)</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cash received (paid) on settlements</w:t>
            </w:r>
            <w:r>
              <w:rPr>
                <w:rFonts w:ascii="Times New Roman;sans-serif" w:hAnsi="Times New Roman;sans-serif"/>
                <w:b w:val="false"/>
                <w:color w:val="000000"/>
                <w:sz w:val="13"/>
              </w:rPr>
              <w:t>(1)</w:t>
            </w:r>
          </w:p>
        </w:tc>
        <w:tc>
          <w:tcPr>
            <w:tcW w:w="4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three months ended September 30, 2024 includes cash paid on interest rate swaps terminated prior to their contractual maturity of $37 million.</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gain (loss) on derivative instruments for the third quarter of 2024 compared to the second quarter of 2024 primarily reflects (i) a net increase in the value of interest rate swaps of $53 million due primarily to a decrease in future SOFR rates, (ii) a net increase in the value of our commodity contracts of $36 million due to changes in commodity futures pricing compared to our contract prices, (iii) a net $15 million decrease in cash paid on the settlement and early termination of interest rate derivatives, and (iv) an increase of $9 million in cash received primarily on settlements of natural gas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13—</w:t>
      </w:r>
      <w:hyperlink w:anchor="i09b7444577484ae3b81bbbd98957e58f_76">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condensed notes to the consolidated financial statements for further details regarding our 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Income (Expense).</w:t>
      </w:r>
      <w:r>
        <w:rPr>
          <w:color w:val="000000"/>
        </w:rPr>
        <w:t xml:space="preserve"> </w:t>
      </w:r>
      <w:r>
        <w:rPr>
          <w:rFonts w:ascii="Times New Roman;sans-serif" w:hAnsi="Times New Roman;sans-serif"/>
          <w:b w:val="false"/>
          <w:color w:val="000000"/>
          <w:sz w:val="20"/>
        </w:rPr>
        <w:t>The following table shows other income and expenses for the three months ended September 30, 2024 and June 30, 2024:</w:t>
      </w:r>
    </w:p>
    <w:p>
      <w:pPr>
        <w:pStyle w:val="TextBody"/>
        <w:bidi w:val="0"/>
        <w:spacing w:before="0" w:after="0"/>
        <w:ind w:left="0" w:right="0" w:firstLine="720"/>
        <w:jc w:val="both"/>
        <w:rPr/>
      </w:pPr>
      <w:r>
        <w:rPr/>
      </w:r>
    </w:p>
    <w:tbl>
      <w:tblPr>
        <w:tblW w:w="6685" w:type="dxa"/>
        <w:jc w:val="left"/>
        <w:tblInd w:w="0" w:type="dxa"/>
        <w:tblLayout w:type="fixed"/>
        <w:tblCellMar>
          <w:top w:w="28" w:type="dxa"/>
          <w:left w:w="28" w:type="dxa"/>
          <w:bottom w:w="28" w:type="dxa"/>
          <w:right w:w="28" w:type="dxa"/>
        </w:tblCellMar>
      </w:tblPr>
      <w:tblGrid>
        <w:gridCol w:w="1286"/>
        <w:gridCol w:w="1130"/>
        <w:gridCol w:w="1139"/>
        <w:gridCol w:w="486"/>
        <w:gridCol w:w="865"/>
        <w:gridCol w:w="253"/>
        <w:gridCol w:w="109"/>
        <w:gridCol w:w="109"/>
        <w:gridCol w:w="109"/>
        <w:gridCol w:w="316"/>
        <w:gridCol w:w="653"/>
        <w:gridCol w:w="230"/>
      </w:tblGrid>
      <w:tr>
        <w:trPr/>
        <w:tc>
          <w:tcPr>
            <w:tcW w:w="128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4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 net</w:t>
            </w:r>
          </w:p>
        </w:tc>
        <w:tc>
          <w:tcPr>
            <w:tcW w:w="4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interest expense, net for the third quarter of 2024 compared to the second quarter of 2024 primarily consists of (i) a $25 million increase in capitalized interest costs, which reduces interest expense, and (ii) an $18 million decrease in debt amortization costs primarily due to expensing costs associated with the Company’s terminated Bridge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2024. These decreases were partially offset by (i) an additional $15 million in interest expense on senior notes due to the April 2024 Notes being outstanding for the full third quarter of 2024, (ii) a $5 million increase in interest expense related to the Company’s draws on its Tranche A Loans and revolving credit facility during the third quarter of 2024, and (ii) other individually insignificant changes.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9—</w:t>
      </w:r>
      <w:hyperlink w:anchor="i09b7444577484ae3b81bbbd98957e58f_64">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condensed notes to the consolidated financial statements for further details regarding outstanding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other income (expense), net for the third quarter of 2024 compared to the second quarter of 2024 is primarily attributable to a gain recorded on the WTG Midstream Transaction of approximately $76 million during the third quarter of 2024.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4—</w:t>
      </w:r>
      <w:hyperlink w:anchor="i09b7444577484ae3b81bbbd98957e58f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of the condensed notes to the consolidated financial statements for further details regarding the Company’s divestiture activity.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Provision for (Benefit from) Income Taxes. </w:t>
      </w:r>
      <w:r>
        <w:rPr>
          <w:rFonts w:ascii="Times New Roman;sans-serif" w:hAnsi="Times New Roman;sans-serif"/>
          <w:b w:val="false"/>
          <w:color w:val="000000"/>
          <w:sz w:val="20"/>
        </w:rPr>
        <w:t>The following table shows the provision for (benefit from) income taxes for the three months ended September 30, 2024 and June 30, 2024:</w:t>
      </w:r>
    </w:p>
    <w:p>
      <w:pPr>
        <w:pStyle w:val="TextBody"/>
        <w:bidi w:val="0"/>
        <w:spacing w:before="0" w:after="0"/>
        <w:ind w:left="0" w:right="0" w:firstLine="720"/>
        <w:jc w:val="both"/>
        <w:rPr/>
      </w:pPr>
      <w:r>
        <w:rPr/>
      </w:r>
    </w:p>
    <w:tbl>
      <w:tblPr>
        <w:tblW w:w="6565" w:type="dxa"/>
        <w:jc w:val="left"/>
        <w:tblInd w:w="0" w:type="dxa"/>
        <w:tblLayout w:type="fixed"/>
        <w:tblCellMar>
          <w:top w:w="28" w:type="dxa"/>
          <w:left w:w="28" w:type="dxa"/>
          <w:bottom w:w="28" w:type="dxa"/>
          <w:right w:w="28" w:type="dxa"/>
        </w:tblCellMar>
      </w:tblPr>
      <w:tblGrid>
        <w:gridCol w:w="1243"/>
        <w:gridCol w:w="1091"/>
        <w:gridCol w:w="1101"/>
        <w:gridCol w:w="429"/>
        <w:gridCol w:w="950"/>
        <w:gridCol w:w="225"/>
        <w:gridCol w:w="109"/>
        <w:gridCol w:w="109"/>
        <w:gridCol w:w="109"/>
        <w:gridCol w:w="304"/>
        <w:gridCol w:w="673"/>
        <w:gridCol w:w="222"/>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change in our income tax provision for the third quarter of 2024 compared to the second quarter of 2024 was primarily due to the decrease in pre-tax income between the periods which resulted largely from changes in revenues and operating expenses as discussed above. See Note 12—</w:t>
      </w:r>
      <w:hyperlink w:anchor="i09b7444577484ae3b81bbbd98957e58f_73">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of the condensed notes to the consolidated financial statements for further discussion of our income tax expense.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7"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Nine Months Ended September 30, 2024 and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operating data for the nine months ended September 30, 2024 and 2023:</w:t>
      </w:r>
    </w:p>
    <w:p>
      <w:pPr>
        <w:pStyle w:val="TextBody"/>
        <w:bidi w:val="0"/>
        <w:spacing w:before="0" w:after="0"/>
        <w:ind w:left="0" w:right="0" w:firstLine="720"/>
        <w:jc w:val="both"/>
        <w:rPr/>
      </w:pPr>
      <w:r>
        <w:rPr/>
      </w:r>
    </w:p>
    <w:tbl>
      <w:tblPr>
        <w:tblW w:w="7227" w:type="dxa"/>
        <w:jc w:val="left"/>
        <w:tblInd w:w="0" w:type="dxa"/>
        <w:tblLayout w:type="fixed"/>
        <w:tblCellMar>
          <w:top w:w="28" w:type="dxa"/>
          <w:left w:w="28" w:type="dxa"/>
          <w:bottom w:w="28" w:type="dxa"/>
          <w:right w:w="28" w:type="dxa"/>
        </w:tblCellMar>
      </w:tblPr>
      <w:tblGrid>
        <w:gridCol w:w="1587"/>
        <w:gridCol w:w="1391"/>
        <w:gridCol w:w="1402"/>
        <w:gridCol w:w="268"/>
        <w:gridCol w:w="782"/>
        <w:gridCol w:w="138"/>
        <w:gridCol w:w="138"/>
        <w:gridCol w:w="138"/>
        <w:gridCol w:w="138"/>
        <w:gridCol w:w="268"/>
        <w:gridCol w:w="782"/>
        <w:gridCol w:w="195"/>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Revenues (In millions):</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natural gas and natural gas liquid revenues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168,431 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147,620 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137,697 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120,856 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oil volumes (BO/d)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260,264 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combined volumes (BOE/d)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502,544 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442,696 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Average Prices: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 per Bbl)</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 per Mcf)</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 per Bbl)</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 per BOE)</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Oil, hedged ($ per Bbl)</w:t>
            </w:r>
            <w:r>
              <w:rPr>
                <w:rFonts w:ascii="Times New Roman;sans-serif" w:hAnsi="Times New Roman;sans-serif"/>
                <w:b w:val="false"/>
                <w:color w:val="000000"/>
                <w:sz w:val="13"/>
              </w:rPr>
              <w:t>(2)</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Natural gas, hedged ($ per Mcf)</w:t>
            </w:r>
            <w:r>
              <w:rPr>
                <w:rFonts w:ascii="Times New Roman;sans-serif" w:hAnsi="Times New Roman;sans-serif"/>
                <w:b w:val="false"/>
                <w:color w:val="000000"/>
                <w:sz w:val="13"/>
              </w:rPr>
              <w:t>(2)</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Natural gas liquids, hedged ($ per Bbl)</w:t>
            </w:r>
            <w:r>
              <w:rPr>
                <w:rFonts w:ascii="Times New Roman;sans-serif" w:hAnsi="Times New Roman;sans-serif"/>
                <w:b w:val="false"/>
                <w:color w:val="000000"/>
                <w:sz w:val="13"/>
              </w:rPr>
              <w:t>(2)</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Average price, hedged ($ per BOE)</w:t>
            </w:r>
            <w:r>
              <w:rPr>
                <w:rFonts w:ascii="Times New Roman;sans-serif" w:hAnsi="Times New Roman;sans-serif"/>
                <w:b w:val="false"/>
                <w:color w:val="000000"/>
                <w:sz w:val="13"/>
              </w:rPr>
              <w:t>(2)</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(1)Bbl equivalents are calculated using a conversion rate of six Mcf per Bbl.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Production Data. </w:t>
      </w:r>
      <w:r>
        <w:rPr>
          <w:rFonts w:ascii="Times New Roman;sans-serif" w:hAnsi="Times New Roman;sans-serif"/>
          <w:b w:val="false"/>
          <w:color w:val="000000"/>
          <w:sz w:val="20"/>
        </w:rPr>
        <w:t>Substantially all of our revenues are generated through the sale of oil, natural gas and natural gas liquids production. The following tables set forth the mix of our production data by product and basin for the nine months ended September 30, 2024 and 2023:</w:t>
      </w:r>
    </w:p>
    <w:p>
      <w:pPr>
        <w:pStyle w:val="TextBody"/>
        <w:bidi w:val="0"/>
        <w:spacing w:before="0" w:after="0"/>
        <w:ind w:left="0" w:right="0" w:firstLine="720"/>
        <w:jc w:val="both"/>
        <w:rPr/>
      </w:pPr>
      <w:r>
        <w:rPr/>
      </w:r>
    </w:p>
    <w:tbl>
      <w:tblPr>
        <w:tblW w:w="5351" w:type="dxa"/>
        <w:jc w:val="left"/>
        <w:tblInd w:w="0" w:type="dxa"/>
        <w:tblLayout w:type="fixed"/>
        <w:tblCellMar>
          <w:top w:w="28" w:type="dxa"/>
          <w:left w:w="28" w:type="dxa"/>
          <w:bottom w:w="28" w:type="dxa"/>
          <w:right w:w="28" w:type="dxa"/>
        </w:tblCellMar>
      </w:tblPr>
      <w:tblGrid>
        <w:gridCol w:w="857"/>
        <w:gridCol w:w="753"/>
        <w:gridCol w:w="760"/>
        <w:gridCol w:w="296"/>
        <w:gridCol w:w="230"/>
        <w:gridCol w:w="572"/>
        <w:gridCol w:w="230"/>
        <w:gridCol w:w="230"/>
        <w:gridCol w:w="230"/>
        <w:gridCol w:w="296"/>
        <w:gridCol w:w="230"/>
        <w:gridCol w:w="667"/>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8"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tbl>
      <w:tblPr>
        <w:tblW w:w="10782" w:type="dxa"/>
        <w:jc w:val="left"/>
        <w:tblInd w:w="0" w:type="dxa"/>
        <w:tblLayout w:type="fixed"/>
        <w:tblCellMar>
          <w:top w:w="28" w:type="dxa"/>
          <w:left w:w="28" w:type="dxa"/>
          <w:bottom w:w="28" w:type="dxa"/>
          <w:right w:w="28" w:type="dxa"/>
        </w:tblCellMar>
      </w:tblPr>
      <w:tblGrid>
        <w:gridCol w:w="353"/>
        <w:gridCol w:w="311"/>
        <w:gridCol w:w="312"/>
        <w:gridCol w:w="414"/>
        <w:gridCol w:w="412"/>
        <w:gridCol w:w="256"/>
        <w:gridCol w:w="109"/>
        <w:gridCol w:w="109"/>
        <w:gridCol w:w="109"/>
        <w:gridCol w:w="434"/>
        <w:gridCol w:w="287"/>
        <w:gridCol w:w="276"/>
        <w:gridCol w:w="109"/>
        <w:gridCol w:w="109"/>
        <w:gridCol w:w="109"/>
        <w:gridCol w:w="233"/>
        <w:gridCol w:w="233"/>
        <w:gridCol w:w="186"/>
        <w:gridCol w:w="109"/>
        <w:gridCol w:w="109"/>
        <w:gridCol w:w="109"/>
        <w:gridCol w:w="412"/>
        <w:gridCol w:w="414"/>
        <w:gridCol w:w="171"/>
        <w:gridCol w:w="109"/>
        <w:gridCol w:w="109"/>
        <w:gridCol w:w="109"/>
        <w:gridCol w:w="414"/>
        <w:gridCol w:w="412"/>
        <w:gridCol w:w="256"/>
        <w:gridCol w:w="109"/>
        <w:gridCol w:w="109"/>
        <w:gridCol w:w="109"/>
        <w:gridCol w:w="434"/>
        <w:gridCol w:w="287"/>
        <w:gridCol w:w="276"/>
        <w:gridCol w:w="109"/>
        <w:gridCol w:w="109"/>
        <w:gridCol w:w="109"/>
        <w:gridCol w:w="233"/>
        <w:gridCol w:w="233"/>
        <w:gridCol w:w="186"/>
        <w:gridCol w:w="109"/>
        <w:gridCol w:w="109"/>
        <w:gridCol w:w="109"/>
        <w:gridCol w:w="412"/>
        <w:gridCol w:w="414"/>
        <w:gridCol w:w="23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168,431 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147,620 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(MBOE)</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111,245 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26,271 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137,697 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28,949 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120,856 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Oil, Natural Gas and Natural Gas Liquids Revenues.</w:t>
      </w:r>
      <w:r>
        <w:rPr>
          <w:color w:val="000000"/>
        </w:rPr>
        <w:t xml:space="preserve"> </w:t>
      </w:r>
      <w:r>
        <w:rPr>
          <w:rFonts w:ascii="Times New Roman;sans-serif" w:hAnsi="Times New Roman;sans-serif"/>
          <w:b w:val="false"/>
          <w:color w:val="000000"/>
          <w:sz w:val="20"/>
        </w:rPr>
        <w:t>Our revenues are a function of oil, natural gas and natural gas liquids production volumes sold and average sales prices received for those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oil, natural gas and natural gas liquids revenues for the nine months ended September 30, 2024 increased by $566 million, or 9%, to $6.6 billion from the same period in 2023 primarily due to an increase of $766 million attributable to the 14% growth in our combined volumes, which was partially offset by a $200 million net decrease attributable to lower average prices received for our natural gas and natural gas liquids production.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47% of the increase in production is attributable to the Endeavor Acquisition and 14% is attributable to Viper’s GRP Acquisition. The remainder of the production growth comes from new wells added between periods.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Net Sales of Purchased Oil</w:t>
      </w:r>
      <w:r>
        <w:rPr>
          <w:rFonts w:ascii="Times New Roman;sans-serif" w:hAnsi="Times New Roman;sans-serif"/>
          <w:b w:val="false"/>
          <w:color w:val="000000"/>
          <w:sz w:val="20"/>
        </w:rPr>
        <w:t>. Beginning in the third quarter of 2023, we entered into purchase transactions and separate sale transactions with third parties to satisfy certain of our unused oil pipeline capacity commitments. The following table presents the net sales of purchased oil from third parties for the nine months ended September 30, 2024 and 2023:</w:t>
      </w:r>
    </w:p>
    <w:p>
      <w:pPr>
        <w:pStyle w:val="TextBody"/>
        <w:bidi w:val="0"/>
        <w:spacing w:before="0" w:after="0"/>
        <w:ind w:left="0" w:right="0" w:firstLine="720"/>
        <w:jc w:val="both"/>
        <w:rPr/>
      </w:pPr>
      <w:r>
        <w:rPr/>
      </w:r>
    </w:p>
    <w:tbl>
      <w:tblPr>
        <w:tblW w:w="5036" w:type="dxa"/>
        <w:jc w:val="left"/>
        <w:tblInd w:w="0" w:type="dxa"/>
        <w:tblLayout w:type="fixed"/>
        <w:tblCellMar>
          <w:top w:w="28" w:type="dxa"/>
          <w:left w:w="28" w:type="dxa"/>
          <w:bottom w:w="28" w:type="dxa"/>
          <w:right w:w="28" w:type="dxa"/>
        </w:tblCellMar>
      </w:tblPr>
      <w:tblGrid>
        <w:gridCol w:w="793"/>
        <w:gridCol w:w="695"/>
        <w:gridCol w:w="702"/>
        <w:gridCol w:w="319"/>
        <w:gridCol w:w="705"/>
        <w:gridCol w:w="164"/>
        <w:gridCol w:w="164"/>
        <w:gridCol w:w="164"/>
        <w:gridCol w:w="164"/>
        <w:gridCol w:w="319"/>
        <w:gridCol w:w="614"/>
        <w:gridCol w:w="233"/>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oil</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oil expense</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of purchased oil</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i/>
          <w:color w:val="000000"/>
          <w:sz w:val="20"/>
        </w:rPr>
        <w:t>Other Revenues.</w:t>
      </w:r>
      <w:r>
        <w:rPr>
          <w:color w:val="000000"/>
        </w:rPr>
        <w:t xml:space="preserve"> </w:t>
      </w:r>
      <w:r>
        <w:rPr>
          <w:rFonts w:ascii="Times New Roman;sans-serif" w:hAnsi="Times New Roman;sans-serif"/>
          <w:b w:val="false"/>
          <w:color w:val="000000"/>
          <w:sz w:val="20"/>
        </w:rPr>
        <w:t>The following table shows the other insignificant revenues for the nine months ended September 30, 2024 and 2023:</w:t>
      </w:r>
    </w:p>
    <w:p>
      <w:pPr>
        <w:pStyle w:val="TextBody"/>
        <w:bidi w:val="0"/>
        <w:spacing w:before="0" w:after="0"/>
        <w:ind w:left="0" w:right="0" w:firstLine="720"/>
        <w:jc w:val="both"/>
        <w:rPr/>
      </w:pPr>
      <w:r>
        <w:rPr/>
      </w:r>
    </w:p>
    <w:tbl>
      <w:tblPr>
        <w:tblW w:w="4887" w:type="dxa"/>
        <w:jc w:val="left"/>
        <w:tblInd w:w="0" w:type="dxa"/>
        <w:tblLayout w:type="fixed"/>
        <w:tblCellMar>
          <w:top w:w="28" w:type="dxa"/>
          <w:left w:w="28" w:type="dxa"/>
          <w:bottom w:w="28" w:type="dxa"/>
          <w:right w:w="28" w:type="dxa"/>
        </w:tblCellMar>
      </w:tblPr>
      <w:tblGrid>
        <w:gridCol w:w="738"/>
        <w:gridCol w:w="648"/>
        <w:gridCol w:w="654"/>
        <w:gridCol w:w="346"/>
        <w:gridCol w:w="593"/>
        <w:gridCol w:w="179"/>
        <w:gridCol w:w="179"/>
        <w:gridCol w:w="179"/>
        <w:gridCol w:w="179"/>
        <w:gridCol w:w="346"/>
        <w:gridCol w:w="593"/>
        <w:gridCol w:w="253"/>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other operating income for the nine months ended September 30, 2024 compared to the same period in 2023 primarily resulted from a reduction in revenue from midstream services due to the sale of the Deep Blue Water Assets in the third quarter of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Lease Operating Expenses.</w:t>
      </w:r>
      <w:r>
        <w:rPr>
          <w:color w:val="000000"/>
        </w:rPr>
        <w:t xml:space="preserve"> </w:t>
      </w:r>
      <w:r>
        <w:rPr>
          <w:rFonts w:ascii="Times New Roman;sans-serif" w:hAnsi="Times New Roman;sans-serif"/>
          <w:b w:val="false"/>
          <w:color w:val="000000"/>
          <w:sz w:val="20"/>
        </w:rPr>
        <w:t>The following table shows lease operating expenses for the nine months ended September 30, 2024 and 2023:</w:t>
      </w:r>
    </w:p>
    <w:p>
      <w:pPr>
        <w:pStyle w:val="TextBody"/>
        <w:bidi w:val="0"/>
        <w:spacing w:before="0" w:after="0"/>
        <w:ind w:left="0" w:right="0" w:firstLine="720"/>
        <w:jc w:val="both"/>
        <w:rPr/>
      </w:pPr>
      <w:r>
        <w:rPr/>
      </w:r>
    </w:p>
    <w:tbl>
      <w:tblPr>
        <w:tblW w:w="7334" w:type="dxa"/>
        <w:jc w:val="left"/>
        <w:tblInd w:w="0" w:type="dxa"/>
        <w:tblLayout w:type="fixed"/>
        <w:tblCellMar>
          <w:top w:w="28" w:type="dxa"/>
          <w:left w:w="28" w:type="dxa"/>
          <w:bottom w:w="28" w:type="dxa"/>
          <w:right w:w="28" w:type="dxa"/>
        </w:tblCellMar>
      </w:tblPr>
      <w:tblGrid>
        <w:gridCol w:w="1112"/>
        <w:gridCol w:w="977"/>
        <w:gridCol w:w="985"/>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Lease operating expenses increased in total and on a per BOE basis for the nine months ended September 30, 2024 compared to the same period in 2023 primarily due to (i) $74 million of additional costs incurred for water services as a result of divesting the Deep Blue Water Assets in the third quarter of 2023, (ii) $46 million due to an increase in legacy production volumes, (iii) a $38 million increase attributable to wells acquired as part of the Endeavor Acquisition, (iv) a $30 million increase in workover expense, (v) $14 million in increased spend on electrical generation, and (vi) other individually insignificant changes.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9"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Production and Ad Valorem Tax Expense.</w:t>
      </w:r>
      <w:r>
        <w:rPr>
          <w:color w:val="000000"/>
        </w:rPr>
        <w:t xml:space="preserve"> </w:t>
      </w:r>
      <w:r>
        <w:rPr>
          <w:rFonts w:ascii="Times New Roman;sans-serif" w:hAnsi="Times New Roman;sans-serif"/>
          <w:b w:val="false"/>
          <w:color w:val="000000"/>
          <w:sz w:val="20"/>
        </w:rPr>
        <w:t>The following table shows production and ad valorem tax expense for the nine months ended September 30, 2024 and 2023:</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90"/>
        <w:gridCol w:w="455"/>
        <w:gridCol w:w="459"/>
        <w:gridCol w:w="211"/>
        <w:gridCol w:w="466"/>
        <w:gridCol w:w="109"/>
        <w:gridCol w:w="109"/>
        <w:gridCol w:w="109"/>
        <w:gridCol w:w="109"/>
        <w:gridCol w:w="211"/>
        <w:gridCol w:w="511"/>
        <w:gridCol w:w="109"/>
        <w:gridCol w:w="109"/>
        <w:gridCol w:w="109"/>
        <w:gridCol w:w="109"/>
        <w:gridCol w:w="409"/>
        <w:gridCol w:w="409"/>
        <w:gridCol w:w="1021"/>
        <w:gridCol w:w="109"/>
        <w:gridCol w:w="109"/>
        <w:gridCol w:w="109"/>
        <w:gridCol w:w="211"/>
        <w:gridCol w:w="466"/>
        <w:gridCol w:w="109"/>
        <w:gridCol w:w="109"/>
        <w:gridCol w:w="109"/>
        <w:gridCol w:w="109"/>
        <w:gridCol w:w="211"/>
        <w:gridCol w:w="511"/>
        <w:gridCol w:w="109"/>
        <w:gridCol w:w="109"/>
        <w:gridCol w:w="109"/>
        <w:gridCol w:w="109"/>
        <w:gridCol w:w="390"/>
        <w:gridCol w:w="384"/>
        <w:gridCol w:w="1119"/>
      </w:tblGrid>
      <w:tr>
        <w:trPr/>
        <w:tc>
          <w:tcPr>
            <w:tcW w:w="6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Percentage of oil, natural gas and natural gas liquids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Percentage of oil, natural gas and natural gas liquids revenue</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ad valorem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production taxes are directly related to production revenues and are based upon current year commodity prices. Production taxes as a percentage of oil, natural gas and natural gas liquids revenue for the 2024 period decreased compared to the same period in 2023, primarily due to a refund of $17 million received for settlement of an audit in the first quarter of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 valorem taxes are based, among other factors, on property values driven by prior year commodity prices. Ad valorem taxes for the nine months ended September 30, 2024 as compared to the same period in 2023 decreased by $15 million, primarily due to a reduction in our expected ad valorem tax rates for 2024 compared to the expected rates during the nine months ended 2023.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Gathering, Processing and Transportation Expense.</w:t>
      </w:r>
      <w:r>
        <w:rPr>
          <w:color w:val="000000"/>
        </w:rPr>
        <w:t xml:space="preserve"> </w:t>
      </w:r>
      <w:r>
        <w:rPr>
          <w:rFonts w:ascii="Times New Roman;sans-serif" w:hAnsi="Times New Roman;sans-serif"/>
          <w:b w:val="false"/>
          <w:color w:val="000000"/>
          <w:sz w:val="20"/>
        </w:rPr>
        <w:t>The following table shows gathering, processing and transportation expense for the nine months ended September 30, 2024 and 2023:</w:t>
      </w:r>
    </w:p>
    <w:p>
      <w:pPr>
        <w:pStyle w:val="TextBody"/>
        <w:bidi w:val="0"/>
        <w:spacing w:before="0" w:after="0"/>
        <w:ind w:left="0" w:right="0" w:firstLine="720"/>
        <w:jc w:val="both"/>
        <w:rPr/>
      </w:pPr>
      <w:r>
        <w:rPr/>
      </w:r>
    </w:p>
    <w:tbl>
      <w:tblPr>
        <w:tblW w:w="7680" w:type="dxa"/>
        <w:jc w:val="left"/>
        <w:tblInd w:w="0" w:type="dxa"/>
        <w:tblLayout w:type="fixed"/>
        <w:tblCellMar>
          <w:top w:w="28" w:type="dxa"/>
          <w:left w:w="28" w:type="dxa"/>
          <w:bottom w:w="28" w:type="dxa"/>
          <w:right w:w="28" w:type="dxa"/>
        </w:tblCellMar>
      </w:tblPr>
      <w:tblGrid>
        <w:gridCol w:w="1237"/>
        <w:gridCol w:w="1087"/>
        <w:gridCol w:w="1096"/>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processing and transportation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gathering, processing and transportation expenses for the nine months ended September 30, 2024 compared to the same period in 2023 is attributable to (i) a $29 million increase from the growth in production volumes discussed above, and (ii) a $17 million increase due to contractual pricing increases on our gathering, processing and transportation costs, and (iii) an additional $5 million in shortfall penalties related to certain minimum volume 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Depreciation, Depletion, Amortization and Accretion.</w:t>
      </w:r>
      <w:r>
        <w:rPr>
          <w:color w:val="000000"/>
        </w:rPr>
        <w:t xml:space="preserve"> </w:t>
      </w:r>
      <w:r>
        <w:rPr>
          <w:rFonts w:ascii="Times New Roman;sans-serif" w:hAnsi="Times New Roman;sans-serif"/>
          <w:b w:val="false"/>
          <w:color w:val="000000"/>
          <w:sz w:val="20"/>
        </w:rPr>
        <w:t>The following table provides the components of our depreciation, depletion, amortization and accretion expense for the nine months ended September 30, 2024 and 2023:</w:t>
      </w:r>
    </w:p>
    <w:p>
      <w:pPr>
        <w:pStyle w:val="TextBody"/>
        <w:bidi w:val="0"/>
        <w:spacing w:before="0" w:after="0"/>
        <w:ind w:left="0" w:right="0" w:firstLine="720"/>
        <w:jc w:val="both"/>
        <w:rPr/>
      </w:pPr>
      <w:r>
        <w:rPr/>
      </w:r>
    </w:p>
    <w:tbl>
      <w:tblPr>
        <w:tblW w:w="8112" w:type="dxa"/>
        <w:jc w:val="left"/>
        <w:tblInd w:w="0" w:type="dxa"/>
        <w:tblLayout w:type="fixed"/>
        <w:tblCellMar>
          <w:top w:w="28" w:type="dxa"/>
          <w:left w:w="28" w:type="dxa"/>
          <w:bottom w:w="28" w:type="dxa"/>
          <w:right w:w="28" w:type="dxa"/>
        </w:tblCellMar>
      </w:tblPr>
      <w:tblGrid>
        <w:gridCol w:w="1905"/>
        <w:gridCol w:w="1673"/>
        <w:gridCol w:w="1687"/>
        <w:gridCol w:w="268"/>
        <w:gridCol w:w="782"/>
        <w:gridCol w:w="138"/>
        <w:gridCol w:w="138"/>
        <w:gridCol w:w="138"/>
        <w:gridCol w:w="138"/>
        <w:gridCol w:w="268"/>
        <w:gridCol w:w="782"/>
        <w:gridCol w:w="195"/>
      </w:tblGrid>
      <w:tr>
        <w:trPr/>
        <w:tc>
          <w:tcPr>
            <w:tcW w:w="190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BOE amounts)</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of proved oil and natural gas properties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other property and equipment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amortization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 accretion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depletion rate per BOE</w:t>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9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 per BOE</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depletion of proved oil and natural gas properties of $421 million for the nine months ended September 30, 2024 as compared to the same period in 2023 consists primarily of (i) $252 million due to an increase in the depletion rate resulting largely from the addition of leasehold costs and reserves from the Endeavor Acquisition and to a lesser extent, Viper’s GRP Acquisition and the Viper Q&amp;M Acquisitions, and (ii) $169 million from the growth in production volumes.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50"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General and Administrative Expenses.</w:t>
      </w:r>
      <w:r>
        <w:rPr>
          <w:color w:val="000000"/>
        </w:rPr>
        <w:t xml:space="preserve"> </w:t>
      </w:r>
      <w:r>
        <w:rPr>
          <w:rFonts w:ascii="Times New Roman;sans-serif" w:hAnsi="Times New Roman;sans-serif"/>
          <w:b w:val="false"/>
          <w:color w:val="000000"/>
          <w:sz w:val="20"/>
        </w:rPr>
        <w:t>The following table shows general and administrative expenses for the nine months ended September 30, 2024 and 2023:</w:t>
      </w:r>
    </w:p>
    <w:p>
      <w:pPr>
        <w:pStyle w:val="TextBody"/>
        <w:bidi w:val="0"/>
        <w:spacing w:before="0" w:after="0"/>
        <w:ind w:left="0" w:right="0" w:firstLine="720"/>
        <w:jc w:val="both"/>
        <w:rPr/>
      </w:pPr>
      <w:r>
        <w:rPr/>
      </w:r>
    </w:p>
    <w:tbl>
      <w:tblPr>
        <w:tblW w:w="7800" w:type="dxa"/>
        <w:jc w:val="left"/>
        <w:tblInd w:w="0" w:type="dxa"/>
        <w:tblLayout w:type="fixed"/>
        <w:tblCellMar>
          <w:top w:w="28" w:type="dxa"/>
          <w:left w:w="28" w:type="dxa"/>
          <w:bottom w:w="28" w:type="dxa"/>
          <w:right w:w="28" w:type="dxa"/>
        </w:tblCellMar>
      </w:tblPr>
      <w:tblGrid>
        <w:gridCol w:w="1281"/>
        <w:gridCol w:w="1125"/>
        <w:gridCol w:w="1134"/>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for the nine months ended September 30, 2024 compared to the same period in 2023 primarily due to (i) a $13 million increase in employee compensation and benefit costs related to increasing headcount and annual compensation adjustments, (ii) a $9 million increase in stock-based compensation, and (iii) a $5 million increase in charitable contributions, and (iv) offsetting changes in other individually insignificant items.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Operating Costs and Expenses.</w:t>
      </w:r>
      <w:r>
        <w:rPr>
          <w:color w:val="000000"/>
        </w:rPr>
        <w:t xml:space="preserve"> </w:t>
      </w:r>
      <w:r>
        <w:rPr>
          <w:rFonts w:ascii="Times New Roman;sans-serif" w:hAnsi="Times New Roman;sans-serif"/>
          <w:b w:val="false"/>
          <w:color w:val="000000"/>
          <w:sz w:val="20"/>
        </w:rPr>
        <w:t>The following table shows the other operating costs and expenses for the nine months ended September 30, 2024 and 2023:</w:t>
      </w:r>
    </w:p>
    <w:p>
      <w:pPr>
        <w:pStyle w:val="TextBody"/>
        <w:bidi w:val="0"/>
        <w:spacing w:before="0" w:after="0"/>
        <w:ind w:left="0" w:right="0" w:firstLine="720"/>
        <w:jc w:val="both"/>
        <w:rPr/>
      </w:pPr>
      <w:r>
        <w:rPr/>
      </w:r>
    </w:p>
    <w:tbl>
      <w:tblPr>
        <w:tblW w:w="5619" w:type="dxa"/>
        <w:jc w:val="left"/>
        <w:tblInd w:w="0" w:type="dxa"/>
        <w:tblLayout w:type="fixed"/>
        <w:tblCellMar>
          <w:top w:w="28" w:type="dxa"/>
          <w:left w:w="28" w:type="dxa"/>
          <w:bottom w:w="28" w:type="dxa"/>
          <w:right w:w="28" w:type="dxa"/>
        </w:tblCellMar>
      </w:tblPr>
      <w:tblGrid>
        <w:gridCol w:w="1004"/>
        <w:gridCol w:w="881"/>
        <w:gridCol w:w="889"/>
        <w:gridCol w:w="309"/>
        <w:gridCol w:w="683"/>
        <w:gridCol w:w="159"/>
        <w:gridCol w:w="159"/>
        <w:gridCol w:w="159"/>
        <w:gridCol w:w="159"/>
        <w:gridCol w:w="309"/>
        <w:gridCol w:w="683"/>
        <w:gridCol w:w="225"/>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integration expenses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Merger and integration expenses for the nine months ended September 30, 2024 include costs incurred in connection with the Endeavor Acquisition as discussed in the quarterly comparisons 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5—</w:t>
      </w:r>
      <w:hyperlink w:anchor="i09b7444577484ae3b81bbbd98957e58f_88">
        <w:r>
          <w:rPr>
            <w:rStyle w:val="InternetLink"/>
            <w:rFonts w:ascii="Times New Roman;sans-serif" w:hAnsi="Times New Roman;sans-serif"/>
            <w:b w:val="false"/>
            <w:color w:val="0000FF"/>
            <w:sz w:val="20"/>
            <w:u w:val="single"/>
          </w:rPr>
          <w:t>Endeavor Energy Resources, LP Acquisition</w:t>
        </w:r>
      </w:hyperlink>
      <w:r>
        <w:rPr>
          <w:color w:val="000000"/>
        </w:rPr>
        <w:t xml:space="preserve"> </w:t>
      </w:r>
      <w:r>
        <w:rPr>
          <w:rFonts w:ascii="Times New Roman;sans-serif" w:hAnsi="Times New Roman;sans-serif"/>
          <w:b w:val="false"/>
          <w:color w:val="000000"/>
          <w:sz w:val="20"/>
        </w:rPr>
        <w:t>of the condensed notes to the consolidated financial statements for further details regarding the Endeavor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other operating expenses for the nine months ended September 30, 2024 compared to the same period in 2023 primarily resulted from a $74 million reduction in midstream services costs due primarily to the sale of the Deep Blue Water Assets in the third quarter of 2023. This reduction was partially offset by a $22 million loss on the sale of property, plant and equipment in 2024 and other individually insignificant changes.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Derivative Instruments.</w:t>
      </w:r>
      <w:r>
        <w:rPr>
          <w:color w:val="000000"/>
        </w:rPr>
        <w:t xml:space="preserve"> </w:t>
      </w:r>
      <w:r>
        <w:rPr>
          <w:rFonts w:ascii="Times New Roman;sans-serif" w:hAnsi="Times New Roman;sans-serif"/>
          <w:b w:val="false"/>
          <w:color w:val="000000"/>
          <w:sz w:val="20"/>
        </w:rPr>
        <w:t>The following table shows the net gain (loss) on derivative instruments and the net cash receipts (payments) on settlements of derivative instruments for the nine months ended September 30, 2024 and 2023:</w:t>
      </w:r>
    </w:p>
    <w:p>
      <w:pPr>
        <w:pStyle w:val="TextBody"/>
        <w:bidi w:val="0"/>
        <w:spacing w:before="0" w:after="0"/>
        <w:ind w:left="0" w:right="0" w:firstLine="720"/>
        <w:jc w:val="both"/>
        <w:rPr/>
      </w:pPr>
      <w:r>
        <w:rPr/>
      </w:r>
    </w:p>
    <w:tbl>
      <w:tblPr>
        <w:tblW w:w="6458" w:type="dxa"/>
        <w:jc w:val="left"/>
        <w:tblInd w:w="0" w:type="dxa"/>
        <w:tblLayout w:type="fixed"/>
        <w:tblCellMar>
          <w:top w:w="28" w:type="dxa"/>
          <w:left w:w="28" w:type="dxa"/>
          <w:bottom w:w="28" w:type="dxa"/>
          <w:right w:w="28" w:type="dxa"/>
        </w:tblCellMar>
      </w:tblPr>
      <w:tblGrid>
        <w:gridCol w:w="1308"/>
        <w:gridCol w:w="1145"/>
        <w:gridCol w:w="1161"/>
        <w:gridCol w:w="297"/>
        <w:gridCol w:w="658"/>
        <w:gridCol w:w="153"/>
        <w:gridCol w:w="153"/>
        <w:gridCol w:w="153"/>
        <w:gridCol w:w="153"/>
        <w:gridCol w:w="297"/>
        <w:gridCol w:w="763"/>
        <w:gridCol w:w="217"/>
      </w:tblGrid>
      <w:tr>
        <w:trPr/>
        <w:tc>
          <w:tcPr>
            <w:tcW w:w="130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Gain (loss) on derivative instruments, net</w:t>
            </w:r>
            <w:r>
              <w:rPr>
                <w:rFonts w:ascii="Times New Roman;sans-serif" w:hAnsi="Times New Roman;sans-serif"/>
                <w:b w:val="false"/>
                <w:color w:val="000000"/>
                <w:sz w:val="13"/>
              </w:rPr>
              <w:t>(1)</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cash received (paid) on settlements</w:t>
            </w:r>
            <w:r>
              <w:rPr>
                <w:rFonts w:ascii="Times New Roman;sans-serif" w:hAnsi="Times New Roman;sans-serif"/>
                <w:b w:val="false"/>
                <w:color w:val="000000"/>
                <w:sz w:val="13"/>
              </w:rPr>
              <w:t>(1)</w:t>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nine months ended September 30, 2024 includes cash paid on interest rate swaps terminated prior to their contractual maturity of $37 million.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change from a loss to a gain on derivative instruments for the nine months ended September 30, 2024 compared to the same period in 2023 primarily reflects an increase in the value of both our natural gas and oil contracts due to a decrease in market prices for natural gas and oil compared to our contract prices and an increase in the value of our interest rate swap contracts primarily due to a decrease in future SOFR rates and the early termination of $300 million of the notional value of the interest rate swap contracts in 2024. See Note 13—</w:t>
      </w:r>
      <w:hyperlink w:anchor="i09b7444577484ae3b81bbbd98957e58f_76">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condensed notes to the consolidated financial statements for further details regarding our derivative instruments.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51"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Other Income (Expense).</w:t>
      </w:r>
      <w:r>
        <w:rPr>
          <w:color w:val="000000"/>
        </w:rPr>
        <w:t xml:space="preserve"> </w:t>
      </w:r>
      <w:r>
        <w:rPr>
          <w:rFonts w:ascii="Times New Roman;sans-serif" w:hAnsi="Times New Roman;sans-serif"/>
          <w:b w:val="false"/>
          <w:color w:val="000000"/>
          <w:sz w:val="20"/>
        </w:rPr>
        <w:t>The following table shows other income and expenses for the nine months ended September 30, 2024 and 2023:</w:t>
      </w:r>
    </w:p>
    <w:p>
      <w:pPr>
        <w:pStyle w:val="TextBody"/>
        <w:bidi w:val="0"/>
        <w:spacing w:before="0" w:after="0"/>
        <w:ind w:left="0" w:right="0" w:firstLine="720"/>
        <w:jc w:val="both"/>
        <w:rPr/>
      </w:pPr>
      <w:r>
        <w:rPr/>
      </w:r>
    </w:p>
    <w:tbl>
      <w:tblPr>
        <w:tblW w:w="6401" w:type="dxa"/>
        <w:jc w:val="left"/>
        <w:tblInd w:w="0" w:type="dxa"/>
        <w:tblLayout w:type="fixed"/>
        <w:tblCellMar>
          <w:top w:w="28" w:type="dxa"/>
          <w:left w:w="28" w:type="dxa"/>
          <w:bottom w:w="28" w:type="dxa"/>
          <w:right w:w="28" w:type="dxa"/>
        </w:tblCellMar>
      </w:tblPr>
      <w:tblGrid>
        <w:gridCol w:w="1287"/>
        <w:gridCol w:w="1129"/>
        <w:gridCol w:w="1138"/>
        <w:gridCol w:w="287"/>
        <w:gridCol w:w="736"/>
        <w:gridCol w:w="148"/>
        <w:gridCol w:w="148"/>
        <w:gridCol w:w="148"/>
        <w:gridCol w:w="148"/>
        <w:gridCol w:w="287"/>
        <w:gridCol w:w="736"/>
        <w:gridCol w:w="209"/>
      </w:tblGrid>
      <w:tr>
        <w:trPr/>
        <w:tc>
          <w:tcPr>
            <w:tcW w:w="128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w:t>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 net</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decreased $29 million for the nine months ended September 30, 2024 compared to the same period in 2023. This decrease primarily consisted of (i) an increase in interest income of $142 million due to holding funds raised for the Endeavor Acquisition in cash in short-term interest bearing accounts, which reduces interest expense, (ii) an additional $66 million in capitalized interest costs, which reduce interest expense, and (iii) a decrease of $13 million in interest expense on our revolving credit facility due to lower average borrowings outstanding in 2024. These reductions were largely offset by (i) an increase of $156 million in interest expense on senior notes related primarily to the issuance of the April 2024 Notes and Viper’s 7.375% Senior Notes which were issued in the fourth quarter of 2023, and (ii) an increase of $35 million in amortization of debt issuance costs primarily related to our Bridge Facility, Term Loan Agreement and April 2024 Notes.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0"/>
        </w:rPr>
        <w:t>See Note 9—</w:t>
      </w:r>
      <w:hyperlink w:anchor="i09b7444577484ae3b81bbbd98957e58f_64">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condensed notes to the consolidated financial statements for further details regarding outstanding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Other income (expense), net for the nine months ended September 30, 2024 includes a gain recorded on the WTG Midstream Transaction of approximately $76 million compared to the nine months ended September 30, 2023 including a $53 million gain on the sale of our equity method investment in Gray Oak as discussed further in Note 4—</w:t>
      </w:r>
      <w:hyperlink w:anchor="i09b7444577484ae3b81bbbd98957e58f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to the condensed notes to the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Provision for (Benefit from) Income Taxes. </w:t>
      </w:r>
      <w:r>
        <w:rPr>
          <w:rFonts w:ascii="Times New Roman;sans-serif" w:hAnsi="Times New Roman;sans-serif"/>
          <w:b w:val="false"/>
          <w:color w:val="000000"/>
          <w:sz w:val="20"/>
        </w:rPr>
        <w:t>The following table shows the provision for (benefit from) income taxes for the nine months ended September 30, 2024 and 2023:</w:t>
      </w:r>
    </w:p>
    <w:p>
      <w:pPr>
        <w:pStyle w:val="TextBody"/>
        <w:bidi w:val="0"/>
        <w:spacing w:before="0" w:after="0"/>
        <w:ind w:left="0" w:right="0" w:firstLine="720"/>
        <w:jc w:val="both"/>
        <w:rPr/>
      </w:pPr>
      <w:r>
        <w:rPr/>
      </w:r>
    </w:p>
    <w:tbl>
      <w:tblPr>
        <w:tblW w:w="6280" w:type="dxa"/>
        <w:jc w:val="left"/>
        <w:tblInd w:w="0" w:type="dxa"/>
        <w:tblLayout w:type="fixed"/>
        <w:tblCellMar>
          <w:top w:w="28" w:type="dxa"/>
          <w:left w:w="28" w:type="dxa"/>
          <w:bottom w:w="28" w:type="dxa"/>
          <w:right w:w="28" w:type="dxa"/>
        </w:tblCellMar>
      </w:tblPr>
      <w:tblGrid>
        <w:gridCol w:w="1243"/>
        <w:gridCol w:w="1091"/>
        <w:gridCol w:w="1101"/>
        <w:gridCol w:w="309"/>
        <w:gridCol w:w="683"/>
        <w:gridCol w:w="159"/>
        <w:gridCol w:w="159"/>
        <w:gridCol w:w="159"/>
        <w:gridCol w:w="159"/>
        <w:gridCol w:w="309"/>
        <w:gridCol w:w="683"/>
        <w:gridCol w:w="225"/>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The change in our income tax provision for the nine months ended September 30, 2024 compared to the same period in 2023 was primarily due to the increase in pre-tax income resulting largely from higher revenues from oil and natural gas liquids, along with changes in operating expenses and other income (expenses) as discussed above. See Note 12—</w:t>
      </w:r>
      <w:hyperlink w:anchor="i09b7444577484ae3b81bbbd98957e58f_73">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of the condensed notes to the consolidated financial statements for further discussion of our income tax expense.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Overview of Sources and Uses of Cash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our primary sources of liquidity have included cash flows from operations, proceeds from our public equity offerings, borrowings under our revolving credit facility, proceeds from the issuance of senior notes and sales of non-core assets. Our primary uses of capital have been for the acquisition, development and exploration of oil and natural gas properties, repayment of debt and returning capital to stockholders. At September 30, 2024, we had approximately $2.6 billion of liquidity consisting of $201 million in standalone cash and cash equivalents and $2.4 billion available under our credit facility. As of September 30, 2024, we have approximately $1.0 billion of Tranche A Loans maturing in the next 12 months.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Future cash flows are subject to a number of variables, including the level of oil and natural gas production and volatility of commodity prices. Further, significant additional capital expenditures will be required to more fully develop our properties. Prices for our commodities are determined primarily by prevailing market conditions, regional and worldwide economic activity, weather and other substantially variable factors. These factors are beyond our control and are difficult to predict as discussed further in </w:t>
      </w:r>
      <w:r>
        <w:fldChar w:fldCharType="begin"/>
      </w:r>
      <w:r>
        <w:rPr>
          <w:rStyle w:val="InternetLink"/>
          <w:sz w:val="20"/>
          <w:u w:val="single"/>
          <w:b w:val="false"/>
          <w:rFonts w:ascii="Times New Roman;sans-serif" w:hAnsi="Times New Roman;sans-serif"/>
          <w:color w:val="0000FF"/>
        </w:rPr>
        <w:instrText xml:space="preserve"> HYPERLINK "https://www.sec.gov/ix?doc=/Archives/edgar/data/1539838/000153983824000019/fang-20231231.htm" \l "i0d77fdad85ad4c5b80695648ad1eb956_25"</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Part I, Item 1A. Risk Factors in our 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for the year ended December 31, 2023. In order to mitigate this volatility, we enter into derivative contracts with a number of financial institutions, all of which are participants in our credit facility, to economically hedge a portion of our estimated future crude oil and natural gas production as discussed further in Note 13—</w:t>
      </w:r>
      <w:hyperlink w:anchor="i09b7444577484ae3b81bbbd98957e58f_76">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and </w:t>
      </w:r>
      <w:hyperlink w:anchor="i09b7444577484ae3b81bbbd98957e58f_157">
        <w:r>
          <w:rPr>
            <w:rStyle w:val="InternetLink"/>
            <w:rFonts w:ascii="Times New Roman;sans-serif" w:hAnsi="Times New Roman;sans-serif"/>
            <w:b w:val="false"/>
            <w:color w:val="0000FF"/>
            <w:sz w:val="20"/>
            <w:u w:val="single"/>
          </w:rPr>
          <w:t>Item 3. Quantitative and Qualitative Disclosures About Market Risk—Commodity Price Risk</w:t>
        </w:r>
      </w:hyperlink>
      <w:r>
        <w:rPr>
          <w:rFonts w:ascii="Times New Roman;sans-serif" w:hAnsi="Times New Roman;sans-serif"/>
          <w:b w:val="false"/>
          <w:color w:val="000000"/>
          <w:sz w:val="20"/>
        </w:rPr>
        <w:t xml:space="preserve">. The level of our hedging activity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52" name="Frame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duration of the financial instruments employed depend on our desired cash flow protection, available hedge prices, the magnitude of our capital program and our operating strategy.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for the nine months ended September 30, 2024 and 2023 are presented below:</w:t>
      </w:r>
    </w:p>
    <w:p>
      <w:pPr>
        <w:pStyle w:val="TextBody"/>
        <w:bidi w:val="0"/>
        <w:spacing w:before="0" w:after="0"/>
        <w:ind w:left="0" w:right="0" w:firstLine="720"/>
        <w:jc w:val="both"/>
        <w:rPr/>
      </w:pPr>
      <w:r>
        <w:rPr/>
      </w:r>
    </w:p>
    <w:tbl>
      <w:tblPr>
        <w:tblW w:w="7061" w:type="dxa"/>
        <w:jc w:val="left"/>
        <w:tblInd w:w="0" w:type="dxa"/>
        <w:tblLayout w:type="fixed"/>
        <w:tblCellMar>
          <w:top w:w="28" w:type="dxa"/>
          <w:left w:w="28" w:type="dxa"/>
          <w:bottom w:w="28" w:type="dxa"/>
          <w:right w:w="28" w:type="dxa"/>
        </w:tblCellMar>
      </w:tblPr>
      <w:tblGrid>
        <w:gridCol w:w="1524"/>
        <w:gridCol w:w="1340"/>
        <w:gridCol w:w="1350"/>
        <w:gridCol w:w="268"/>
        <w:gridCol w:w="782"/>
        <w:gridCol w:w="138"/>
        <w:gridCol w:w="138"/>
        <w:gridCol w:w="138"/>
        <w:gridCol w:w="138"/>
        <w:gridCol w:w="268"/>
        <w:gridCol w:w="782"/>
        <w:gridCol w:w="195"/>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decrease in operating cash flows for the nine months ended September 30, 2024 compared to the same period in 2023 primarily resulted from (i) an increase in our cash operating expenses, excluding purchased oil expense, of approximately $489 million related primarily to merger and integration costs incurred in the Endeavor Acquisition and additional lease operating expenses, (ii) a reduction of approximately $408 million due to fluctuations in other working capital balances due primarily to the timing of when collections were made on accounts receivable, payments made on accounts payable and the payment of accrued capital expenditures acquired from Endeavor, and (iii) an increase of $46 million in cash paid for interest, net of capitalized interest. These were partially offset by (i) an increase of $532 million in total revenue, excluding sales of purchased oil, (ii) an additional $142 million in interest income, and (iii) a reduction of $26 million in cash paid on settlements of derivatives. See “</w:t>
      </w:r>
      <w:r>
        <w:rPr>
          <w:color w:val="000000"/>
        </w:rPr>
        <w:t>—</w:t>
      </w:r>
      <w:hyperlink w:anchor="i09b7444577484ae3b81bbbd98957e58f_124">
        <w:r>
          <w:rPr>
            <w:rStyle w:val="InternetLink"/>
            <w:rFonts w:ascii="Times New Roman;sans-serif" w:hAnsi="Times New Roman;sans-serif"/>
            <w:b w:val="false"/>
            <w:i/>
            <w:color w:val="0000FF"/>
            <w:sz w:val="20"/>
            <w:u w:val="single"/>
          </w:rPr>
          <w:t>Results of Operations</w:t>
        </w:r>
      </w:hyperlink>
      <w:r>
        <w:rPr>
          <w:color w:val="000000"/>
        </w:rPr>
        <w:t xml:space="preserve">” </w:t>
      </w:r>
      <w:r>
        <w:rPr>
          <w:rFonts w:ascii="Times New Roman;sans-serif" w:hAnsi="Times New Roman;sans-serif"/>
          <w:b w:val="false"/>
          <w:color w:val="000000"/>
          <w:sz w:val="20"/>
        </w:rPr>
        <w:t>for discussion of significant changes in our revenues and expenses.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net cash used for investing activities during the nine months ended September 30, 2024 and 2023 was for the acquisition of properties and equipment including the Endeavor Acquisition in the third quarter of 2024 and the Lario Acquisition in the first quarter of 2023 as well as drilling and completion costs incurred in conjunction with our development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expenditures excluding acquisitions and equity method investments (on a cash basis) were as follows for the specified period:</w:t>
      </w:r>
    </w:p>
    <w:p>
      <w:pPr>
        <w:pStyle w:val="TextBody"/>
        <w:bidi w:val="0"/>
        <w:spacing w:before="0" w:after="0"/>
        <w:ind w:left="0" w:right="0" w:firstLine="720"/>
        <w:jc w:val="both"/>
        <w:rPr/>
      </w:pPr>
      <w:r>
        <w:rPr/>
      </w:r>
    </w:p>
    <w:tbl>
      <w:tblPr>
        <w:tblW w:w="9761" w:type="dxa"/>
        <w:jc w:val="left"/>
        <w:tblInd w:w="0" w:type="dxa"/>
        <w:tblLayout w:type="fixed"/>
        <w:tblCellMar>
          <w:top w:w="28" w:type="dxa"/>
          <w:left w:w="28" w:type="dxa"/>
          <w:bottom w:w="28" w:type="dxa"/>
          <w:right w:w="28" w:type="dxa"/>
        </w:tblCellMar>
      </w:tblPr>
      <w:tblGrid>
        <w:gridCol w:w="2504"/>
        <w:gridCol w:w="2199"/>
        <w:gridCol w:w="2211"/>
        <w:gridCol w:w="268"/>
        <w:gridCol w:w="782"/>
        <w:gridCol w:w="138"/>
        <w:gridCol w:w="138"/>
        <w:gridCol w:w="138"/>
        <w:gridCol w:w="138"/>
        <w:gridCol w:w="268"/>
        <w:gridCol w:w="782"/>
        <w:gridCol w:w="195"/>
      </w:tblGrid>
      <w:tr>
        <w:trPr/>
        <w:tc>
          <w:tcPr>
            <w:tcW w:w="2504"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Drilling, completions and non-operated additions to oil and natural gas properties</w:t>
            </w:r>
            <w:r>
              <w:rPr>
                <w:rFonts w:ascii="Times New Roman;sans-serif" w:hAnsi="Times New Roman;sans-serif"/>
                <w:b w:val="false"/>
                <w:color w:val="000000"/>
                <w:sz w:val="13"/>
              </w:rPr>
              <w:t>(1)</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additions to oil and natural gas properties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midstream assets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20"/>
        </w:rPr>
        <w:t>(1) See “—</w:t>
      </w:r>
      <w:hyperlink w:anchor="i09b7444577484ae3b81bbbd98957e58f_115">
        <w:r>
          <w:rPr>
            <w:rStyle w:val="InternetLink"/>
            <w:rFonts w:ascii="Times New Roman;sans-serif" w:hAnsi="Times New Roman;sans-serif"/>
            <w:b w:val="false"/>
            <w:i/>
            <w:color w:val="0000FF"/>
            <w:sz w:val="20"/>
            <w:u w:val="single"/>
          </w:rPr>
          <w:t>Transactions and Recent Developments—Upstream Operations</w:t>
        </w:r>
      </w:hyperlink>
      <w:r>
        <w:rPr>
          <w:color w:val="000000"/>
        </w:rPr>
        <w:t xml:space="preserve">” </w:t>
      </w:r>
      <w:r>
        <w:rPr>
          <w:rFonts w:ascii="Times New Roman;sans-serif" w:hAnsi="Times New Roman;sans-serif"/>
          <w:b w:val="false"/>
          <w:color w:val="000000"/>
          <w:sz w:val="20"/>
        </w:rPr>
        <w:t>above for additional detail on wells drilled and turned to production during the three and nine months ended September 30, 2024 and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During the nine months ended September 30, 2024, net cash provided by financing activities was primarily attributable to $5.5 billion of proceeds from the issuance of the April 2024 Notes, $1.0 billion in borrowings under the Tranche A Loans, $476 million in proceeds from the </w:t>
      </w:r>
      <w:r>
        <w:rPr>
          <w:rFonts w:ascii="Times New Roman;sans-serif" w:hAnsi="Times New Roman;sans-serif"/>
          <w:b w:val="false"/>
          <w:color w:val="000000"/>
          <w:sz w:val="20"/>
          <w:shd w:fill="FFFFFF" w:val="clear"/>
        </w:rPr>
        <w:t xml:space="preserve">Viper 2024 Equity Offering and </w:t>
      </w:r>
      <w:r>
        <w:rPr>
          <w:rFonts w:ascii="Times New Roman;sans-serif" w:hAnsi="Times New Roman;sans-serif"/>
          <w:b w:val="false"/>
          <w:color w:val="000000"/>
          <w:sz w:val="20"/>
        </w:rPr>
        <w:t xml:space="preserve">$451 million in proceeds from the sale of our shares of Viper’s Class A common stock. These cash inflows were partially offset by (i) $1.3 billion of dividends paid to stockholders, (ii) $557 million of repurchases as part of the share repurchase program, (iii) $157 million in dividends paid to non-controlling interest, (iv) $148 million in repayments on our credit facilities, net of borrowings, (v) $95 million of debt issuance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1155"/>
                <wp:effectExtent l="0" t="0" r="0" b="0"/>
                <wp:wrapNone/>
                <wp:docPr id="53" name="Frame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primarily associated with the April 2024 Notes, Term Loan Agreement and Bridge Facility, and (vi) $37 million in cash paid for tax withholdings on vested employee stock awards.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net cash used in financing activities was primarily attributable to (i) $776 million of repurchases as part of the share and unit repurchase programs, (ii) $841 million of dividends paid to stockholders, (iii) $134 million paid for the retirement of principal outstanding on certain senior notes, and (iv) $84 million in distributions to non-controlling interest. These cash outflows were partially offset by an additional $98 million in borrowings under credit facilities, net of repayments.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working capital requirements are primarily supported by our cash and cash equivalents and available borrowings under our revolving credit facility. We may draw on our revolving credit facility to meet short-term cash requirements, or issue debt or equity securities as part of our longer-term liquidity and capital management program. In September, we received an upgrade from two of the three major ratings agencies in the U.S., as Standard and Poor’s Global Ratings Services upgraded us to BBB from BBB- and Fitch Investor Services upgraded us to BBB+ from BBB. Because of the alternatives available to us, we believe that our short-term and long-term liquidity are adequate to fund not only our current operations, but also our near-term and long-term capital requirements.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we pursue our business and financial strategy, we regularly consider which capital resources, including cash flow and equity and debt financings, are available to meet our future financial obligations, planned capital expenditure activities and liquidity requirements. Our future ability to grow proved reserves and production will be highly dependent on the capital resources available to us. Any prolonged volatility in the capital, financial and/or credit markets and/or adverse macroeconomic conditions may limit our access to, or increase our cost of, capital or make capital unavailable on terms acceptable to us or at all.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Facilities and Other Debt Instruments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our debt, including the debt of Viper, consisted of approximately $12.0 billion in aggregate outstanding principal amount of senior notes, $1.0 billion in aggregate outstanding borrowings under the Tranche A Loans of our Term Loan Agreement and $115 million in aggregate outstanding borrowings under revolving credit facilities.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maximum credit amount available under our credit agreement was $2.5 billion, with $115 million of outstanding borrowings and $2.4 billion available for future borrowings. Our credit agreement matures on June 2, 2028, and we have a further one-year extension available pursuant to the terms set forth in the 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 2024, we terminated our undrawn Tranche B Loans under the Term Loan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Viper LLC’s Credit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Viper LLC credit agreement, as amended, matures on </w:t>
      </w:r>
      <w:r>
        <w:rPr>
          <w:rFonts w:ascii="Times New Roman;sans-serif" w:hAnsi="Times New Roman;sans-serif"/>
          <w:b w:val="false"/>
          <w:color w:val="000000"/>
          <w:sz w:val="20"/>
          <w:shd w:fill="FFFFFF" w:val="clear"/>
        </w:rPr>
        <w:t>September 22, 2028</w:t>
      </w:r>
      <w:r>
        <w:rPr>
          <w:color w:val="000000"/>
        </w:rPr>
        <w:t xml:space="preserve"> </w:t>
      </w:r>
      <w:r>
        <w:rPr>
          <w:rFonts w:ascii="Times New Roman;sans-serif" w:hAnsi="Times New Roman;sans-serif"/>
          <w:b w:val="false"/>
          <w:color w:val="000000"/>
          <w:sz w:val="20"/>
        </w:rPr>
        <w:t>and provides for a revolving credit facility in the maximum credit amount of $2.0 billion, with a borrowing base of $1.3 billion and an elected commitment amount of $850 million, based on Viper LLC’s oil and natural gas reserves and other factors. As of September 30, 2024, the Viper LLC credit agreement had no outstanding borrowings and $850 million available for future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On October 1, 2024, Viper completed the </w:t>
      </w:r>
      <w:r>
        <w:rPr>
          <w:rFonts w:ascii="Times New Roman;sans-serif" w:hAnsi="Times New Roman;sans-serif"/>
          <w:b w:val="false"/>
          <w:color w:val="000000"/>
          <w:sz w:val="20"/>
        </w:rPr>
        <w:t>Viper TWR Acquisition</w:t>
      </w:r>
      <w:r>
        <w:rPr>
          <w:color w:val="000000"/>
          <w:shd w:fill="FFFFFF" w:val="clear"/>
        </w:rPr>
        <w:t xml:space="preserve"> </w:t>
      </w:r>
      <w:r>
        <w:rPr>
          <w:rFonts w:ascii="Times New Roman;sans-serif" w:hAnsi="Times New Roman;sans-serif"/>
          <w:b w:val="false"/>
          <w:color w:val="000000"/>
          <w:sz w:val="20"/>
          <w:shd w:fill="FFFFFF" w:val="clear"/>
        </w:rPr>
        <w:t xml:space="preserve">as discussed in Note </w:t>
      </w:r>
      <w:r>
        <w:rPr>
          <w:rFonts w:ascii="Times New Roman;sans-serif" w:hAnsi="Times New Roman;sans-serif"/>
          <w:b w:val="false"/>
          <w:color w:val="000000"/>
          <w:sz w:val="20"/>
        </w:rPr>
        <w:t>17—</w:t>
      </w:r>
      <w:hyperlink w:anchor="i09b7444577484ae3b81bbbd98957e58f_91">
        <w:r>
          <w:rPr>
            <w:rStyle w:val="InternetLink"/>
            <w:rFonts w:ascii="Times New Roman;sans-serif" w:hAnsi="Times New Roman;sans-serif"/>
            <w:b w:val="false"/>
            <w:color w:val="0000FF"/>
            <w:sz w:val="20"/>
            <w:u w:val="single"/>
          </w:rPr>
          <w:t>Subsequent Events</w:t>
        </w:r>
      </w:hyperlink>
      <w:r>
        <w:rPr>
          <w:color w:val="000000"/>
          <w:shd w:fill="FFFFFF" w:val="clear"/>
        </w:rPr>
        <w:t xml:space="preserve"> </w:t>
      </w:r>
      <w:r>
        <w:rPr>
          <w:rFonts w:ascii="Times New Roman;sans-serif" w:hAnsi="Times New Roman;sans-serif"/>
          <w:b w:val="false"/>
          <w:color w:val="000000"/>
          <w:sz w:val="20"/>
          <w:shd w:fill="FFFFFF" w:val="clear"/>
        </w:rPr>
        <w:t xml:space="preserve">of the condensed notes to the consolidated financial statements. Approximately </w:t>
      </w:r>
      <w:r>
        <w:rPr>
          <w:rFonts w:ascii="Times New Roman;sans-serif" w:hAnsi="Times New Roman;sans-serif"/>
          <w:b w:val="false"/>
          <w:color w:val="000000"/>
          <w:sz w:val="20"/>
        </w:rPr>
        <w:t>$280 million</w:t>
      </w:r>
      <w:r>
        <w:rPr>
          <w:color w:val="000000"/>
          <w:shd w:fill="FFFFFF" w:val="clear"/>
        </w:rPr>
        <w:t xml:space="preserve"> </w:t>
      </w:r>
      <w:r>
        <w:rPr>
          <w:rFonts w:ascii="Times New Roman;sans-serif" w:hAnsi="Times New Roman;sans-serif"/>
          <w:b w:val="false"/>
          <w:color w:val="000000"/>
          <w:sz w:val="20"/>
          <w:shd w:fill="FFFFFF" w:val="clear"/>
        </w:rPr>
        <w:t xml:space="preserve">of the cash consideration for this transaction was funded through borrowings under the Viper LLC credit agreement, reducing the amount that remained available for future borrowings under this facility to </w:t>
      </w:r>
      <w:r>
        <w:rPr>
          <w:rFonts w:ascii="Times New Roman;sans-serif" w:hAnsi="Times New Roman;sans-serif"/>
          <w:b w:val="false"/>
          <w:color w:val="000000"/>
          <w:sz w:val="20"/>
        </w:rPr>
        <w:t>$570 million</w:t>
      </w:r>
      <w:r>
        <w:rPr>
          <w:color w:val="000000"/>
          <w:shd w:fill="FFFFFF" w:val="clear"/>
        </w:rPr>
        <w:t xml:space="preserve"> </w:t>
      </w:r>
      <w:r>
        <w:rPr>
          <w:rFonts w:ascii="Times New Roman;sans-serif" w:hAnsi="Times New Roman;sans-serif"/>
          <w:b w:val="false"/>
          <w:color w:val="000000"/>
          <w:sz w:val="20"/>
          <w:shd w:fill="FFFFFF" w:val="clear"/>
        </w:rPr>
        <w:t>as of October 1, 2024.</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For additional discussion of our debt as of September 30, 2024, see Note 9—</w:t>
      </w:r>
      <w:hyperlink w:anchor="i09b7444577484ae3b81bbbd98957e58f_64">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Requirements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addition to future operating expenses and working capital commitments discussed in “</w:t>
      </w:r>
      <w:r>
        <w:rPr>
          <w:color w:val="000000"/>
        </w:rPr>
        <w:t>—</w:t>
      </w:r>
      <w:hyperlink w:anchor="i09b7444577484ae3b81bbbd98957e58f_115">
        <w:r>
          <w:rPr>
            <w:rStyle w:val="InternetLink"/>
            <w:rFonts w:ascii="Times New Roman;sans-serif" w:hAnsi="Times New Roman;sans-serif"/>
            <w:b w:val="false"/>
            <w:i/>
            <w:color w:val="0000FF"/>
            <w:sz w:val="20"/>
            <w:u w:val="single"/>
          </w:rPr>
          <w:t>Transactions and Recent Developments—Upstream Operations</w:t>
        </w:r>
      </w:hyperlink>
      <w:r>
        <w:rPr>
          <w:color w:val="000000"/>
        </w:rPr>
        <w:t xml:space="preserve">” </w:t>
      </w:r>
      <w:r>
        <w:rPr>
          <w:rFonts w:ascii="Times New Roman;sans-serif" w:hAnsi="Times New Roman;sans-serif"/>
          <w:b w:val="false"/>
          <w:color w:val="000000"/>
          <w:sz w:val="20"/>
        </w:rPr>
        <w:t xml:space="preserve">our primary short and long-term liquidity requirements, excluding those of Viper, consist primarily of (i) capital expenditures, (ii) payments of principal and interest on our revolving credit agreements, Tranche A Loans and senior notes, (iii) payments of other contractual obligations, and (iv) cash used to pay for dividends and repurchases of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1155"/>
                <wp:effectExtent l="0" t="0" r="0" b="0"/>
                <wp:wrapNone/>
                <wp:docPr id="54" name="Frame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2024 Capital Spending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approved an increase to our 2024 capital budget for drilling, midstream, infrastructure and environmental expenditures, which takes into account the Endeavor Acquisition. Our revised capital budget for the full year 2024 is approximately $2.88 billion to $3.00 billion and for the fourth quarter 2024 is approximately $950 million to $1.05 billion. In the fourth quarter of 2024, we estimate we will drill 105 to 125 gross (100 to 118 net) horizontal wells and complete 110 to 130 gross (102 to 120 net) horizontal wells across our operated and non-operated leasehold acreage in the Northern Midland and Southern Delaware Basins.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20 drilling rigs and five completion crews. We will continue monitoring commodity prices and overall market conditions and can adjust our rig cadence and our capital expenditure budget in response to changes in commodity prices and overall market conditions.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on April 2024 Notes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On April 18, 2024, we issued $5.5 billion in aggregate principal amount of the April 2024 Notes, as discussed further in Note 9—</w:t>
      </w:r>
      <w:hyperlink w:anchor="i09b7444577484ae3b81bbbd98957e58f_64">
        <w:r>
          <w:rPr>
            <w:rStyle w:val="InternetLink"/>
            <w:rFonts w:ascii="Times New Roman;sans-serif" w:hAnsi="Times New Roman;sans-serif"/>
            <w:b w:val="false"/>
            <w:color w:val="0000FF"/>
            <w:sz w:val="20"/>
            <w:u w:val="single"/>
          </w:rPr>
          <w:t>Debt</w:t>
        </w:r>
      </w:hyperlink>
      <w:r>
        <w:rPr>
          <w:rFonts w:ascii="Times New Roman;sans-serif" w:hAnsi="Times New Roman;sans-serif"/>
          <w:b w:val="false"/>
          <w:color w:val="000000"/>
          <w:sz w:val="20"/>
        </w:rPr>
        <w:t>. As a result, we expect to incur additional future cash interest costs on the April 2024 Notes of approximately $130 million in 2024, $607 million cumulatively in the years from 2025 through 2026, $541 million cumulatively in the years from 2027 and 2028, and $4.7 billion cumulatively between 2029 and 2064.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Return of Capital Commitment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the first quarter of 2024, our board of directors has approved a return of capital commitment of at least 50% (down from 75%) of free cash flow to our stockholders through repurchases under our share repurchase program, base dividends and variable dividends. The remainder of our free cash flow will be used primarily to reduce debt. On October 31, 2024, our board of directors declared a base cash dividend for the third quarter of 2024 of $0.90 per share of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is a non-GAAP financial measure. As used by us, free cash flow is defined as cash flow from operating activities before changes in working capital in excess of cash capital expenditures and other adjustments as determined by us. We believe that free cash flow is useful to investors as it provides a measure to compare both cash flow from operating activities and additions to oil and natural gas properties across periods on a consistent basis.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On September 18, 2024, our board of directors approved an increase in our common stock repurchase program from $4.0 billion to $6.0 billion, excluding excise tax. Since the inception of the stock repurchase program, we repurchased an aggregate of 23.3 million shares of our common stock for a total cost of $3.1 billion, excluding excise tax, as of November 1, 2024. Subject to regulatory restrictions and other factors discussed elsewhere in this report, we intend to continue to purchase shares under this repurchase program opportunistically with available funds primarily from cash flow from operations and liquidity events such as the sale of assets while maintaining sufficient liquidity to fund our capital expenditure programs, however, the stock repurchase program is at the discretion of our board of directors and can be amended, terminated or suspended at any time. See Note 10—</w:t>
      </w:r>
      <w:hyperlink w:anchor="i09b7444577484ae3b81bbbd98957e58f_67">
        <w:r>
          <w:rPr>
            <w:rStyle w:val="InternetLink"/>
            <w:rFonts w:ascii="Times New Roman;sans-serif" w:hAnsi="Times New Roman;sans-serif"/>
            <w:b w:val="false"/>
            <w:color w:val="0000FF"/>
            <w:sz w:val="20"/>
            <w:u w:val="single"/>
          </w:rPr>
          <w:t>Stockholders' Equity and Earnings (Loss) Per Share</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Guarantor Financial Information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Diamondback E&amp;P is the sole guarantor under the indentures governing the outstanding Guaranteed Senior Notes.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Guarantees are “full and unconditional,” as that term is used in Regulation S-X, Rule 3-10(b)(3), except that such guarantees will be released or terminated in certain circumstances set forth in the indentures governing the Guaranteed Senior Notes, such as, with certain exceptions, (i) in the event Diamondback E&amp;P (or all or substantially all of its assets) is sold or disposed of, (ii) in the event Diamondback E&amp;P ceases to be a guarantor of or otherwise be an obligor under certain other indebtedness, and (iii) in connection with any covenant defeasance, legal defeasance or satisfaction and discharge of the relevant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E&amp;P’s guarantees of the Guaranteed Senior Notes are senior unsecured obligations and rank senior in right of payment to any of its future subordinated indebtedness, equal in right of payment with all of its existing and future senior indebtedness, including its obligations under its revolving credit facility, and effectively subordinated to any of its existing and future secured indebtedness, to the extent of the value of the collateral securing such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1155"/>
                <wp:effectExtent l="0" t="0" r="0" b="0"/>
                <wp:wrapNone/>
                <wp:docPr id="55" name="Frame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rights of holders of the Guaranteed Senior Notes against Diamondback E&amp;P may be limited under the U.S. Bankruptcy Code or state fraudulent transfer or conveyance law. Each guarantee contains a provision intended to limit Diamondback E&amp;P’s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E&amp;P. Moreover, this provision may not be effective to protect the guarantee from being voided under fraudulent conveyance laws. There is a possibility that the entire guarantee may be set aside, in which case the entire liability may be extinguished.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summarized financial information for Diamondback Energy, Inc., as the parent, and Diamondback E&amp;P,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51" w:type="dxa"/>
        <w:jc w:val="center"/>
        <w:tblInd w:w="0" w:type="dxa"/>
        <w:tblLayout w:type="fixed"/>
        <w:tblCellMar>
          <w:top w:w="28" w:type="dxa"/>
          <w:left w:w="28" w:type="dxa"/>
          <w:bottom w:w="28" w:type="dxa"/>
          <w:right w:w="28" w:type="dxa"/>
        </w:tblCellMar>
      </w:tblPr>
      <w:tblGrid>
        <w:gridCol w:w="1749"/>
        <w:gridCol w:w="1538"/>
        <w:gridCol w:w="1542"/>
        <w:gridCol w:w="325"/>
        <w:gridCol w:w="1112"/>
        <w:gridCol w:w="168"/>
        <w:gridCol w:w="109"/>
        <w:gridCol w:w="109"/>
        <w:gridCol w:w="109"/>
        <w:gridCol w:w="309"/>
        <w:gridCol w:w="1056"/>
        <w:gridCol w:w="225"/>
      </w:tblGrid>
      <w:tr>
        <w:trPr/>
        <w:tc>
          <w:tcPr>
            <w:tcW w:w="17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Summarized Balance Sheets:</w:t>
            </w:r>
          </w:p>
        </w:tc>
        <w:tc>
          <w:tcPr>
            <w:tcW w:w="35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accounts payable, non-guarantor subsidiary</w:t>
            </w:r>
          </w:p>
        </w:tc>
        <w:tc>
          <w:tcPr>
            <w:tcW w:w="3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330" w:type="dxa"/>
        <w:jc w:val="center"/>
        <w:tblInd w:w="0" w:type="dxa"/>
        <w:tblLayout w:type="fixed"/>
        <w:tblCellMar>
          <w:top w:w="28" w:type="dxa"/>
          <w:left w:w="28" w:type="dxa"/>
          <w:bottom w:w="28" w:type="dxa"/>
          <w:right w:w="28" w:type="dxa"/>
        </w:tblCellMar>
      </w:tblPr>
      <w:tblGrid>
        <w:gridCol w:w="1114"/>
        <w:gridCol w:w="979"/>
        <w:gridCol w:w="982"/>
        <w:gridCol w:w="700"/>
        <w:gridCol w:w="2044"/>
        <w:gridCol w:w="511"/>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2024</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Summarized Statement of Operations:</w:t>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7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7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There have been no changes in our critical accounting estimates from those disclosed in our </w:t>
      </w:r>
      <w:r>
        <w:fldChar w:fldCharType="begin"/>
      </w:r>
      <w:r>
        <w:rPr>
          <w:rStyle w:val="InternetLink"/>
          <w:sz w:val="20"/>
          <w:u w:val="single"/>
          <w:b w:val="false"/>
          <w:rFonts w:ascii="Times New Roman;sans-serif" w:hAnsi="Times New Roman;sans-serif"/>
          <w:color w:val="0000FF"/>
        </w:rPr>
        <w:instrText xml:space="preserve"> HYPERLINK "https://www.sec.gov/ix?doc=/Archives/edgar/data/1539838/000153983824000019/fang-20231231.htm" \l "i0d77fdad85ad4c5b80695648ad1eb956_70"</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for the year ended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2—</w:t>
      </w:r>
      <w:hyperlink w:anchor="i09b7444577484ae3b81bbbd98957e58f_43">
        <w:r>
          <w:rPr>
            <w:rStyle w:val="InternetLink"/>
            <w:rFonts w:ascii="Times New Roman;sans-serif" w:hAnsi="Times New Roman;sans-serif"/>
            <w:b w:val="false"/>
            <w:color w:val="0000FF"/>
            <w:sz w:val="20"/>
            <w:u w:val="single"/>
          </w:rPr>
          <w:t>Summary of Significant Accounting Policies</w:t>
        </w:r>
      </w:hyperlink>
      <w:r>
        <w:rPr>
          <w:color w:val="000000"/>
        </w:rPr>
        <w:t xml:space="preserve"> </w:t>
      </w:r>
      <w:r>
        <w:rPr>
          <w:rFonts w:ascii="Times New Roman;sans-serif" w:hAnsi="Times New Roman;sans-serif"/>
          <w:b w:val="false"/>
          <w:color w:val="000000"/>
          <w:sz w:val="20"/>
        </w:rPr>
        <w:t>of the condensed notes to the consolidated financial statements for recent accounting pronouncements not yet adopted, if any.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can be volatile and unpredictable. We cannot predict events, including the outcome of the war in Ukraine and the Israel-Hamas war along with other conflicts in the Middle East, changes in interest rates and inflation and global supply chain disruptions that may lead to future price volatility. We cannot predict events that may lead to future price volatility and the near term energy outlook remains subject to heightened levels of uncertainty. Further, the prices we receive for production depend on many other factors outside of our control.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1155"/>
                <wp:effectExtent l="0" t="0" r="0" b="0"/>
                <wp:wrapNone/>
                <wp:docPr id="56" name="Frame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derivatives, including swaps, basis swaps, roll swaps, costless collars, puts and basis puts, to reduce price volatility associated with certain of our oil and natural gas sales.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At September 30, 2024, we had a net asset derivative position of $77 million related to our commodity price risk derivatives. Utilizing actual derivative contractual volumes under our commodity price derivatives as of September 30, 2024, a 10% increase in forward curves associated with the underlying commodity would have decreased the net asset position by $39 million to $38 million, while a 10% decrease in forward curves associated with the underlying commodity would have increased the net asset position by $78 million to $155 million. However, any cash derivative gain or loss would be substantially offset by a decrease or increase, respectively, in the actual sales value of production covered by the derivative instrument. For additional information on our open commodity derivative instruments at September 30, 2024, see Note 13—</w:t>
      </w:r>
      <w:hyperlink w:anchor="i09b7444577484ae3b81bbbd98957e58f_76">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Counterparty and Customer Credit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exposures to credit risk are due to the concentration of receivables from the sale of our oil and natural gas production (approximately $1,197 million at September 30, 2024), and to a lesser extent, receivables resulting from joint interest and other receivables (approximately $142 million at September 30,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require our customers to post collateral, and the failure or inability of our significant customers to meet their obligations to us due to their liquidity issues, bankruptcy, insolvency or liquidation may adversely affect our financial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We are subject to market risk exposure related to changes in interest rates on our indebtedness under our revolving credit facilities, Tranche A Loans and changes in the fair value of our fixed rate debt. Outstanding borrowings under the credit agreement bear interest at a per annum rate elected by Diamondback E&amp;P. At September 30, 2024, the applicable margin ranges from 0.125% to 1.000% per annum in the case of the alternate base rate, and from 1.125% to 2.000% per annum in the case of Adjusted Term SOFR, in each case based on the pricing level for both our revolving credit facilities and Tranche A Loans. The pricing level depends on certain rating agencies’ ratings of our long-term senior unsecured debt. We are obligated to pay a quarterly commitment fee ranging from 0.125% to 0.325% per year on the unused portion of the commitment for our revolving credit facilities. For our Tranche A Loans, we are obligated to pay a quarterly commitment fee equal to 0.125% per year on the aggregate principal amount of the commitments. We believe significant interest rate changes would not have a material near-term impact on our future earnings or cash flows. For additional information on our variable interest rate debt at September 30, 2024, see Note 9—</w:t>
      </w:r>
      <w:hyperlink w:anchor="i09b7444577484ae3b81bbbd98957e58f_64">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Historically, we have at times used interest rates swaps to manage our exposure to (i) interest rate changes on our floating-rate date, and (ii) fair value changes on our fixed rate debt. At September 30, 2024, we have interest rate swap agreements for a notional amount of $900 million to manage the impact of changes to the fair value of our fixed rate senior notes due to changes in market interest rates through December 2029. We pay an average variable rate of interest for these swaps based on three month SOFR plus 2.1865% and receive a fixed interest rate of 3.50% from our counterparties. At September 30, 2024, our receive-fixed, pay-variable interest rate swaps were in a net liability position of $110 million, and the weighted average variable rate was 5.7%. For additional information on our interest rate swaps, see Note 13—</w:t>
      </w:r>
      <w:hyperlink w:anchor="i09b7444577484ae3b81bbbd98957e58f_76">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Evaluation of Disclosure Controls and Procedures</w:t>
      </w:r>
      <w:r>
        <w:rPr>
          <w:rFonts w:ascii="Times New Roman;sans-serif" w:hAnsi="Times New Roman;sans-serif"/>
          <w:b w:val="false"/>
          <w:color w:val="000000"/>
          <w:sz w:val="20"/>
        </w:rPr>
        <w:t xml:space="preserve">. Under the direction of our Chief Executive Officer and Chief Financial Officer, we have established disclosure controls and procedures, as defined in Rule 13a-15(e) and 15d-15(e) under the Exchange Act,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1155"/>
                <wp:effectExtent l="0" t="0" r="0" b="0"/>
                <wp:wrapNone/>
                <wp:docPr id="57" name="Frame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September 30, 2024, our disclosure controls and procedures are effective.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Changes in Internal Control over Financial Reporting</w:t>
      </w:r>
      <w:r>
        <w:rPr>
          <w:rFonts w:ascii="Times New Roman;sans-serif" w:hAnsi="Times New Roman;sans-serif"/>
          <w:b w:val="false"/>
          <w:color w:val="000000"/>
          <w:sz w:val="20"/>
        </w:rPr>
        <w:t>. Management’s assessment of, and conclusion on, the effectiveness of internal control over financial reporting did not include the internal controls of the entities acquired in the Endeavor Acquisition on September 10, 2024. Under guidelines established by the SEC, companies are permitted to exclude acquisitions from their assessment of internal control over financial reporting during the first year of an acquisition while integrating the acquired company. The Company is in the process of integrating Endeavor’s and our internal controls over financial reporting. As a result of these integration activities, certain controls will be evaluated and may be changed. Except as noted above, there were no changes in our internal control over financial reporting that occurred during the third quarter of 2024, that have materially affected, or are reasonably likely to materially affect, internal controls over financial reporting.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1155"/>
                <wp:effectExtent l="0" t="0" r="0" b="0"/>
                <wp:wrapNone/>
                <wp:docPr id="58" name="Frame5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employment claims, claims alleging violations of antitrust laws, contamination claims relating to oil and natural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 See Note 16—</w:t>
      </w:r>
      <w:hyperlink w:anchor="i09b7444577484ae3b81bbbd98957e58f_85">
        <w:r>
          <w:rPr>
            <w:rStyle w:val="InternetLink"/>
            <w:rFonts w:ascii="Times New Roman;sans-serif" w:hAnsi="Times New Roman;sans-serif"/>
            <w:b w:val="false"/>
            <w:color w:val="0000FF"/>
            <w:sz w:val="20"/>
            <w:u w:val="single"/>
          </w:rPr>
          <w:t>Commitments and Contingencies</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of the date of this filing, in addition to the factors discussed elsewhere in this report, we continue to be subject to the risk factors previously disclosed in </w:t>
      </w:r>
      <w:r>
        <w:fldChar w:fldCharType="begin"/>
      </w:r>
      <w:r>
        <w:rPr>
          <w:rStyle w:val="InternetLink"/>
          <w:sz w:val="20"/>
          <w:u w:val="single"/>
          <w:b w:val="false"/>
          <w:rFonts w:ascii="Times New Roman;sans-serif" w:hAnsi="Times New Roman;sans-serif"/>
          <w:color w:val="0000FF"/>
        </w:rPr>
        <w:instrText xml:space="preserve"> HYPERLINK "https://www.sec.gov/ix?doc=/Archives/edgar/data/1539838/000153983824000019/fang-20231231.htm" \l "i0d77fdad85ad4c5b80695648ad1eb956_25"</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Part I, Item 1A. Risk Factors in our 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 xml:space="preserve">for the year ended December 31, 2023, filed with the SEC on February 22, 2024 and in subsequent filings we make with the SEC. There have been no material changes in our risk factors from those described in our </w:t>
      </w:r>
      <w:hyperlink r:id="rId4">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year ended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Unregistered Sales of Equity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Issuer Repurchases of Equity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repurchase activity for the three months ended September 30, 2024 was as follows: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814"/>
        <w:gridCol w:w="401"/>
        <w:gridCol w:w="403"/>
        <w:gridCol w:w="109"/>
        <w:gridCol w:w="109"/>
        <w:gridCol w:w="109"/>
        <w:gridCol w:w="452"/>
        <w:gridCol w:w="452"/>
        <w:gridCol w:w="453"/>
        <w:gridCol w:w="109"/>
        <w:gridCol w:w="109"/>
        <w:gridCol w:w="109"/>
        <w:gridCol w:w="286"/>
        <w:gridCol w:w="978"/>
        <w:gridCol w:w="147"/>
        <w:gridCol w:w="109"/>
        <w:gridCol w:w="109"/>
        <w:gridCol w:w="109"/>
        <w:gridCol w:w="689"/>
        <w:gridCol w:w="689"/>
        <w:gridCol w:w="691"/>
        <w:gridCol w:w="109"/>
        <w:gridCol w:w="109"/>
        <w:gridCol w:w="109"/>
        <w:gridCol w:w="522"/>
        <w:gridCol w:w="1529"/>
        <w:gridCol w:w="391"/>
      </w:tblGrid>
      <w:tr>
        <w:trPr/>
        <w:tc>
          <w:tcPr>
            <w:tcW w:w="81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Average Price Paid Per Share</w:t>
            </w:r>
            <w:r>
              <w:rPr>
                <w:rFonts w:ascii="Times New Roman;sans-serif" w:hAnsi="Times New Roman;sans-serif"/>
                <w:b/>
                <w:color w:val="000000"/>
                <w:sz w:val="12"/>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Approximate Dollar Value of Shares that May Yet Be Purchased Under the Plan</w:t>
            </w:r>
            <w:r>
              <w:rPr>
                <w:rFonts w:ascii="Times New Roman;sans-serif" w:hAnsi="Times New Roman;sans-serif"/>
                <w:b/>
                <w:color w:val="000000"/>
                <w:sz w:val="12"/>
              </w:rPr>
              <w:t>(2)(3)</w:t>
            </w:r>
          </w:p>
        </w:tc>
      </w:tr>
      <w:tr>
        <w:trPr/>
        <w:tc>
          <w:tcPr>
            <w:tcW w:w="1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In millions, except per share amounts, shares in thousands)</w:t>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2024 - July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2024 - August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2024 -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average price paid per share includes any commissions paid to repurchase stock.</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(2)On September 18, 2024, our board of directors approved an increase in our common stock repurchase program from $4.0 billion to $6.0 billion, excluding excise tax. The stock repurchase program has no time limit and may be suspended, modified, or discontinued by the board of directors at any time.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Inflation Reduction Act of 2022, which was enacted into law on August 16, 2022, imposed a nondeductible 1% excise tax on the net value of certain stock repurchases made after December 31, 2022. All dollar amounts presented exclude such excise taxes, as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or terminated a Rule 10b5-1 trading arrangement or a non-Rule 10b5-1 trading arrangement during the Company’s fiscal quarter ended September 30, 2024.</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ITEM 6.    EXHIBITS</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EXHIBIT INDEX</w:t>
      </w:r>
    </w:p>
    <w:tbl>
      <w:tblPr>
        <w:tblW w:w="10205" w:type="dxa"/>
        <w:jc w:val="center"/>
        <w:tblInd w:w="0" w:type="dxa"/>
        <w:tblLayout w:type="fixed"/>
        <w:tblCellMar>
          <w:top w:w="28" w:type="dxa"/>
          <w:left w:w="28" w:type="dxa"/>
          <w:bottom w:w="28" w:type="dxa"/>
          <w:right w:w="28" w:type="dxa"/>
        </w:tblCellMar>
      </w:tblPr>
      <w:tblGrid>
        <w:gridCol w:w="345"/>
        <w:gridCol w:w="302"/>
        <w:gridCol w:w="304"/>
        <w:gridCol w:w="109"/>
        <w:gridCol w:w="109"/>
        <w:gridCol w:w="109"/>
        <w:gridCol w:w="2632"/>
        <w:gridCol w:w="2596"/>
        <w:gridCol w:w="3699"/>
      </w:tblGrid>
      <w:tr>
        <w:trPr/>
        <w:tc>
          <w:tcPr>
            <w:tcW w:w="3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20"/>
              <w:jc w:val="left"/>
              <w:rPr>
                <w:rFonts w:ascii="Times New Roman;sans-serif" w:hAnsi="Times New Roman;sans-serif"/>
                <w:b/>
                <w:color w:val="000000"/>
                <w:sz w:val="19"/>
              </w:rPr>
            </w:pPr>
            <w:r>
              <w:rPr>
                <w:rFonts w:ascii="Times New Roman;sans-serif" w:hAnsi="Times New Roman;sans-serif"/>
                <w:b/>
                <w:color w:val="000000"/>
                <w:sz w:val="19"/>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20"/>
              <w:jc w:val="left"/>
              <w:rPr>
                <w:rFonts w:ascii="Times New Roman;sans-serif" w:hAnsi="Times New Roman;sans-serif"/>
                <w:b/>
                <w:color w:val="000000"/>
                <w:sz w:val="19"/>
              </w:rPr>
            </w:pPr>
            <w:r>
              <w:rPr>
                <w:rFonts w:ascii="Times New Roman;sans-serif" w:hAnsi="Times New Roman;sans-serif"/>
                <w:b/>
                <w:color w:val="000000"/>
                <w:sz w:val="19"/>
              </w:rPr>
              <w:t>Description</w:t>
            </w:r>
          </w:p>
        </w:tc>
      </w:tr>
      <w:tr>
        <w:trPr/>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ans-serif" w:hAnsi="Times New Roman;sans-serif"/>
                  <w:b w:val="false"/>
                  <w:color w:val="0000FF"/>
                  <w:sz w:val="19"/>
                  <w:u w:val="single"/>
                </w:rPr>
                <w:t>Agreement and Plan of Merger, dated as of February 11, 2024, by and among the Company, Endeavor, Merger Sub I, Merger Sub II and the Company Representative (for purposes of certain sections set forth therein) (incorporated by reference to Exhibit 2.1 to the Form 8-K, File No 001-35700, filed by the Company with the SEC on February 12, 2024).</w:t>
              </w:r>
            </w:hyperlink>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ans-serif" w:hAnsi="Times New Roman;sans-serif"/>
                  <w:b w:val="false"/>
                  <w:color w:val="0000FF"/>
                  <w:sz w:val="19"/>
                  <w:u w:val="single"/>
                </w:rPr>
                <w:t>Letter Agreement, amending the Merger Agreement, by and among the Company, Endeavor, Merger Sub I, Merger Sub II and the Company Representative, dated March 18, 2024 (incorporated by reference to Exhibit 2.1 to the Form 8-K, File No 001-35700, filed by the Company with the SEC on March 18, 2024).</w:t>
              </w:r>
            </w:hyperlink>
          </w:p>
        </w:tc>
      </w:tr>
      <w:tr>
        <w:trPr/>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Times New Roman;sans-serif" w:hAnsi="Times New Roman;sans-serif"/>
                  <w:b w:val="false"/>
                  <w:color w:val="0000FF"/>
                  <w:sz w:val="19"/>
                  <w:u w:val="single"/>
                </w:rPr>
                <w:t>Second Amended and Restated Certificate of Incorporation of the Company (incorporated by reference to Exhibit 3.1 to the Form 8-K, File No. 001-35700, filed by the Company with the SEC on June 14, 2023).</w:t>
              </w:r>
            </w:hyperlink>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ans-serif" w:hAnsi="Times New Roman;sans-serif"/>
                  <w:b w:val="false"/>
                  <w:color w:val="0000FF"/>
                  <w:sz w:val="19"/>
                  <w:u w:val="single"/>
                </w:rPr>
                <w:t>Fifth Amended and Restated Bylaws of the Company, adopted as of September 18, 2024 (incorporated by reference to Exhibit 3.1 to the Form 8-K, File No. 001-35700, filed by the Company with the SEC on September 18, 2024).</w:t>
              </w:r>
            </w:hyperlink>
          </w:p>
        </w:tc>
      </w:tr>
      <w:tr>
        <w:trPr/>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ans-serif" w:hAnsi="Times New Roman;sans-serif"/>
                  <w:b w:val="false"/>
                  <w:color w:val="0000FF"/>
                  <w:sz w:val="19"/>
                  <w:u w:val="single"/>
                </w:rPr>
                <w:t>Specimen certificate for shares of common stock, par value $0.01 per share, of the Company (incorporated by reference to Exhibit 4.1 to Amendment No. 4 to the Registration Statement on Form S-1, File No. 333-179502, filed by the Company with the SEC on August 20, 2012).</w:t>
              </w:r>
            </w:hyperlink>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ans-serif" w:hAnsi="Times New Roman;sans-serif"/>
                  <w:b w:val="false"/>
                  <w:color w:val="0000FF"/>
                  <w:sz w:val="19"/>
                  <w:u w:val="single"/>
                </w:rPr>
                <w:t>List of Issuers and Guarantor Subsidiaries (incorporated by reference to Exhibit 22.1 to the Form 10-Q, File No. 001-35700, filed by the Company with the SEC on August 5, 2021).</w:t>
              </w:r>
            </w:hyperlink>
          </w:p>
        </w:tc>
      </w:tr>
      <w:tr>
        <w:trPr/>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q32024diamondback10-qxex311.htm">
              <w:r>
                <w:rPr>
                  <w:rStyle w:val="InternetLink"/>
                  <w:rFonts w:ascii="Times New Roman;sans-serif" w:hAnsi="Times New Roman;sans-serif"/>
                  <w:b w:val="false"/>
                  <w:color w:val="0000FF"/>
                  <w:sz w:val="19"/>
                  <w:u w:val="single"/>
                </w:rPr>
                <w:t>Certification of Chief Executive Officer of the Registrant pursuant to Rule 13a-14(a) promulgated under the Securities Exchange Act of 1934, as amended.</w:t>
              </w:r>
            </w:hyperlink>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q32024diamondback10-qxex312.htm">
              <w:r>
                <w:rPr>
                  <w:rStyle w:val="InternetLink"/>
                  <w:rFonts w:ascii="Times New Roman;sans-serif" w:hAnsi="Times New Roman;sans-serif"/>
                  <w:b w:val="false"/>
                  <w:color w:val="0000FF"/>
                  <w:sz w:val="19"/>
                  <w:u w:val="single"/>
                </w:rPr>
                <w:t>Certification of Chief Financial Officer of the Registrant pursuant to Rule 13a-14(a) promulgated under the Securities Exchange Act of 1934, as amended.</w:t>
              </w:r>
            </w:hyperlink>
          </w:p>
        </w:tc>
      </w:tr>
      <w:tr>
        <w:trPr/>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q32024diamondback10-qxex321.htm">
              <w:r>
                <w:rPr>
                  <w:rStyle w:val="InternetLink"/>
                  <w:rFonts w:ascii="Times New Roman;sans-serif" w:hAnsi="Times New Roman;sans-serif"/>
                  <w:b w:val="false"/>
                  <w:color w:val="0000FF"/>
                  <w:sz w:val="19"/>
                  <w:u w:val="single"/>
                </w:rPr>
                <w:t>Certification of Chief Executive Officer of the Registrant pursuant to Rule 13a-14(b) promulgated under the Securities Exchange Act of 1934, as amended, and Section 1350 of Chapter 63 of Title 18 of the United States Code.</w:t>
              </w:r>
            </w:hyperlink>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q32024diamondback10-qxex322.htm">
              <w:r>
                <w:rPr>
                  <w:rStyle w:val="InternetLink"/>
                  <w:rFonts w:ascii="Times New Roman;sans-serif" w:hAnsi="Times New Roman;sans-serif"/>
                  <w:b w:val="false"/>
                  <w:color w:val="0000FF"/>
                  <w:sz w:val="19"/>
                  <w:u w:val="single"/>
                </w:rPr>
                <w:t>Certification of Chief Financial Officer of the Registrant pursuant to Rule 13a-14(b) promulgated under the Securities Exchange Act of 1934, as amended, and Section 1350 of Chapter 63 of Title 18 of the United States Code.</w:t>
              </w:r>
            </w:hyperlink>
          </w:p>
        </w:tc>
      </w:tr>
      <w:tr>
        <w:trPr/>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following financial information from the Company’s Quarterly Report on Form 10-Q for the quarter ended September 30, 2024, formatted in Inline XBRL: (i) Condensed Consolidated Balance Sheets, (ii) Condensed Consolidated Statements of Operations, (iii) Condensed Consolidated Statement of Changes in Stockholders’ Equity, (iv) Condensed Consolidated Statements of Cash Flows, and (v) Condensed Notes to Consolidated Financial Statements.</w:t>
            </w:r>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ans-serif" w:hAnsi="Times New Roman;sans-serif"/>
                <w:b w:val="false"/>
                <w:color w:val="000000"/>
                <w:sz w:val="19"/>
              </w:rPr>
            </w:pPr>
            <w:r>
              <w:rPr>
                <w:rFonts w:ascii="Times New Roman;sans-serif" w:hAnsi="Times New Roman;sans-serif"/>
                <w:b w:val="false"/>
                <w:color w:val="000000"/>
                <w:sz w:val="19"/>
              </w:rPr>
              <w:t>The certifications attached as Exhibit 32.1 and Exhibit 32.2 accompany this Quarterly Report on Form 10-Q pursuant to 18 U.S.C. Section 1350, as adopted pursuant to Section 906 of the Sarbanes-Oxley Act of 2002, and shall not be deemed “filed” by the Registrant for purposes of Section 18 of the Securities Exchange Act of 1934, as amended.</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Schedules have been omitted pursuant to Item 601(a)(5) of Regulation S-K promulgated by the SEC. The Registrant agrees to furnish supplementally a copy of any omitted schedule or exhibit to the SEC upon request.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09b7444577484ae3b81bbbd98957e58f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and Exchange Act of 1934, the Registrant has duly caused this report to be signed on its behalf by the undersigned thereunto duly authorized.</w:t>
      </w:r>
    </w:p>
    <w:p>
      <w:pPr>
        <w:pStyle w:val="TextBody"/>
        <w:bidi w:val="0"/>
        <w:spacing w:before="0" w:after="0"/>
        <w:ind w:left="0" w:right="0" w:firstLine="720"/>
        <w:jc w:val="both"/>
        <w:rPr/>
      </w:pPr>
      <w:r>
        <w:rPr/>
      </w:r>
    </w:p>
    <w:tbl>
      <w:tblPr>
        <w:tblW w:w="5053" w:type="dxa"/>
        <w:jc w:val="center"/>
        <w:tblInd w:w="0" w:type="dxa"/>
        <w:tblLayout w:type="fixed"/>
        <w:tblCellMar>
          <w:top w:w="28" w:type="dxa"/>
          <w:left w:w="28" w:type="dxa"/>
          <w:bottom w:w="28" w:type="dxa"/>
          <w:right w:w="28" w:type="dxa"/>
        </w:tblCellMar>
      </w:tblPr>
      <w:tblGrid>
        <w:gridCol w:w="200"/>
        <w:gridCol w:w="177"/>
        <w:gridCol w:w="178"/>
        <w:gridCol w:w="534"/>
        <w:gridCol w:w="534"/>
        <w:gridCol w:w="536"/>
        <w:gridCol w:w="847"/>
        <w:gridCol w:w="847"/>
        <w:gridCol w:w="120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DIAMONDBACK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Travis D. Stice, certify that: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Diamondback Energy, Inc.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599" w:type="dxa"/>
        <w:jc w:val="left"/>
        <w:tblInd w:w="0" w:type="dxa"/>
        <w:tblLayout w:type="fixed"/>
        <w:tblCellMar>
          <w:top w:w="28" w:type="dxa"/>
          <w:left w:w="28" w:type="dxa"/>
          <w:bottom w:w="28" w:type="dxa"/>
          <w:right w:w="28" w:type="dxa"/>
        </w:tblCellMar>
      </w:tblPr>
      <w:tblGrid>
        <w:gridCol w:w="216"/>
        <w:gridCol w:w="191"/>
        <w:gridCol w:w="192"/>
        <w:gridCol w:w="534"/>
        <w:gridCol w:w="534"/>
        <w:gridCol w:w="536"/>
        <w:gridCol w:w="109"/>
        <w:gridCol w:w="109"/>
        <w:gridCol w:w="109"/>
        <w:gridCol w:w="603"/>
        <w:gridCol w:w="603"/>
        <w:gridCol w:w="86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Kaes Van't Hof, certify that: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Diamondback Energy, Inc.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540" w:type="dxa"/>
        <w:jc w:val="left"/>
        <w:tblInd w:w="0" w:type="dxa"/>
        <w:tblLayout w:type="fixed"/>
        <w:tblCellMar>
          <w:top w:w="28" w:type="dxa"/>
          <w:left w:w="28" w:type="dxa"/>
          <w:bottom w:w="28" w:type="dxa"/>
          <w:right w:w="28" w:type="dxa"/>
        </w:tblCellMar>
      </w:tblPr>
      <w:tblGrid>
        <w:gridCol w:w="216"/>
        <w:gridCol w:w="191"/>
        <w:gridCol w:w="192"/>
        <w:gridCol w:w="534"/>
        <w:gridCol w:w="534"/>
        <w:gridCol w:w="536"/>
        <w:gridCol w:w="109"/>
        <w:gridCol w:w="109"/>
        <w:gridCol w:w="109"/>
        <w:gridCol w:w="588"/>
        <w:gridCol w:w="588"/>
        <w:gridCol w:w="83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 REPORT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Diamondback Energy, Inc. (the "Company"), as filed with the Securities and Exchange Commission on the date hereof (the "Report"), I, the undersigned, Travis D. Stice, Chief Executive Officer of Diamondback Energy, Inc., certify, pursuant to Section 906 of the Sarbanes-Oxley Act of 2002, 18 U.S.C. Section 1350, that, to the best of my knowledge: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(15 U.S.C. 78m(a) or 78o(d)); and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599" w:type="dxa"/>
        <w:jc w:val="left"/>
        <w:tblInd w:w="0" w:type="dxa"/>
        <w:tblLayout w:type="fixed"/>
        <w:tblCellMar>
          <w:top w:w="28" w:type="dxa"/>
          <w:left w:w="28" w:type="dxa"/>
          <w:bottom w:w="28" w:type="dxa"/>
          <w:right w:w="28" w:type="dxa"/>
        </w:tblCellMar>
      </w:tblPr>
      <w:tblGrid>
        <w:gridCol w:w="216"/>
        <w:gridCol w:w="191"/>
        <w:gridCol w:w="192"/>
        <w:gridCol w:w="534"/>
        <w:gridCol w:w="534"/>
        <w:gridCol w:w="536"/>
        <w:gridCol w:w="109"/>
        <w:gridCol w:w="109"/>
        <w:gridCol w:w="109"/>
        <w:gridCol w:w="603"/>
        <w:gridCol w:w="603"/>
        <w:gridCol w:w="86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 REPORT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Diamondback Energy, Inc. (the "Company"), as filed with the Securities and Exchange Commission on the date hereof (the "Report"), I, the undersigned, Kaes Van't Hof, Chief Financial Officer of Diamondback Energy, Inc., certify, pursuant to Section 906 of the Sarbanes-Oxley Act of 2002, 18 U.S.C. Section 1350, that, to the best of my knowledge: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(15 U.S.C. 78m(a) or 78o(d)); and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540" w:type="dxa"/>
        <w:jc w:val="left"/>
        <w:tblInd w:w="0" w:type="dxa"/>
        <w:tblLayout w:type="fixed"/>
        <w:tblCellMar>
          <w:top w:w="28" w:type="dxa"/>
          <w:left w:w="28" w:type="dxa"/>
          <w:bottom w:w="28" w:type="dxa"/>
          <w:right w:w="28" w:type="dxa"/>
        </w:tblCellMar>
      </w:tblPr>
      <w:tblGrid>
        <w:gridCol w:w="216"/>
        <w:gridCol w:w="191"/>
        <w:gridCol w:w="192"/>
        <w:gridCol w:w="534"/>
        <w:gridCol w:w="534"/>
        <w:gridCol w:w="536"/>
        <w:gridCol w:w="109"/>
        <w:gridCol w:w="109"/>
        <w:gridCol w:w="109"/>
        <w:gridCol w:w="588"/>
        <w:gridCol w:w="588"/>
        <w:gridCol w:w="83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3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539838/000153983824000019/fang-20231231.htm" TargetMode="External"/><Relationship Id="rId3" Type="http://schemas.openxmlformats.org/officeDocument/2006/relationships/hyperlink" Target="https://www.sec.gov/ix?doc=/Archives/edgar/data/1539838/000153983824000019/fang-20231231.htm" TargetMode="External"/><Relationship Id="rId4" Type="http://schemas.openxmlformats.org/officeDocument/2006/relationships/hyperlink" Target="https://www.sec.gov/ix?doc=/Archives/edgar/data/1539838/000153983824000019/fang-20231231.htm" TargetMode="External"/><Relationship Id="rId5" Type="http://schemas.openxmlformats.org/officeDocument/2006/relationships/hyperlink" Target="https://www.sec.gov/Archives/edgar/data/1539838/000114036124006881/ny20021341x1_ex2-1.htm" TargetMode="External"/><Relationship Id="rId6" Type="http://schemas.openxmlformats.org/officeDocument/2006/relationships/hyperlink" Target="https://www.sec.gov/Archives/edgar/data/1539838/000114036124013891/ny20021341x11_ex2-1.htm" TargetMode="External"/><Relationship Id="rId7" Type="http://schemas.openxmlformats.org/officeDocument/2006/relationships/hyperlink" Target="https://www.sec.gov/Archives/edgar/data/1539838/000153983823000086/diamondbackex31-6x14x23.htm" TargetMode="External"/><Relationship Id="rId8" Type="http://schemas.openxmlformats.org/officeDocument/2006/relationships/hyperlink" Target="https://www.sec.gov/Archives/edgar/data/1539838/000114036124041466/ef20035944_ex3-1.htm" TargetMode="External"/><Relationship Id="rId9" Type="http://schemas.openxmlformats.org/officeDocument/2006/relationships/hyperlink" Target="https://www.sec.gov/Archives/edgar/data/1539838/000119312512360997/d295327dex41.htm" TargetMode="External"/><Relationship Id="rId10" Type="http://schemas.openxmlformats.org/officeDocument/2006/relationships/hyperlink" Target="https://www.sec.gov/Archives/edgar/data/1539838/000153983821000117/diamondback-ex211x82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30569</Words>
  <Characters>166062</Characters>
  <CharactersWithSpaces>194090</CharactersWithSpaces>
  <Paragraphs>4805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