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February 29, 2024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Diamondback Energy,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31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001-35700</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45-4502447</w:t>
            </w:r>
          </w:p>
        </w:tc>
      </w:tr>
      <w:tr>
        <w:trPr>
          <w:trHeight w:val="216"/>
        </w:trPr>
        <w:tc>
          <w:tcPr>
            <w:tcW w:w="31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500 West Texas Ave.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Midland, TX 79701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(432) 221-7400</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jc w:val="both"/>
        <w:ind w:right="4100" w:firstLine="8"/>
        <w:spacing w:after="0" w:line="226" w:lineRule="exact"/>
        <w:tabs>
          <w:tab w:leader="none" w:pos="5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140"/>
          </w:cols>
          <w:pgMar w:left="320" w:top="732" w:right="439" w:bottom="1440" w:gutter="0" w:footer="0" w:header="0"/>
        </w:sectPr>
      </w:pPr>
    </w:p>
    <w:p>
      <w:pPr>
        <w:spacing w:after="0" w:line="22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FANG</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 The Nasdaq Stock Market LLC (NASDAQ Global Select Market)</w:t>
      </w:r>
    </w:p>
    <w:p>
      <w:pPr>
        <w:spacing w:after="0" w:line="359" w:lineRule="exact"/>
        <w:rPr>
          <w:sz w:val="24"/>
          <w:szCs w:val="24"/>
          <w:color w:val="auto"/>
        </w:rPr>
      </w:pPr>
    </w:p>
    <w:p>
      <w:pPr>
        <w:sectPr>
          <w:pgSz w:w="11900" w:h="16838" w:orient="portrait"/>
          <w:cols w:equalWidth="0" w:num="3">
            <w:col w:w="4140" w:space="720"/>
            <w:col w:w="1440" w:space="480"/>
            <w:col w:w="4360"/>
          </w:cols>
          <w:pgMar w:left="320" w:top="732" w:right="439" w:bottom="1440" w:gutter="0" w:footer="0" w:header="0"/>
          <w:type w:val="continuous"/>
        </w:sectPr>
      </w:pPr>
    </w:p>
    <w:p>
      <w:pPr>
        <w:spacing w:after="0" w:line="245"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tabs>
          <w:tab w:leader="none" w:pos="24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32" w:right="439" w:bottom="1440" w:gutter="0" w:footer="0" w:header="0"/>
          <w:type w:val="continuous"/>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29, 2024 (the “Term Loan Effective Date”), Diamondback Energy, Inc., as guarantor (the “Company”), entered into a Term Loan Credit Agreement with Diamondback E&amp;P LLC, as borrower (the “Borrower”), the lenders named therein and Citibank, N.A., as administrative agent (the “Term Loan Agreement”). The Term Loan Agreement was entered into in connection with the Company’s pending acquisition (the “Acquisition”) of Endeavor Parent, LLC (“Endeavor”) pursuant to the Agreement and Plan of Merger, dated as of February 11, 2024, by and among the Company, Eclipse Merger Sub I, LLC, Eclipse Merger Sub II, LLC, Endeavor Manager, LLC and Endeavor.</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Term Loan Agreement provides the Borrower with the ability to borrow up to $1.5 billion (comprised of $1 billion of “Tranche A Loans” and $500 million of “Tranche B Loans”) on an unsecured basis to pay a portion of the cash consideration for the Acquisition, repay certain debt of Endeavor and/or pay fees, costs and expenses related thereto.</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availability of the loans under the Term Loan Agreement, which have not yet been funded, is subject to the satisfaction (or waiver) of certain limited customary acquisition-financing conditions set forth therein. The date on which such conditions are satisfied (or waived) is the “Closing Date”. The loans under the Term Loan Agreement will be made in a single borrowing on the Closing Date and will mature and be payable in full, in the case of the Tranche A Loans, on the first anniversary of the Closing Date and, in the case of the Tranche B Loans, on the second anniversary of the Closing Date.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Term Loan Agreement will bear interest at a fluctuating rate per annum equal to, at the Borrower’s option, the alternate base rate or the adjusted Term SOFR rate, in each case, plus an applicable margin calculated based on the credit ratings of the Company’s senior, unsecured, long-term debt. The Borrower will also pay to the lenders under the Term Loan Agreement certain customary fees, including undrawn commitment fees accruing from and after the date that is 120 days after the Term Loan Effective Date to but excluding the earlier of the Closing Date and the termination or expiration of the commitments in respect of the Term Loan Agreement.</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loans under the Term Loan Agreement may be voluntarily prepaid, and unutilized commitments thereunder may be voluntarily reduced, without penalty, other than customary Term SOFR loan breakage.</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Term Loan Agreement contains representations and warranties and affirmative and negative covenants customary for unsecured financings of this type, as more fully described in the Term Loan Agreement.</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Term Loan Agreement also contains events of default (subject to grace periods, as applicable), including, among others: nonpayment of principal, interest or fees; breach of covenants; payment default on, or acceleration under, certain other material indebtedness; inaccuracy of the representations or warranties in any material respect; bankruptcy or insolvency; certain unsatisfied judgments; and the occurrence of a change of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 Amendment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March 6, 2024, the Company and the Borrower entered into a fourteenth amendment (the “Revolving Amendment”) to the Second Amended and Restated Credit Agreement, dated as of November 1, 2013, with Wells Fargo Bank, National Association, as administrative agent (the “Administrative Agent”), and the lenders party thereto (as amended, supplemented or otherwise modified prior to the date of the Revolving Amendment and as further amended by the Revolving Amendment, the “Revolving Credit Agreement”).</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Revolving Amendment, among other things, (i) increased the total revolving loan commitments under the Revolving Credit Agreement from $1.6 billion to $2.5 billion (such increased amount, the “Increased Commitment”), (ii) decreased the swingline commitments available under the Revolving Credit Agreement from $100 million to $50 million and (iii) made certain amendments to the representations and warranties, affirmative and negative covenants, and events of default contained therein. The availability of the Increased Commitment is subject to the satisfaction (or waiver) of certain conditions, including the occurrence of the Funding Date (as defined the Term Loan Agreement). The interest rate applicable to borrowings under the Revolving Credit Agreement remains unchanged following the Revolving Amendment.</w:t>
      </w:r>
    </w:p>
    <w:p>
      <w:pPr>
        <w:spacing w:after="0" w:line="18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Term Loan Agreement and the Revolving Amendment do not purport to be complete and are qualified in their entirety by reference to the full text of the Term Loan Agreement and the Revolving Amendment attached hereto as Exhibits 10.1 and 10.2, respectively, and incorporated herein by reference.</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Many of the lenders under the Term Loan Agreement and the Revolving Credit Agreement and/or their affiliates have in the past performed, and may in the future from time to time perform, investment banking, financial advisory, lending and/or commercial banking services, or other services for the Company and its subsidiaries (including in connection with the transactions described in this Form 8-K), for which they have received, and may in the future receive, customary compensation and expense reimbursement.</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above is hereby incorporated by reference in its entirety into this Item 2.03.</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0"/>
                <w:szCs w:val="20"/>
                <w:color w:val="auto"/>
              </w:rPr>
            </w:pPr>
          </w:p>
        </w:tc>
        <w:tc>
          <w:tcPr>
            <w:tcW w:w="9580" w:type="dxa"/>
            <w:vAlign w:val="bottom"/>
          </w:tcPr>
          <w:p>
            <w:pPr>
              <w:spacing w:after="0"/>
              <w:rPr>
                <w:sz w:val="20"/>
                <w:szCs w:val="20"/>
                <w:color w:val="auto"/>
              </w:rPr>
            </w:pPr>
          </w:p>
        </w:tc>
      </w:tr>
      <w:tr>
        <w:trPr>
          <w:trHeight w:val="439"/>
        </w:trPr>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20" w:type="dxa"/>
            <w:vAlign w:val="bottom"/>
          </w:tcPr>
          <w:p>
            <w:pPr>
              <w:spacing w:after="0"/>
              <w:rPr>
                <w:sz w:val="24"/>
                <w:szCs w:val="24"/>
                <w:color w:val="auto"/>
              </w:rPr>
            </w:pPr>
          </w:p>
        </w:tc>
        <w:tc>
          <w:tcPr>
            <w:tcW w:w="958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10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Term Loan Credit Agreement, dated as of February 29, 2024, by and among the Company, the Borrower, the lenders party thereto,</w:t>
            </w:r>
          </w:p>
        </w:tc>
      </w:tr>
      <w:tr>
        <w:trPr>
          <w:trHeight w:val="237"/>
        </w:trPr>
        <w:tc>
          <w:tcPr>
            <w:tcW w:w="48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10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 Citibank, N.A., as Administrative Agent.</w:t>
            </w:r>
          </w:p>
        </w:tc>
      </w:tr>
      <w:tr>
        <w:trPr>
          <w:trHeight w:val="391"/>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10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Fourteenth Amendment to Second Amended and Restated Credit Agreement, dated as of March 6, 2024, by and among the</w:t>
            </w:r>
          </w:p>
        </w:tc>
      </w:tr>
      <w:tr>
        <w:trPr>
          <w:trHeight w:val="218"/>
        </w:trPr>
        <w:tc>
          <w:tcPr>
            <w:tcW w:w="480" w:type="dxa"/>
            <w:vAlign w:val="bottom"/>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Company, the Borrower, the lenders and other parties party thereto, and Wells Fargo Bank, National Association, as Administrative</w:t>
            </w:r>
          </w:p>
        </w:tc>
      </w:tr>
      <w:tr>
        <w:trPr>
          <w:trHeight w:val="234"/>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Agent.</w:t>
            </w:r>
          </w:p>
        </w:tc>
      </w:tr>
    </w:tbl>
    <w:p>
      <w:pPr>
        <w:spacing w:after="0" w:line="198" w:lineRule="exact"/>
        <w:rPr>
          <w:sz w:val="20"/>
          <w:szCs w:val="20"/>
          <w:color w:val="auto"/>
        </w:rPr>
      </w:pPr>
    </w:p>
    <w:p>
      <w:pPr>
        <w:ind w:left="1660" w:hanging="1166"/>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potential transaction between Diamondback and Endeavor, Diamondback expects to file relevant materials with the U.S. Securities and Exchange Commission (“SEC”) including a proxy statement on Schedule 14A. Promptly after filing its definitive proxy statement with the SEC, Diamondback will mail the definitive proxy statement to each stockholder entitled to vote at the meeting relating to the proposed transaction. This Current Report on Form 8-K is not a substitute for the proxy statement or for any other document that Diamondback may file with the SEC and send to its stockholders in connection with the proposed transaction. INVESTORS AND STOCKHOLDERS ARE URGED TO CAREFULLY READ THE PROXY STATEMENT (INCLUDING ANY AMENDMENTS OR SUPPLEMENTS THERETO AND ANY DOCUMENTS INCORPORATED BY REFERENCE THEREIN) AND ANY OTHER RELEVANT DOCUMENTS IN CONNECTION WITH THE TRANSACTION THAT DIAMONDBACK WILL FILE WITH THE SEC WHEN THEY BECOME AVAILABLE BECAUSE THEY WILL CONTAIN IMPORTANT INFORMATION ABOUT THE TRANSACTION AND THE PARTIES TO THE TRANSACTION. The definitive proxy statement, the preliminary proxy statement, and other relevant materials in connection with the transaction (when they become available) and any other documents filed by Diamondback with the SEC, may be obtained free of charge at the SEC’s website at www.sec.gov. Copies of the documents filed with the SEC by Diamondback will be available free of charge on Diamondback’s website at www.diamondbackenergy.com/investors/.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Diamondback and its directors and executive officers may be deemed, under SEC rules, to be participants in the solicitation of proxies from Diamondback’s stockholders in connection with the transaction. Information about the directors and executive officers of Diamondback is set forth in (i) Diamondback’s proxy statement for its 2023 annual meeting, including under the headings “Proposal 1—Election of Directors”, “Executive Officers”, “Compensation Discussion and Analysis”, “Compensation Tables”, “Stock Ownership” and “Certain Relationships and Related Transactions”, which was filed with the SEC on April 27, 2023 and is available at https://www.sec.gov/ixviewer/ix.html? doc=/Archives/edgar/data/1539838/000130817923000793/fang-20221231.htm, (ii) Diamondback’s Annual Report on Form 10-K for the year ended December 31, 2023,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22, 2024 and is available at https://www.sec.gov/ixviewer/ix.html?doc=/Archives/edgar/data/1539838/000153983824000019/fang-20231231.htm and (iii) subsequent statements of changes in beneficial ownership on file with the SEC. Additional information regarding the participants in the proxy solicitation and a description of their direct or indirect interests, by security holdings or otherwise, will be contained in the proxy statement and other relevant materials filed with the SEC when they become available. These documents may be obtained free of charge from the SEC’s website at www.sec.gov and Diamondback’s website at www.diamondbackenergy.com/investors/.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Kaes Van’t Hof</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Term Loan Credit Agreement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Dated as of</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February 29, 2024</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among</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Diamondback Energy, Inc.,</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as Parent Guarantor</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Diamondback E&amp;P LLC,</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as Borrower,</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Citibank,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as Administrative Agent,</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189230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9"/>
          <w:szCs w:val="19"/>
          <w:b w:val="1"/>
          <w:bCs w:val="1"/>
          <w:color w:val="auto"/>
        </w:rPr>
        <w:t>Citibank, N.A., BofA Securities, Inc.,</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 Goldman Sachs Bank USA,</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Morgan Stanley Senior Funding, Inc. And Wells Fargo Securities, LLC,</w:t>
      </w: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as Joint Lead Arrangers and Joint Bookrunners</w:t>
      </w:r>
    </w:p>
    <w:p>
      <w:pPr>
        <w:spacing w:after="0" w:line="190" w:lineRule="exact"/>
        <w:rPr>
          <w:sz w:val="20"/>
          <w:szCs w:val="20"/>
          <w:color w:val="auto"/>
        </w:rPr>
      </w:pPr>
    </w:p>
    <w:p>
      <w:pPr>
        <w:jc w:val="center"/>
        <w:ind w:left="1380" w:right="2600"/>
        <w:spacing w:after="0" w:line="248" w:lineRule="auto"/>
        <w:rPr>
          <w:sz w:val="20"/>
          <w:szCs w:val="20"/>
          <w:color w:val="auto"/>
        </w:rPr>
      </w:pPr>
      <w:r>
        <w:rPr>
          <w:rFonts w:ascii="Times New Roman" w:cs="Times New Roman" w:eastAsia="Times New Roman" w:hAnsi="Times New Roman"/>
          <w:sz w:val="19"/>
          <w:szCs w:val="19"/>
          <w:b w:val="1"/>
          <w:bCs w:val="1"/>
          <w:color w:val="auto"/>
        </w:rPr>
        <w:t>Bank of America, N.A., The Toronto-Dominion Bank, New York Branch, Goldman Sachs Bank USA, Morgan Stanley Senior Funding, Inc. and Wells Fargo Bank, National Association, 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2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08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6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561"/>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 and Accounting Matters</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Defined Above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Defined Terms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Types of Loans and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1.04</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Generally; Rules of Construction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1.05</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Terms and Determinations; GAAP</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1.06</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Divisions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1.07</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The Credits</w:t>
            </w:r>
          </w:p>
        </w:tc>
        <w:tc>
          <w:tcPr>
            <w:tcW w:w="708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and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Requests for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Elections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Funding of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Defaulting Lenders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Payments of Principal and Interest; Prepayments; Fees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Changed Circumstances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Payments; Pro Rata Treatment; Sharing of Set-offs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4.02</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Presumption of Payment by the Borrower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Increased Costs; Break Funding Payments; Taxes; Illegality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Break Funding Payments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5.03</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5.04</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Obligations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Conditions Precedent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Date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Funding Date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6.03</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 by Lenders During Certain Funds Period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Representations and Warranties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Powers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 Enforceability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Approvals; No Conflicts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7.07</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7.08</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7.09</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 No Material Misstatement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Loans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Anti-Corruption Laws; Anti-Money Laundering Laws and Sanctions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Affirmative Covenants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Other Information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Existence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Taxes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8.07</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Books and Records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8.08</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8.09</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8.10</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Negative Covenants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Covenant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 Debt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Liens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of Loans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Mergers,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Designation of Restricted and Unrestricted 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Events of Default; 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The Administrative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Powers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and Obligations of Administrative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Action by Administrative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Subagents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of the Administrative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11.07</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Agents as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11.08</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Reliance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11.09</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11.10</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 of Administrative Agent to Release Guarantors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11.11</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Arrangers and the Syndication Agents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11.12</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Erroneous 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XII </w:t>
            </w:r>
            <w:r>
              <w:rPr>
                <w:rFonts w:ascii="Times New Roman" w:cs="Times New Roman" w:eastAsia="Times New Roman" w:hAnsi="Times New Roman"/>
                <w:sz w:val="18"/>
                <w:szCs w:val="18"/>
                <w:color w:val="auto"/>
              </w:rPr>
              <w:t>Miscellaneous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0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12.01</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12.02</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Waivers; Amendments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12.03</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12.04</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12.05</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 Revival; Reinstatement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12.06</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12.07</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12.08</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Setoff</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12.09</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12.10</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Headings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12.11</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12.12</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12.13</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EXCULPATION PROVISIONS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12.14</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Swap Agreements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12.15</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12.16</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 PATRIOT Act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12.17</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12.18</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12.19</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ERISA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12.20</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98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ANNEXES AND EXHIBITS</w:t>
            </w: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F-1</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 (Foreign Lenders; non-partnerships)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F-2</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 (Foreign Participants; non-partnerships)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F-3</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 (Foreign Participants; partnerships)</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F-4</w:t>
            </w:r>
          </w:p>
        </w:tc>
        <w:tc>
          <w:tcPr>
            <w:tcW w:w="9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 (Foreign Lenders; partnerships)</w:t>
            </w:r>
          </w:p>
        </w:tc>
      </w:tr>
      <w:tr>
        <w:trPr>
          <w:trHeight w:val="479"/>
        </w:trPr>
        <w:tc>
          <w:tcPr>
            <w:tcW w:w="14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TERM LOAN CREDIT AGREEMENT </w:t>
      </w:r>
      <w:r>
        <w:rPr>
          <w:rFonts w:ascii="Times New Roman" w:cs="Times New Roman" w:eastAsia="Times New Roman" w:hAnsi="Times New Roman"/>
          <w:sz w:val="18"/>
          <w:szCs w:val="18"/>
          <w:color w:val="auto"/>
        </w:rPr>
        <w:t>dated as of February 29, 2024 is among: Diamondback Energy, Inc., a Delaware corporation,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Parent Guarantor; Diamondback E&amp;P LLC, a Delaware limited liability company, as borrower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of the Lenders from time to time party hereto; and Citibank, N.A., as administrative agent for the Lenders (in such capacity, together with its successors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55"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intends to consummate the acquisition (the “</w:t>
      </w:r>
      <w:r>
        <w:rPr>
          <w:rFonts w:ascii="Times New Roman" w:cs="Times New Roman" w:eastAsia="Times New Roman" w:hAnsi="Times New Roman"/>
          <w:sz w:val="18"/>
          <w:szCs w:val="18"/>
          <w:u w:val="single" w:color="auto"/>
          <w:color w:val="auto"/>
        </w:rPr>
        <w:t>Endeavor Acquisition</w:t>
      </w:r>
      <w:r>
        <w:rPr>
          <w:rFonts w:ascii="Times New Roman" w:cs="Times New Roman" w:eastAsia="Times New Roman" w:hAnsi="Times New Roman"/>
          <w:sz w:val="18"/>
          <w:szCs w:val="18"/>
          <w:color w:val="auto"/>
        </w:rPr>
        <w:t>”) of Endeavor Parent, LLC, a Texas limited liability company (“</w:t>
      </w:r>
      <w:r>
        <w:rPr>
          <w:rFonts w:ascii="Times New Roman" w:cs="Times New Roman" w:eastAsia="Times New Roman" w:hAnsi="Times New Roman"/>
          <w:sz w:val="18"/>
          <w:szCs w:val="18"/>
          <w:u w:val="single" w:color="auto"/>
          <w:color w:val="auto"/>
        </w:rPr>
        <w:t>Endeavor</w:t>
      </w:r>
      <w:r>
        <w:rPr>
          <w:rFonts w:ascii="Times New Roman" w:cs="Times New Roman" w:eastAsia="Times New Roman" w:hAnsi="Times New Roman"/>
          <w:sz w:val="18"/>
          <w:szCs w:val="18"/>
          <w:color w:val="auto"/>
        </w:rPr>
        <w:t>”) pursuant to the Agreement and Plan of Merger, dated as of February 11, 2024 (the “</w:t>
      </w:r>
      <w:r>
        <w:rPr>
          <w:rFonts w:ascii="Times New Roman" w:cs="Times New Roman" w:eastAsia="Times New Roman" w:hAnsi="Times New Roman"/>
          <w:sz w:val="18"/>
          <w:szCs w:val="18"/>
          <w:u w:val="single" w:color="auto"/>
          <w:color w:val="auto"/>
        </w:rPr>
        <w:t>Endeavor Signing Date</w:t>
      </w:r>
      <w:r>
        <w:rPr>
          <w:rFonts w:ascii="Times New Roman" w:cs="Times New Roman" w:eastAsia="Times New Roman" w:hAnsi="Times New Roman"/>
          <w:sz w:val="18"/>
          <w:szCs w:val="18"/>
          <w:color w:val="auto"/>
        </w:rPr>
        <w:t>”) (as amended, waived, supplemented or otherwise modified from time to time, the “</w:t>
      </w:r>
      <w:r>
        <w:rPr>
          <w:rFonts w:ascii="Times New Roman" w:cs="Times New Roman" w:eastAsia="Times New Roman" w:hAnsi="Times New Roman"/>
          <w:sz w:val="18"/>
          <w:szCs w:val="18"/>
          <w:u w:val="single" w:color="auto"/>
          <w:color w:val="auto"/>
        </w:rPr>
        <w:t>Endeavor Merger Agreement</w:t>
      </w:r>
      <w:r>
        <w:rPr>
          <w:rFonts w:ascii="Times New Roman" w:cs="Times New Roman" w:eastAsia="Times New Roman" w:hAnsi="Times New Roman"/>
          <w:sz w:val="18"/>
          <w:szCs w:val="18"/>
          <w:color w:val="auto"/>
        </w:rPr>
        <w:t>”), among the Parent Guarantor, Eclipse Merger Sub I, LLC, a Delaware limited liability company and a wholly-owned subsidiary of the Parent Guarantor, Eclipse Merger Sub II, LLC, a Delaware limited liability company and a wholly-owned subsidiary of the Parent Guarantor, Endeavor Manager, LLC, a Texas limited liability company (solely for certain sections as specified in the Endeavor Merger Agreement) and Endeavor for the aggregate cash and equity consideration set forth in the Endeavor Merger Agreement as in effect on the Endeavor Signing Date (the “</w:t>
      </w:r>
      <w:r>
        <w:rPr>
          <w:rFonts w:ascii="Times New Roman" w:cs="Times New Roman" w:eastAsia="Times New Roman" w:hAnsi="Times New Roman"/>
          <w:sz w:val="18"/>
          <w:szCs w:val="18"/>
          <w:u w:val="single" w:color="auto"/>
          <w:color w:val="auto"/>
        </w:rPr>
        <w:t>Endeavor Acquisition Consideration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Endeavor Acquisition, the Borrower (i) has obtained commitments in respect of a $8,000,000,000 364-day senior unsecured bridge term loan facility (the “</w:t>
      </w:r>
      <w:r>
        <w:rPr>
          <w:rFonts w:ascii="Times New Roman" w:cs="Times New Roman" w:eastAsia="Times New Roman" w:hAnsi="Times New Roman"/>
          <w:sz w:val="18"/>
          <w:szCs w:val="18"/>
          <w:u w:val="single" w:color="auto"/>
          <w:color w:val="auto"/>
        </w:rPr>
        <w:t>Bridge Facility</w:t>
      </w:r>
      <w:r>
        <w:rPr>
          <w:rFonts w:ascii="Times New Roman" w:cs="Times New Roman" w:eastAsia="Times New Roman" w:hAnsi="Times New Roman"/>
          <w:sz w:val="18"/>
          <w:szCs w:val="18"/>
          <w:color w:val="auto"/>
        </w:rPr>
        <w:t>”), (ii) intends to obtain a $1,500,000,000 senior unsecured term loan facility on the terms set forth in this Agreement, the effectiveness of which will reduce the commitments in respect of the Bridge Facility from $8,000,000,000 to $6,500,000,000, (iii) intends to repay all principal, interest and fees outstanding under the Credit Agreement dated as of February 16, 2022 (as last amended on October 26, 2023 and as may be further amended, supplemented or modified from time to time), by and among Endeavor Energy Resources, L.P., PNC, National Association, as administrative agent, and certain lenders party thereto (the “</w:t>
      </w:r>
      <w:r>
        <w:rPr>
          <w:rFonts w:ascii="Times New Roman" w:cs="Times New Roman" w:eastAsia="Times New Roman" w:hAnsi="Times New Roman"/>
          <w:sz w:val="18"/>
          <w:szCs w:val="18"/>
          <w:u w:val="single" w:color="auto"/>
          <w:color w:val="auto"/>
        </w:rPr>
        <w:t>Endeavor Credit Agreement Refinancing</w:t>
      </w:r>
      <w:r>
        <w:rPr>
          <w:rFonts w:ascii="Times New Roman" w:cs="Times New Roman" w:eastAsia="Times New Roman" w:hAnsi="Times New Roman"/>
          <w:sz w:val="18"/>
          <w:szCs w:val="18"/>
          <w:color w:val="auto"/>
        </w:rPr>
        <w:t>”), (iv) intends to redeem the $907,000,000 aggregate outstanding principal amount of the 5.750% senior notes due 2028 of Endeavor Energy Resources, L.P. and FER Finance Inc. and to pay accrued and unpaid interest thereon (the “</w:t>
      </w:r>
      <w:r>
        <w:rPr>
          <w:rFonts w:ascii="Times New Roman" w:cs="Times New Roman" w:eastAsia="Times New Roman" w:hAnsi="Times New Roman"/>
          <w:sz w:val="18"/>
          <w:szCs w:val="18"/>
          <w:u w:val="single" w:color="auto"/>
          <w:color w:val="auto"/>
        </w:rPr>
        <w:t>Endeavor Notes Redemption</w:t>
      </w:r>
      <w:r>
        <w:rPr>
          <w:rFonts w:ascii="Times New Roman" w:cs="Times New Roman" w:eastAsia="Times New Roman" w:hAnsi="Times New Roman"/>
          <w:sz w:val="18"/>
          <w:szCs w:val="18"/>
          <w:color w:val="auto"/>
        </w:rPr>
        <w:t xml:space="preserve">”) and (v) intends to pay the fees, costs and expenses incurred in connection with the foregoing. It is anticipated that some or all of the Bridge Facility will be replaced on or prior to the Funding Date (as defined herein) or refinanced after the Funding Date by the issuance of one or more series of senior unsecured notes by the Parent Guarantor or its Subsidiaries through one or more public offerings or private placements. The transactions set forth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this paragraph and the preceding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are referred to herein collectively as the “</w:t>
      </w:r>
      <w:r>
        <w:rPr>
          <w:rFonts w:ascii="Times New Roman" w:cs="Times New Roman" w:eastAsia="Times New Roman" w:hAnsi="Times New Roman"/>
          <w:sz w:val="18"/>
          <w:szCs w:val="18"/>
          <w:u w:val="single" w:color="auto"/>
          <w:color w:val="auto"/>
        </w:rPr>
        <w:t>Endeavor Acquisition Transactions</w:t>
      </w:r>
      <w:r>
        <w:rPr>
          <w:rFonts w:ascii="Times New Roman" w:cs="Times New Roman" w:eastAsia="Times New Roman" w:hAnsi="Times New Roman"/>
          <w:sz w:val="18"/>
          <w:szCs w:val="18"/>
          <w:color w:val="auto"/>
        </w:rPr>
        <w:t>”). Upon the consummation of the Endeavor Acquisition, Endeavor will become a wholly-owned subsidiary of the Parent Guarantor.</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clause (ii) of the preceding paragraph, the Borrower has requested the Lenders to extend credit of up to (a) $1,000,000,000 in the form of Tranche A Commitments under which the Borrower may obtain Tranche A Loans in dollars and (b) $500,000,000 in the form of Tranche B Commitments under which the Borrower may obtain Tranche B Loans in dollars. The Lenders are willing to extend such credit to the Borrower on the terms and subject to the conditions set forth herein.</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right="20" w:firstLine="656"/>
        <w:spacing w:after="0" w:line="282" w:lineRule="auto"/>
        <w:tabs>
          <w:tab w:leader="none" w:pos="1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in consideration of the mutual covenants and agreements herein contained and of the loans, extensions of credit and commitments hereinafter referred to,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MATTERS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1.01</w:t>
      </w:r>
      <w:r>
        <w:rPr>
          <w:sz w:val="20"/>
          <w:szCs w:val="20"/>
          <w:color w:val="auto"/>
        </w:rPr>
        <w:tab/>
      </w:r>
      <w:r>
        <w:rPr>
          <w:rFonts w:ascii="Times New Roman" w:cs="Times New Roman" w:eastAsia="Times New Roman" w:hAnsi="Times New Roman"/>
          <w:sz w:val="17"/>
          <w:szCs w:val="17"/>
          <w:u w:val="single" w:color="auto"/>
          <w:color w:val="auto"/>
        </w:rPr>
        <w:t>Terms Defined Above</w:t>
      </w:r>
      <w:r>
        <w:rPr>
          <w:rFonts w:ascii="Times New Roman" w:cs="Times New Roman" w:eastAsia="Times New Roman" w:hAnsi="Times New Roman"/>
          <w:sz w:val="17"/>
          <w:szCs w:val="17"/>
          <w:color w:val="auto"/>
        </w:rPr>
        <w:t>. As used in this Agreement, each term defined above has the meaning indicated above.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1.02</w:t>
      </w:r>
      <w:r>
        <w:rPr>
          <w:sz w:val="20"/>
          <w:szCs w:val="20"/>
          <w:color w:val="auto"/>
        </w:rPr>
        <w:tab/>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such calculation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and the Syndication Agents; and “Agent” shall mean either the Administrative Agent or a Syndication Agent, as the context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Term Loan Credit Agreement, as amended, amended and restated, supplemented or otherwise modified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½ of 1% per annum and (c) Adjusted Term SOFR for a one-month Interest Period commencing on such day (or if such day is not a Business Day, on the immediately preceding Business Day) plus 1%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applicable during any period in which Adjusted Term SOFR is unavailable or unascertainable.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first sentence of this definition until the circumstances giving rise to such inability no longer exist.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Notwithstanding anything to the contrary herein, in no event shall the Alternate Base Rate be less than 0.0%.</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state or federal laws, rules, and regulations of a jurisdiction applicable to the Parent Guarantor or its Subsidiaries from time to time concerning or relating to bribery or corruption, including the FCPA.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any and all laws, statutes, regulations or obligatory government orders, decrees, ordinances or rules of a jurisdiction applicable to the Parent Guarantor or its Subsidiaries related to terrorism financing, money laundering, any predicate crime to money laundering or any financial record keeping, including any applicable provision of the USA PATRIOT Act and The Currency and Foreign Transactions Reporting Act (also known as the “Bank Secrecy Act,” 31 U.S.C. §§ 5311-5330 and 12 U.S.C. §§ 1818(s), 1820(b) and 1951-1959).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or SOFR Loan, as the case may be, based upon the ratings by the Rating Agencies applicable on such date to the Index Debt: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Ratings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165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right w:val="single" w:sz="8" w:color="auto"/>
            </w:tcBorders>
          </w:tcPr>
          <w:p>
            <w:pPr>
              <w:spacing w:after="0"/>
              <w:rPr>
                <w:sz w:val="18"/>
                <w:szCs w:val="18"/>
                <w:color w:val="auto"/>
              </w:rPr>
            </w:pP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 Level I</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Pricing Level II</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 Level III</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Pricing Level IV</w:t>
            </w: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Pricing Level V</w:t>
            </w:r>
          </w:p>
        </w:tc>
      </w:tr>
      <w:tr>
        <w:trPr>
          <w:trHeight w:val="169"/>
        </w:trPr>
        <w:tc>
          <w:tcPr>
            <w:tcW w:w="120" w:type="dxa"/>
            <w:vAlign w:val="bottom"/>
          </w:tcPr>
          <w:p>
            <w:pPr>
              <w:spacing w:after="0"/>
              <w:rPr>
                <w:sz w:val="14"/>
                <w:szCs w:val="14"/>
                <w:color w:val="auto"/>
              </w:rPr>
            </w:pPr>
          </w:p>
        </w:tc>
        <w:tc>
          <w:tcPr>
            <w:tcW w:w="306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Index Debt Rating</w:t>
            </w: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 BBB+/</w:t>
            </w: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BBB/</w:t>
            </w:r>
          </w:p>
        </w:tc>
        <w:tc>
          <w:tcPr>
            <w:tcW w:w="15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BBB-/</w:t>
            </w:r>
          </w:p>
        </w:tc>
        <w:tc>
          <w:tcPr>
            <w:tcW w:w="15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BB+/</w:t>
            </w: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 BB/</w:t>
            </w: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(S&amp;P/Moody’s/Fitch)</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Baa1/BBB+</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Baa2/BBB</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Baa3/BBB-</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Ba1/BB+</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Ba2/BB</w:t>
            </w:r>
          </w:p>
        </w:tc>
      </w:tr>
      <w:tr>
        <w:trPr>
          <w:trHeight w:val="210"/>
        </w:trPr>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Tranche A SOFR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09"/>
        </w:trPr>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Tranche A ABR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09"/>
        </w:trPr>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Tranche B SOFR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1.375%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1.875%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2.125%</w:t>
            </w:r>
          </w:p>
        </w:tc>
      </w:tr>
      <w:tr>
        <w:trPr>
          <w:trHeight w:val="210"/>
        </w:trPr>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Tranche B ABR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0.375%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0.625%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0.875%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1.125%</w:t>
            </w:r>
          </w:p>
        </w:tc>
      </w:tr>
      <w:tr>
        <w:trPr>
          <w:trHeight w:val="412"/>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1"/>
        </w:trPr>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the foregoing, (a) if only one rating is determined, the Pricing Level corresponding to that rating shall apply; (b) if there are only two ratings, then (i) if there is a one Pricing Level difference between the two ratings, then the Pricing Level corresponding to the higher rating shall be used (with the rating for Pricing Level I being the highest and the rating for Pricing Level V being the lowest), and (ii) if there is a greater than one Pricing Level difference between the ratings, then the Pricing Level that is one Pricing Level below the higher rating will be used; (c) if there are three ratings, then</w:t>
      </w:r>
    </w:p>
    <w:p>
      <w:pPr>
        <w:spacing w:after="0" w:line="3" w:lineRule="exact"/>
        <w:rPr>
          <w:sz w:val="20"/>
          <w:szCs w:val="20"/>
          <w:color w:val="auto"/>
        </w:rPr>
      </w:pPr>
    </w:p>
    <w:p>
      <w:pPr>
        <w:jc w:val="both"/>
        <w:ind w:firstLine="8"/>
        <w:spacing w:after="0" w:line="251"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three ratings correspond to the same Pricing Level, that Pricing Level shall apply, (ii) if all three are at different Pricing Levels, the middle Pricing Level shall apply and (iii) if two ratings correspond to the same Pricing Level and the third is different, the Pricing Level corresponding to the two same Pricing Levels shall apply; (d) subject to the last paragraph of this definition, if none of the Rating Agencies shall have in effect a rating (other than by reason of the circumstances referred to in the next succeeding paragraph of this definition), then the Pricing Level shall be deemed to be Pricing Level V; and (e) if the ratings established or deemed to have been established by the Rating Agencies shall be changed (other than as a result of a change in the rating system of such Rating Agency), such change shall be effective as of the date on which it is first announced by the applicable Rating Agency. Each change in the Applicable Margin shall apply during the period commencing on the effective date of such change and ending on the date immediately preceding the effective date of the next such change.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rating system of any Rating Agency shall change, or if any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all of the Rating Agencies shall at any time fail to have in effect a rating for the Index Debt (other than by reason of the circumstances referred to in the immediately preceding paragraph of this definition), the Borrower may seek and obtain a rating of the Term Loan Facility from one or more of the Rating Agencies, and on and after the date on which such rating of the Term Loan Facility is obtained until such time (if any) that a rating for the Index Debt becomes effective again, the Applicable Margin shall be based on such rating or ratings of the Term Loan Facility in the same manner as provided herein with respect to the ratings for the Index Debt.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Citibank, N.A., BofA Securities, Inc., The Toronto-Dominion Bank, New York Branch, Goldman Sachs Bank USA, Morgan Stanley Senior Funding, Inc. and Wells Fargo Securities, LLC, in their capacities as joint lead arrangers and joint bookrunners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 provided that if the Benchmark Replacement as determined pursuant to this sentence would be less than the Floor, the Benchmark Replacement will be deemed to be the Floor for the purposes of this Agreement and the other Loan Documents.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after consultation with the Borrower,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in its reasonable discretion decides is reasonably necessary in connection with the administration of this Agreement and the other Loan Documents).</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then-current Benchmark, the occurrence of one or more of the following events: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Benefiting Guarantor</w:t>
      </w:r>
      <w:r>
        <w:rPr>
          <w:rFonts w:ascii="Times New Roman" w:cs="Times New Roman" w:eastAsia="Times New Roman" w:hAnsi="Times New Roman"/>
          <w:sz w:val="18"/>
          <w:szCs w:val="18"/>
          <w:color w:val="auto"/>
        </w:rPr>
        <w:t>” means a Guarantor for which funds or other support are necessary for such Guarantor to constitute an Eligible Contract Participant.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 or any successor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Class and Type, made, converted or continued on the same date and, in the case of SOFR Loans, as to which a single Interest Period is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Facility</w:t>
      </w:r>
      <w:r>
        <w:rPr>
          <w:rFonts w:ascii="Times New Roman" w:cs="Times New Roman" w:eastAsia="Times New Roman" w:hAnsi="Times New Roman"/>
          <w:sz w:val="18"/>
          <w:szCs w:val="18"/>
          <w:color w:val="auto"/>
        </w:rPr>
        <w:t>” has the meaning assigned to such term in the Preamble to this Agreement.</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are authorized or required by law to remain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means the sum, at any time outstanding and without duplication, of (a) Total Net Debt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Stockholders’ Equity.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Leases</w:t>
      </w:r>
      <w:r>
        <w:rPr>
          <w:rFonts w:ascii="Times New Roman" w:cs="Times New Roman" w:eastAsia="Times New Roman" w:hAnsi="Times New Roman"/>
          <w:sz w:val="18"/>
          <w:szCs w:val="18"/>
          <w:color w:val="auto"/>
        </w:rPr>
        <w:t>” means, in respect of any Person, all leases which shall have been, or should have been, in accordance with GAAP, recorded as capital leases on the balance sheet of the Person liable (whether contingent or otherwise) for the payment of rent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Provider</w:t>
      </w:r>
      <w:r>
        <w:rPr>
          <w:rFonts w:ascii="Times New Roman" w:cs="Times New Roman" w:eastAsia="Times New Roman" w:hAnsi="Times New Roman"/>
          <w:sz w:val="18"/>
          <w:szCs w:val="18"/>
          <w:color w:val="auto"/>
        </w:rPr>
        <w:t>” means any Person that, at the time it enters into a Cash Management Agreement, is a Lender, an Affiliate of a Lender, the Administrative Agent or an Affiliate of the Administrative Agent, in its capacity as a party to such Cash Management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Certain Funds Period</w:t>
      </w:r>
      <w:r>
        <w:rPr>
          <w:rFonts w:ascii="Times New Roman" w:cs="Times New Roman" w:eastAsia="Times New Roman" w:hAnsi="Times New Roman"/>
          <w:sz w:val="18"/>
          <w:szCs w:val="18"/>
          <w:color w:val="auto"/>
        </w:rPr>
        <w:t>” means the period from and including the Effective Date to and including the earlier of: (i) the funding of the Loans hereunder on the Funding Date, (ii) the date that is 5 Business Days following the Endeavor Outside Date, (iii) the occurrence of the Endeavor Acquisition Closing without the funding of any Loans hereunder and (iv) the Endeavor Acquisition Termination.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acquisition of ownership, directly or indirectly, beneficially or of record, by any Person or group (within the meaning of the Securities Exchange Act of 1934 and the rules of the SEC thereunder as in effect on the date hereof) other than the Permitted Holders, of Equity Interests representing more than 50% of the aggregate ordinary voting power represented by the issued and outstanding Equity Interests of the Borrower. Notwithstanding the foregoing, a transaction will not be considered to be a Change of Control if (w) the Parent Guarantor becomes a direct or indirect wholly owned Subsidiary of another Person (such Person,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(x) the owners of 100% of the Equity Interests in New Parent immediately after giving effect to such transaction are identical to the owners of 100% of the Equity Interests in the Parent Guarantor immediately prior to giving effect to such transaction, (y) such New Parent becomes a Guarantor hereunder and (z) the Borrower remains a direct or indirect wholly owned Subsidiary of the Parent Guarantor and New Parent.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for purposes of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by any lending office of such Lender or by such Lender’s holding company, if any) with any request, guideline or directive (whether or not having the force of law) of any Governmental Authority made or issued after the date of this Agreement. Notwithstanding anything herein to the contrary, (i) the Dodd-Frank Wall Street Reform and Consumer Protection Act and all requests, rules, guidelines, requirements or directives thereunder or issued in connection therewith (whether or not having the force of law) or in implementation thereof, and (ii) all requests, rules, regulations, guidelines, interpretations, requirements and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or implemented.</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Tranche A Loans or Tranche B Loans, (b) any Commitment, refers to whether such Commitment is a Tranche A Commitment or a Tranche B Commitment and (c) any Lender, refers to whether such Lender has a Loan or Commitment of a particular Class.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Clean-Up Period</w:t>
      </w:r>
      <w:r>
        <w:rPr>
          <w:rFonts w:ascii="Times New Roman" w:cs="Times New Roman" w:eastAsia="Times New Roman" w:hAnsi="Times New Roman"/>
          <w:sz w:val="18"/>
          <w:szCs w:val="18"/>
          <w:color w:val="auto"/>
        </w:rPr>
        <w:t>” has the meaning assigned to such term in Section 10.02(d).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statute.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means the Tranche A Commitments and the Tranche B Commitments. As of the Effective Date, (i) the amount of each Lender’s Commitment is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(ii) the aggregate amount of the Lenders’ Commitments is $1,500,000,000.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and any successor statute.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other technical, administrative or operational matters) that the Administrative Agent, acting reasonably, decides may be appropriate to reflect the adoption and implementation of any such rate or to permit the use and administration thereof by the Administrative Agent in a manner substantially consistent with market practice (or, if the Administrative Agent, acting reasonably, decides that adoption of any portion of such market practice is not administratively feasible or if the Administrative Agent, acting reasonably, determines that no market practice for the administration of any such rate exists, in such other manner of administration as the Administrative Agent, acting reasonably, decides is necessary in connection with the administration of this Agreement and the other Loan Documents).</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assets of the Parent Guarantor, the Borrower and the Consolidated Restricted Subsidiaries (less applicable depreciation and valuation reserves and other reserves and items deductible from the gross book value of specific asset accounts under GAAP) after deducting therefrom, in each case for the Parent Guarantor, the Borrower and the Restricted Subsidiaries: (a) all current liabilities (excluding (i) any current liabilities that by their terms are extendable or renewable at the option of the obligor thereon to a time more than twelve (12) months after the time as of which the amount thereof is being computed, and (ii) current maturities of Total Debt); and (b) the value of all goodwill, trade names, trademarks, patents, and other like intangible assets, all as set forth on the Parent Guarantor’s consolidated balance sheet as of a date no earlier than the date of the Parent Guarantor’s latest available annual or quarterly consolidated financial statements prepared in accordance with GAAP (which calculation shall give pro forma effect to any acquisition or disposition for which the aggregate consideration was in excess of $500,000,000 consummated by the Parent Guarantor, the Borrower or a Consolidated Restricted Subsidiary since the date of such consolidated balance sheet and on or prior to the date of determination, as if such acquisition or disposition had occurred on the date of such consolidated balance sheet).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Restricted Subsidiary</w:t>
      </w:r>
      <w:r>
        <w:rPr>
          <w:rFonts w:ascii="Times New Roman" w:cs="Times New Roman" w:eastAsia="Times New Roman" w:hAnsi="Times New Roman"/>
          <w:sz w:val="18"/>
          <w:szCs w:val="18"/>
          <w:color w:val="auto"/>
        </w:rPr>
        <w:t>” means each Consolidated Subsidiary that is a Restricted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Subsidiaries</w:t>
      </w:r>
      <w:r>
        <w:rPr>
          <w:rFonts w:ascii="Times New Roman" w:cs="Times New Roman" w:eastAsia="Times New Roman" w:hAnsi="Times New Roman"/>
          <w:sz w:val="18"/>
          <w:szCs w:val="18"/>
          <w:color w:val="auto"/>
        </w:rPr>
        <w:t>” means each Subsidiary of the Parent Guarantor (whether now existing or hereafter created or acquired) the financial statements of which shall be (or should have been) consolidated with the financial statements of the Parent Guarantor in accordance with GAAP.</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For the purposes of this definition, and without limiting the generality of the foregoing, any Person that owns directly or indirectly 10% or more of the Equity Interests having ordinary voting power for the election of the directors or other governing body of a Person (other than as a limited partner of such other Person) will be deemed to “control” such other Person.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Recourse Exceptions</w:t>
      </w:r>
      <w:r>
        <w:rPr>
          <w:rFonts w:ascii="Times New Roman" w:cs="Times New Roman" w:eastAsia="Times New Roman" w:hAnsi="Times New Roman"/>
          <w:sz w:val="18"/>
          <w:szCs w:val="18"/>
          <w:color w:val="auto"/>
        </w:rPr>
        <w:t>” means, with respect to any Debt of a first Person that is generally non-recourse to a second Person, liability of such second Person with respect to such Debt arising out of the voluntary bankruptcy of any Person, fraud, misapplication of cash, environmental claims, waste, willful destruction and other circumstances customarily excluded by lenders from exculpation provisions or included in separate indemnification agreements in non-recourse financings.</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for any Person, the sum of the following (without duplication): (a) all obligations of such Person for borrowed money or evidenced by bonds, debentures, notes or other similar instruments; (b) all obligations of such Person (whether contingent or otherwise) in respect of letters of credit, bankers’ acceptances, surety or other bonds and similar instruments; (c) all accounts payable and all accrued expenses, liabilities or other obligations of such Person to pay the deferred purchase price of Property or services, but excluding those from time to time incurred in the ordinary course of business that are not greater than sixty (60) days past the date such payment is due or that are being contested in good faith by appropriate action and for which adequate reserves have been maintained in accordance with GAAP; (d) all obligations under Capital Leases; (e) all obligations under Synthetic Leases; (f) all Debt (as defined in the other clauses of this definition) of others secured by (or for which the holder of such Debt has an existing right, contingent or otherwise, to be secured by) a Lien on any Property of such Person, whether or not such Debt is assumed by such Person; (g) all Debt (as defined in the other clauses of this definition) of others guaranteed by such Person or with respect to which such Person otherwise assures a creditor against loss in respect of the Debt (howsoever such assurance shall be made) to the extent of the lesser of the amount of such Debt and the maximum stated amount of such guarantee or assurance against loss; (h) all obligations or undertakings of such Person to maintain or cause to be maintained the financial position or covenants of others or to purchase the Debt or Property of others; (i) obligations to deliver commodities, goods or services, including, without limitation, Hydrocarbons, in consideration of one or more advance payments, other than gas balancing arrangements in the ordinary course of business; (j) obligations to pay for goods or services even if such goods or services are not actually received or utilized by such Person; (k) any Debt of a partnership for which such Person is liable either by agreement, by operation of law or by a Governmental Requirement but only to the extent of such liability; (l) Disqualified Capital Stock; and (m) the undischarged balance of any production payment created by such Person or for the creation of which such Person directly or indirectly received payment. The Debt of any Person shall include all obligations of such Person of the character described above to the extent such Person remains legally liable in respect thereof notwithstanding that any such obligation is not included as a liability of such Person under GAAP. Notwithstanding the foregoing, “Debt” shall not include (1) any obligation arising from agreements of the Parent Guarantor, the Borrower or any Restricted Subsidiary providing for indemnification, contribution, adjustment of purchase price, earn-outs, holdbacks, deferred compensation or similar obligations, in each case, incurred or assumed in connection with the disposition or acquisition of any business, assets or Equity Interests of a Restricted Subsidiary in a transaction permitted by this Agreement, (2) any obligation of a Loan Party in connection with a DrillCo pursuant to the agreement or agreements governing such DrillCo, including obligations to repurchase or otherwise purchase or acquire DrillCo Properties, (3) any equity commitment letter or any direct or indirect guaranty of, or other support for, an obligation or commitment to make an equity Investment (including any such letter or other support that serves as collateral securing, a guaranty of, or other credit support for, Debt of the Person in which such Investment is to be made, or otherwise assures a creditor of the Person in which such Investment is to be made against loss in respect of the Debt of such Person), or (4) for the avoidance of doubt, Swap Obligations and direct or indirect guaranties thereof, and other credit support therefor.</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to (i) fund all or any portion of the Loans required to be funded by it hereunder within two (2)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three Business Days of the date when due, (b) has notified the Borrower,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upon delivery of written notice of such determination to the Borrower and each Lender.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means any Equity Interest that, by its terms (or by the terms of any security into which it is convertible or for which it is exchangeable) or upon the happening of any event, matures or is mandatorily redeemable for any consideration other than other Equity Interests (which would not constitute Disqualified Capital Stock), pursuant to a sinking fund obligation or otherwise, or is convertible or exchangeable for Debt or redeemable for any consideration other than other Equity Interests (which would not constitute Disqualified Capital Stock) at the option of the holder thereof, in whole or in part, on or prior to the date that is one year after the earlier of (a) the latest Maturity Date and (b) the date on which there are no Loans or other obligations hereunder outstanding and all of the Commitments are terminated. Notwithstanding the foregoing, any Equity Interest that would constitute Disqualified Capital Stock solely because the holders of the Equity Interest have the right to require the Borrower to repurchase or redeem such Equity Interest upon or following the occurrence of a change of control or an asset sale will not constitute Disqualified Capital Stock.</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DrillCo</w:t>
      </w:r>
      <w:r>
        <w:rPr>
          <w:rFonts w:ascii="Times New Roman" w:cs="Times New Roman" w:eastAsia="Times New Roman" w:hAnsi="Times New Roman"/>
          <w:sz w:val="18"/>
          <w:szCs w:val="18"/>
          <w:color w:val="auto"/>
        </w:rPr>
        <w:t>” means an entity jointly formed, or an arrangement evidenced by a participation, development, production or similar agreement entered into, in each case, by a Loan Party and one or more other Persons (together with its or their Affiliates, each, a “</w:t>
      </w:r>
      <w:r>
        <w:rPr>
          <w:rFonts w:ascii="Times New Roman" w:cs="Times New Roman" w:eastAsia="Times New Roman" w:hAnsi="Times New Roman"/>
          <w:sz w:val="18"/>
          <w:szCs w:val="18"/>
          <w:u w:val="single" w:color="auto"/>
          <w:color w:val="auto"/>
        </w:rPr>
        <w:t>DrillCo Party</w:t>
      </w:r>
      <w:r>
        <w:rPr>
          <w:rFonts w:ascii="Times New Roman" w:cs="Times New Roman" w:eastAsia="Times New Roman" w:hAnsi="Times New Roman"/>
          <w:sz w:val="18"/>
          <w:szCs w:val="18"/>
          <w:color w:val="auto"/>
        </w:rPr>
        <w:t>”) that (a) provides for a DrillCo Party to fund the majority of the capital for the development of one or more Properties and (b) enables the Loan Parties to achieve one of more of the following objectives: minimization of capital deployment to non-core assets; acceleration of drilling schedule; retention of potentially expiring acreage; or enhancement of long-term value of assets in lieu of outright sale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DrillCo Party</w:t>
      </w:r>
      <w:r>
        <w:rPr>
          <w:rFonts w:ascii="Times New Roman" w:cs="Times New Roman" w:eastAsia="Times New Roman" w:hAnsi="Times New Roman"/>
          <w:sz w:val="18"/>
          <w:szCs w:val="18"/>
          <w:color w:val="auto"/>
        </w:rPr>
        <w:t>” has the meaning assigned to such term in the definition of DrillCo.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DrillCo Properties</w:t>
      </w:r>
      <w:r>
        <w:rPr>
          <w:rFonts w:ascii="Times New Roman" w:cs="Times New Roman" w:eastAsia="Times New Roman" w:hAnsi="Times New Roman"/>
          <w:sz w:val="18"/>
          <w:szCs w:val="18"/>
          <w:color w:val="auto"/>
        </w:rPr>
        <w:t>” means (a) in the case of a DrillCo that is an entity, all Properties contributed, sold or otherwise conveyed to such DrillCo and all Equity Interests in such DrillCo, (b) in the case of a DrillCo that is an agreement, all Properties subject to such agreement, including Properties directly or indirectly conveyed from time to time to a DrillCo Party and therefore no longer owned by a Loan Party, (c) funds and other Property received from a DrillCo Party in connection with a DrillCo, and (d) direct and indirect proceeds of any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signature,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means an “eligible contract participant” as defined in the Commodity Exchange Act and the regulations thereunder.</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Acquisition</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Acquisition Closing</w:t>
      </w:r>
      <w:r>
        <w:rPr>
          <w:rFonts w:ascii="Times New Roman" w:cs="Times New Roman" w:eastAsia="Times New Roman" w:hAnsi="Times New Roman"/>
          <w:sz w:val="18"/>
          <w:szCs w:val="18"/>
          <w:color w:val="auto"/>
        </w:rPr>
        <w:t>” means the consummation of the Endeavor Acquisition.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Acquisition Consideration</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Acquisition Termination</w:t>
      </w:r>
      <w:r>
        <w:rPr>
          <w:rFonts w:ascii="Times New Roman" w:cs="Times New Roman" w:eastAsia="Times New Roman" w:hAnsi="Times New Roman"/>
          <w:sz w:val="18"/>
          <w:szCs w:val="18"/>
          <w:color w:val="auto"/>
        </w:rPr>
        <w:t>” means the termination of the Endeavor Merger Agreement by the Parent Guarantor in writing in accordance with its terms.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Acquisition Transactions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Credit Agreement Refinancing</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Merger Agreement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Notes Redemption</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Outside Date</w:t>
      </w:r>
      <w:r>
        <w:rPr>
          <w:rFonts w:ascii="Times New Roman" w:cs="Times New Roman" w:eastAsia="Times New Roman" w:hAnsi="Times New Roman"/>
          <w:sz w:val="18"/>
          <w:szCs w:val="18"/>
          <w:color w:val="auto"/>
        </w:rPr>
        <w:t>” has the meaning assigned to such term in the Endeavor Merger Agreement as in effect on the Endeavor Signing Date, after giving effect to each extension thereof in accordance with the Endeavor Merger Agreement as in effect on the Endeavor Signing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Endeavor Signing Date</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Energen</w:t>
      </w:r>
      <w:r>
        <w:rPr>
          <w:rFonts w:ascii="Times New Roman" w:cs="Times New Roman" w:eastAsia="Times New Roman" w:hAnsi="Times New Roman"/>
          <w:sz w:val="18"/>
          <w:szCs w:val="18"/>
          <w:color w:val="auto"/>
        </w:rPr>
        <w:t>” means Energen Corporation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Energen Merger</w:t>
      </w:r>
      <w:r>
        <w:rPr>
          <w:rFonts w:ascii="Times New Roman" w:cs="Times New Roman" w:eastAsia="Times New Roman" w:hAnsi="Times New Roman"/>
          <w:sz w:val="17"/>
          <w:szCs w:val="17"/>
          <w:color w:val="auto"/>
        </w:rPr>
        <w:t>” means the merger of Energen Merger Sub with and into Energen Corporation, with Energen Corporation as the surviving entity.</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Energen Merger Sub</w:t>
      </w:r>
      <w:r>
        <w:rPr>
          <w:rFonts w:ascii="Times New Roman" w:cs="Times New Roman" w:eastAsia="Times New Roman" w:hAnsi="Times New Roman"/>
          <w:sz w:val="18"/>
          <w:szCs w:val="18"/>
          <w:color w:val="auto"/>
        </w:rPr>
        <w:t>” means Sidewinder Merger Sub Inc., an Alabama corporation.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Governmental Requirements pertaining in any way to health, safety, the environment, the preservation or reclamation of natural resources, or the management, Release or threatened Release of any Hazardous Materials, in effect in any and all jurisdictions in which the Parent Guarantor, the Borrower or any Restricted Subsidiaries are conducting, or at any time have conducted business, or where any Property of the Parent Guarantor, the Borrower or any Restricted Subsidiaries is located, including the Oil Pollution Act of 1990 (“</w:t>
      </w:r>
      <w:r>
        <w:rPr>
          <w:rFonts w:ascii="Times New Roman" w:cs="Times New Roman" w:eastAsia="Times New Roman" w:hAnsi="Times New Roman"/>
          <w:sz w:val="18"/>
          <w:szCs w:val="18"/>
          <w:u w:val="single" w:color="auto"/>
          <w:color w:val="auto"/>
        </w:rPr>
        <w:t>OPA</w:t>
      </w:r>
      <w:r>
        <w:rPr>
          <w:rFonts w:ascii="Times New Roman" w:cs="Times New Roman" w:eastAsia="Times New Roman" w:hAnsi="Times New Roman"/>
          <w:sz w:val="18"/>
          <w:szCs w:val="18"/>
          <w:color w:val="auto"/>
        </w:rPr>
        <w:t>”), as amended, the Clean Air Act, as amended, the Comprehensive Environmental, Response, Compensation, and Liability Act of 1980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as amended, the Federal Water Pollution Control Act, as amended, the Occupational Safety and Health Act of 1970, as amended, the Resource Conservation and Recovery Act of 1976 (“</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as amended, the Safe Drinking Water Act, as amended, the Toxic Substances Control Act, as amended, the Superfund Amendments and Reauthorization Act of 1986, as amended, the Hazardous Materials Transportation Act, as amended, and other environmental conservation or protection Governmental Requirements.</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registration, license, notice, approval, consent, exemption, variance, or other authorization required under or issued pursuant to applicable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any successor statute thereto, as well as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trade or business (whether or not incorporated) which together with the Parent Guarantor, the Borrower or a Subsidiary would be deemed to be a “single employer” within the meaning of section 4001(b)(1) of ERISA or subsections (b), (c), (m) or (o) of section 414 of the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Excepted Liens</w:t>
      </w:r>
      <w:r>
        <w:rPr>
          <w:rFonts w:ascii="Times New Roman" w:cs="Times New Roman" w:eastAsia="Times New Roman" w:hAnsi="Times New Roman"/>
          <w:sz w:val="18"/>
          <w:szCs w:val="18"/>
          <w:color w:val="auto"/>
        </w:rPr>
        <w:t xml:space="preserve">” means: (a) Liens for Taxes, assessments or other governmental charges or levies which are not delinquent or which are being contested in good faith by appropriate action and for which adequate reserves have been maintained in accordance with GAAP; (b) Liens in connection with workers’ compensation, unemployment insurance or other social security, old age pension or public liability obligations which are not delinquent or which are being contested in good faith by appropriate action and for which adequate reserves have been maintained in accordance with GAAP; (c) landlord’s liens, operators’, vendors’, carriers’, warehousemen’s, repairmen’s, mechanics’, suppliers’, workers’, materialmen’s, construction or other like Liens arising by operation of law or ordinary course of business contracts or incident to the exploration, development, operation and maintenance of Oil and Gas Properties each of which is in respect of obligations that are not delinquent or which are being contested in good faith by appropriate action and for which adequate reserves have been maintained in accordance with GAAP; (d) contractual Liens which arise in the ordinary course of business under operating agreements, joint venture agreements, oil and gas partnership agreements, oil and gas leases, farm-in and farm-out agreements, division orders, contracts for the sale, transportation or exchange of oil and natural gas, 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 and are for claims which are not delinquent or which are being contested in good faith by appropriate action and for which adequate reserves have been maintained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referred to in this clause does not materially impair the use of the Property covered by such Lien for the purposes for which such Property is held by the Parent Guarantor, the Borrower or their Restricted Subsidiaries or materially impair the value of such Property subject thereto; (e) Liens arising solely by virtue of any statutory or common law provision relating to banker’s liens, rights of set-off or similar rights and remedies and burdening only deposit accounts or other funds maintained with a creditor depository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deposit account is a dedicated cash collateral account or is subject to restrictions against access by the depositor in excess of those set forth by regulations promulgated by the Board and no such deposit account is intended by the Parent Guarantor, the Borrower or their Restricted Subsidiaries to provide collateral to the depository institution; (f) easements, restrictions, servitudes, permits, conditions, covenants, exceptions or reservations in any Property of the Parent Guarantor, the Borrower or their Restricted Subsidiaries for the purpose of roads, pipelines, transmission lines, transportation lines, distribution lines for the removal of gas, oil, coal or other minerals or timber, and other like purposes, or for the joint or common use of real estate, rights of way, facilities and equipment, that do not secure any monetary obligations and which in the aggregate do not materially impair the use of such Property for the purposes of which such Property is held by the Parent Guarantor, the Borrower or their Restricted Subsidiaries or materially impair the value of such Property subject thereto; (g) Liens on cash or securities pledged to secure performance of tenders, surety and appeal bonds, government contracts, performance and return of money bonds, bids, trade contracts, leases, statutory obligations, regulatory obligations and other obligations of a like nature incurred in the ordinary course of business and (h) judgment and attachment Liens not giving rise to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appropriate legal proceedings which may have been duly initiated for the review of such judgment shall not have been finally terminated or the period within which such proceeding may be initiated shall not have expired and no action to enforce such Lien has been commenced.</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Obligations</w:t>
      </w:r>
      <w:r>
        <w:rPr>
          <w:rFonts w:ascii="Times New Roman" w:cs="Times New Roman" w:eastAsia="Times New Roman" w:hAnsi="Times New Roman"/>
          <w:sz w:val="18"/>
          <w:szCs w:val="18"/>
          <w:color w:val="auto"/>
        </w:rPr>
        <w:t>” means, with respect to any Loan Party individually determined on a Loan Party by Loan Party basis, any Swap Obligation, if and to the extent that, all or a portion of the joint and several liability or the guaranty of such Loan Party for, or the grant by such Loan Party of a security interest or other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at the time such guarantee or the grant of such security interest or other Lien becomes effective with respect to, or any other time such Loan Party is by virtue of such guarantee or grant of such security interest or other Lien otherwise deemed to enter into, such Swap Obligation. If a Swap Obligation arises under a master agreement governing more than one swap, such exclusion shall apply only to the portion of such Swap Obligation that is attributable to swaps for which such guarantee, security interest or other Lien is or becomes illegal.</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or any other recipient of any payment to be made by or on account of any obligation of the Borrower or any Guarantor hereunder or under any other Loan Document, (a) income, franchise or branch profits taxes imposed on (or measured by) its net income, in each case, (i) by the United States of America or such other jurisdiction under the laws of which such recipient is organized or in which its principal office is located or, in the case of any Lender, in which its applicable lending office is located , or (ii) as a result of any other present or former connection with such jurisdiction (other than any such connection arising solely from this Agreement or any other Loan Document or any transactions contemplated thereunder), (b) in the case of a Lender, any withholding tax that is imposed on amounts payable to such Lender at the time such Lender becomes a party to this Agreement (or designates a new lending office), except to the extent that such Lender (or its assignor, if any) was entitled, at the time of designation of a new lending office (or assignment), to receive additional amounts with respect to such withholding tax pursuant to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(c) any Taxes attributable to the Administrative Agent, any Lender or any other recipient’s failure to comply with </w:t>
      </w:r>
      <w:r>
        <w:rPr>
          <w:rFonts w:ascii="Times New Roman" w:cs="Times New Roman" w:eastAsia="Times New Roman" w:hAnsi="Times New Roman"/>
          <w:sz w:val="18"/>
          <w:szCs w:val="18"/>
          <w:u w:val="single" w:color="auto"/>
          <w:color w:val="auto"/>
        </w:rPr>
        <w:t>Section 5.03(g)</w:t>
      </w:r>
      <w:r>
        <w:rPr>
          <w:rFonts w:ascii="Times New Roman" w:cs="Times New Roman" w:eastAsia="Times New Roman" w:hAnsi="Times New Roman"/>
          <w:sz w:val="18"/>
          <w:szCs w:val="18"/>
          <w:color w:val="auto"/>
        </w:rPr>
        <w:t xml:space="preserve"> and (d) any withholding Taxes imposed under FATCA.</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means Sections 1471 through 1474 of the Code (as of the date hereof) and any regulations or official interpretations thereof (including any Revenue Ruling, Revenue Procedure, Notice or similar guidance issued by the U.S. Internal Revenue Service thereunder as a precondition to relief or exemption from Taxes under such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FATCA shall also include any amendments to Sections 1471 through 1474 of the Code if, as amended, FATCA provides a commercially reasonable mechanism to avoid the tax imposed thereunder by satisfying the information reporting and other requirements of FATCA.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 or any successor thereto.</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Federal Funds Effective Rate for such day shall be the average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Term Loan Fee Letter between the Administrative Agent and the Parent Guarantor dated February 11,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for any Person, the chief financial officer, principal accounting officer, treasurer or controller of such Person. Unless otherwise specified, all references herein to a Financial Officer means a Financial Officer of the Parent Guarantor.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means the financial statement or statements of the Borrower and its Consolidated Subsidiaries referred to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Ltd. and any successor thereto that is a nationally recognized rating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(i) an individual who is a citizen or resident of the United States of America; (ii) a partnership or a corporation (or other entity taxed as a corporation for U.S. federal income tax purposes) created or organized in or under the laws of the United States of America or any state thereof, or the District of Columbia; (iii) an estate whose income is includible in gross income for U.S. federal income tax purposes regardless of its source; or (iv) a trust if (1) a court within the United States of America is able to exercise primary supervision over the administration of the trust and one or more “United States persons” (within the meaning of the Code) have the authority to control all substantial decisions of the trust, or (2) it has a valid election in effect under applicable Treasury regulations to be treated as a United States person.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and on which the Loans are made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subject to the terms and conditions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over the Parent Guarantor, the Borrower, any Subsidiary, any of their Properties, the Administrative Agent or any Lender.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Requirement</w:t>
      </w:r>
      <w:r>
        <w:rPr>
          <w:rFonts w:ascii="Times New Roman" w:cs="Times New Roman" w:eastAsia="Times New Roman" w:hAnsi="Times New Roman"/>
          <w:sz w:val="18"/>
          <w:szCs w:val="18"/>
          <w:color w:val="auto"/>
        </w:rPr>
        <w:t>” means any law, statute, code, ordinance, order, determination, rule, regulation, judgment, decree, injunction, franchise, permit, certificate, license, rules of common law, authorization or other directive or requirement, whether now or hereinafter in effect, including, without limitation, Environmental Laws, energy regulations and occupational, safety and health standards or controls, of any Governmental Authority.</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means the Parent Guarantor and each such other Person, if any, that guarantees the Indebtedness pursuant to the Guaranty Agreement. As of the Effective Date, the Parent Guarantor is the only Guarantor. The Borrower may, at its sole election at any time and from time to time, (i) cause any Restricted Subsidiary to become a Guarantor by executing and delivering to the Administrative Agent an executed joinder to the Guaranty Agreement, together with customary resolutions, opinions of counsel and such other customary documentation as the Administrative Agent may reasonably request and</w:t>
      </w:r>
    </w:p>
    <w:p>
      <w:pPr>
        <w:spacing w:after="0" w:line="3" w:lineRule="exact"/>
        <w:rPr>
          <w:sz w:val="20"/>
          <w:szCs w:val="20"/>
          <w:color w:val="auto"/>
        </w:rPr>
      </w:pPr>
    </w:p>
    <w:p>
      <w:pPr>
        <w:jc w:val="both"/>
        <w:ind w:firstLine="8"/>
        <w:spacing w:after="0" w:line="251" w:lineRule="auto"/>
        <w:tabs>
          <w:tab w:leader="none" w:pos="2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are any additional Guarantors hereunder (other than the Parent Guarantor) (A) if (1) no Default or Event of Default exists immediately prior to, and after giving pro forma effect to, such action, (2) as of such date, the Parent Guarantor has two or more of the following credit ratings: (x) an Index Debt rating from Moody’s of Baa3 or better, (y) an Index Debt rating from S&amp;P of BBB- or better, or (z) an Index Debt rating from Fitch of BBB- or better, and (3) the applicable Guarantor that is a Material Subsidiary does not guarantee any Senior Unsecured Notes issued prior to the Investment Grade Changeover Date that constitute Material Indebtedness (after giving pro forma effect to any guarantor releases and unrestricted subsidiary designations under the Senior Unsecured Notes occurring substantially contemporaneously with the cessation of such Material Subsidiary being a Guarantor hereunder), the Borrower may cause such Guarantor that is a Material Subsidiary to cease being a Guarantor by delivering written notice of such cessation to the Administrative Agent, and (B) if no Default or Event of Default exists immediately prior to, and after giving pro forma effect to, such action, the Borrower may cause any Guarantor that is an Immaterial Subsidiary to cease being a Guarantor by delivering written notice of such cessation to the Administrative Agent.</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means that certain Guaranty Agreement, dated as of the Effective Date, made by each of the Guarantors party thereto in favor of the Administrative Agent, as the same may be amended, modified or supplemented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substance regulated or as to which liability might arise under any applicable Environmental Law including: (a) any chemical, compound, material, product, byproduct, substance or waste defined as or included in the definition or meaning of “hazardous substance,” “hazardous material,” “hazardous waste,” “solid waste,” “toxic waste,” “extremely hazardous substance,” “toxic substance,” “contaminant,” “pollutant,” or words of similar meaning or import found in any applicable Environmental Law; (b) Hydrocarbons, petroleum products, petroleum substances, natural gas, oil, oil and gas waste, crude oil, and any components, fractions, or derivatives thereof; and (c) radioactive materials, explosives, asbestos or asbestos containing materials, polychlorinated biphenyls, radon, infectious or medical waste.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means, with respect to each Lender, the maximum nonusurious interest rate, if any, that at any time or from time to time may be contracted for, taken, reserved, charged or received on the Notes or on other Indebtedness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 Interests</w:t>
      </w:r>
      <w:r>
        <w:rPr>
          <w:rFonts w:ascii="Times New Roman" w:cs="Times New Roman" w:eastAsia="Times New Roman" w:hAnsi="Times New Roman"/>
          <w:sz w:val="18"/>
          <w:szCs w:val="18"/>
          <w:color w:val="auto"/>
        </w:rPr>
        <w:t>”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Hydrocarbons</w:t>
      </w:r>
      <w:r>
        <w:rPr>
          <w:rFonts w:ascii="Times New Roman" w:cs="Times New Roman" w:eastAsia="Times New Roman" w:hAnsi="Times New Roman"/>
          <w:sz w:val="18"/>
          <w:szCs w:val="18"/>
          <w:color w:val="auto"/>
        </w:rPr>
        <w:t>” means oil, gas, casinghead gas, drip gasoline, natural gasoline, condensate, distillate, liquid hydrocarbons, gaseous hydrocarbons and all products refined or separated therefrom.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Restricted Subsidiary that is not a Material Subsidiary.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any and all amounts owing or to be owing by the Parent Guarantor, the Borrower or any other Guarantor (whether direct or indirect (including those acquired by assumption), absolute or contingent, due or to become due, now existing or hereafter arising): (a) to the Administrative Agent or any Lender under any Loan Document; (b) to any Lender Swap Party under any Lender Swap Obligations (provided that notwithstanding anything to the contrary herein or in any other Loan Document, “Indebtedness” shall not include with respect to any Person any Excluded Swap Obligations of such Person); (c) to any Cash Management Provider in respect of any Cash Management Agreement, and (d) all renewals, extensions and/or rearrangements of any of the above.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the Borrower under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Parent Guarantor that is not guaranteed by any other Person (other than a Restricted Subsidiary) or subject to any other credit enhancement.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(b) with respect to any SOFR Loan,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SOFR Loan, the period commencing on the date such SOFR Loan is disbursed or converted to or continued as a SOFR Loan and ending on the date one (1), three (3) or six (6) months thereafter, in each case as selected by the Borrower in its Borrowing Request or Interest Election Request and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firstLine="656"/>
        <w:spacing w:after="0" w:line="282"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applicable Maturity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Administrative Agent, there shall be no more than ten (10) Interest Periods in effect at any time;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3.03(c)(iv)</w:t>
      </w:r>
      <w:r>
        <w:rPr>
          <w:rFonts w:ascii="Times New Roman" w:cs="Times New Roman" w:eastAsia="Times New Roman" w:hAnsi="Times New Roman"/>
          <w:sz w:val="18"/>
          <w:szCs w:val="18"/>
          <w:color w:val="auto"/>
        </w:rPr>
        <w:t xml:space="preserve"> shall be available for specification in any Borrowing Request or Interest Election Request.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for any Person: (a) the acquisition (whether for cash, Property, services or securities or otherwise) of Equity Interests of any other Person or any agreement to make any such acquisition (including, without limitation, any “short sale” or any sale of any securities at a time when such securities are not owned by the Person entering into such short sale); (b) the making of any deposit with, or advance, loan or capital contribution to, assumption of Debt of, purchase or other acquisition of any other Debt or equity participation or interest in,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ninety (90) days representing the purchase price of inventory or supplies sold by such Person in the ordinary course of business); or (c) the entering into of any guarantee of, or other contingent obligation (including the deposit of any Equity Interests to be sold) with respect to, Debt or other liability of any other Person and (without duplication) any amount committed to be advanced, lent or extended to such Person.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Changeover Date</w:t>
      </w:r>
      <w:r>
        <w:rPr>
          <w:rFonts w:ascii="Times New Roman" w:cs="Times New Roman" w:eastAsia="Times New Roman" w:hAnsi="Times New Roman"/>
          <w:sz w:val="18"/>
          <w:szCs w:val="18"/>
          <w:color w:val="auto"/>
        </w:rPr>
        <w:t>” means November 20, 2019.</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Agreement</w:t>
      </w:r>
      <w:r>
        <w:rPr>
          <w:rFonts w:ascii="Times New Roman" w:cs="Times New Roman" w:eastAsia="Times New Roman" w:hAnsi="Times New Roman"/>
          <w:sz w:val="18"/>
          <w:szCs w:val="18"/>
          <w:color w:val="auto"/>
        </w:rPr>
        <w:t>” means any Swap Agreement between the Parent Guarantor, the Borrower or any Restricted Subsidiary and any Person that is entered into prior to the time, or during the time, that such Person was a Lender or an Affiliate of a Lender (including any such Swap Agreement in existence prior to the date hereof), even if such Person ceases to be a Lender or an Affiliate of a Lender for any reason (any such Person, a “</w:t>
      </w:r>
      <w:r>
        <w:rPr>
          <w:rFonts w:ascii="Times New Roman" w:cs="Times New Roman" w:eastAsia="Times New Roman" w:hAnsi="Times New Roman"/>
          <w:sz w:val="18"/>
          <w:szCs w:val="18"/>
          <w:u w:val="single" w:color="auto"/>
          <w:color w:val="auto"/>
        </w:rPr>
        <w:t>Lender Swap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Obligations</w:t>
      </w:r>
      <w:r>
        <w:rPr>
          <w:rFonts w:ascii="Times New Roman" w:cs="Times New Roman" w:eastAsia="Times New Roman" w:hAnsi="Times New Roman"/>
          <w:sz w:val="18"/>
          <w:szCs w:val="18"/>
          <w:color w:val="auto"/>
        </w:rPr>
        <w:t>” means all amounts and other obligations owing to any Lender Swap Party under any Lender Swap Agreement; provided that, for the avoidance of doubt, if a Lender Swap Party ceases to be a Lender (or an Affiliate of a Lender), then the Lender Swap Obligations owing to such Lender Swap Party under any such Lender Swap Agreement shall not include any obligations arising from transactions entered into after the time that such Lender Swap Party ceases to be a Lender or an Affiliate of a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Party</w:t>
      </w:r>
      <w:r>
        <w:rPr>
          <w:rFonts w:ascii="Times New Roman" w:cs="Times New Roman" w:eastAsia="Times New Roman" w:hAnsi="Times New Roman"/>
          <w:sz w:val="18"/>
          <w:szCs w:val="18"/>
          <w:color w:val="auto"/>
        </w:rPr>
        <w:t>” has the meaning assigned to such term in the definition of Lender Swap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any Person that shall have become a party hereto pursuant to an Assignment and Assumption, other than any such Person that ceases to be a party hereto pursuant to an Assignment and Assumption.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with respect to any Lender, the office of such Lender maintaining such Lender’s extensions of credit made hereunder, which office may, to the extent the applicable Lender notifies the Administrative Agent in writing, include an office of any Affiliate of such Lender or any domestic or foreign branch of such Lender or Affiliate.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interest in Property securing an obligation owed to, or a claim by, a Person other than the owner of the Property, whether such interest is based on the common law, statute or contract, and whether such obligation or claim is fixed or contingent, and including but not limited to (a) the lien or security interest arising from a mortgage, encumbrance, pledge, security agreement, conditional sale or trust receipt or a lease, consignment or bailment for security purposes or (b) production payments and the like payable out of Oil and Gas Properties. The term “Lien” shall include easements, restrictions, servitudes, permits, conditions, covenants, exceptions or reservations. For the purposes of this Agreement, the Parent Guarantor, the Borrower or any Restricted Subsidiary shall be deemed to be the owner of any Property which it has acquired or holds subject to a conditional sale agreement, or leases under a financing lease or other arrangement pursuant to which title to the Property has been retained by or vested in some other Person in a transaction intended to create a financing.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Notes and the Guaranty Agreement and any other document or agreement executed by the Borrower or any other Loan Party in connection with this Agreement and expressly designated by the Borrower and the Administrative Agent to be a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xml:space="preserve">” when used in reference to Lenders of any Class, means, at any time, two or more Lenders having Commitments or Loans, as applicable, of such Class representing more than fifty percent (50%) of the aggregate amount of all the Commitments or the aggregate principal amount of all the Loans, as applicable, of such Class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and the Loans of the Defaulting Lenders (if any) of any Class shall be excluded from the determination of Majority in Interest for such Class.</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at any time, two or more Lenders having Commitments or Loans, as applicable, representing more than fifty percent (50%) of the aggregate amount of all the Commitments or the aggregate principal amount of all the Loans, as applicable,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and Loans of the Defaulting Lenders (if any) shall be excluded from the determination of Majority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change in, or material adverse effect on (a) the business, operations, Property or financial condition of the Parent Guarantor, the Borrower and their Restricted Subsidiaries taken as a whole, (b) the ability of the Parent Guarantor, the Borrower or any other Guarantor to perform its payment obligations under any Loan Document or (c) the validity or enforceability of any Loan Document.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Debt (other than the Loans), or obligations in respect of one or more Swap Agreements, of the Parent Guarantor, the Borrower or their Restricted Subsidiaries in an aggregate principal amount exceeding $250,000,000. For purposes of determining Material Indebtedness, the “principal amount” of the obligations of the Parent Guarantor, the Borrower or their Restricted Subsidiaries in respect of any Swap Agreement at any time shall be the Swap Termination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as of any date, any Restricted Subsidiary of the Parent Guarantor that, together with its Restricted Subsidiaries, as of the last day of the fiscal quarter of the Parent Guarantor most recently ended for which Parent Guarantor’s annual or quarterly consolidated financial statements are available at the time of the Borrower’s written notice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“Guarantor” to cause such Restricted Subsidiary to cease to be a Guarantor, contributed greater than 10.0% of the Consolidated Net Tangible Assets for such quarter.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(a) with respect to the Tranche A Loans, the Tranche A Maturity Date and (b) with respect to the Tranche B Loans, the Tranche B Maturity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 that is a nationally recognized rating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shall have the meaning assigned to such term in the definition of “Change in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the promissory notes of the Borrower described in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and being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with all amendments, modifications, replacements, extensions and rearrangements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Properties</w:t>
      </w:r>
      <w:r>
        <w:rPr>
          <w:rFonts w:ascii="Times New Roman" w:cs="Times New Roman" w:eastAsia="Times New Roman" w:hAnsi="Times New Roman"/>
          <w:sz w:val="18"/>
          <w:szCs w:val="18"/>
          <w:color w:val="auto"/>
        </w:rPr>
        <w:t>” means (a) Hydrocarbon Interests; (b) the Properties now or hereafter pooled or unitized with Hydrocarbon Interests; (c) 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hereinafter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and any other Loan Document.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(a) the Federal Funds Effective Rate and (b) an overnight rate determined by the Administrative Agent in accordance with banking industry rules on interbank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means Diamondback Energy, Inc.,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12.04(c)(iii)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 Target</w:t>
      </w:r>
      <w:r>
        <w:rPr>
          <w:rFonts w:ascii="Times New Roman" w:cs="Times New Roman" w:eastAsia="Times New Roman" w:hAnsi="Times New Roman"/>
          <w:sz w:val="18"/>
          <w:szCs w:val="18"/>
          <w:color w:val="auto"/>
        </w:rPr>
        <w:t>” has the meaning set forth in the definition of “Permitted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means Investments in Persons (each, a “</w:t>
      </w:r>
      <w:r>
        <w:rPr>
          <w:rFonts w:ascii="Times New Roman" w:cs="Times New Roman" w:eastAsia="Times New Roman" w:hAnsi="Times New Roman"/>
          <w:sz w:val="18"/>
          <w:szCs w:val="18"/>
          <w:u w:val="single" w:color="auto"/>
          <w:color w:val="auto"/>
        </w:rPr>
        <w:t>Permitted Acquisition Target</w:t>
      </w:r>
      <w:r>
        <w:rPr>
          <w:rFonts w:ascii="Times New Roman" w:cs="Times New Roman" w:eastAsia="Times New Roman" w:hAnsi="Times New Roman"/>
          <w:sz w:val="18"/>
          <w:szCs w:val="18"/>
          <w:color w:val="auto"/>
        </w:rPr>
        <w:t>”) engaged primarily in the business of acquiring, developing and producing Oil and Gas Properties or transporting or processing Hydrocarbons from or attributable to such Oil and Gas Properties or business activities reasonably related, incidental, complementary or ancillary to the foregoing.</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the Parent Guarantor and any direct wholly owned Subsidiary of Parent Guarantor.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which (a) is currently or hereafter sponsored, maintained or contributed to by the Parent Guarantor, the Borrower, a Subsidiary or an ERISA Affiliate or (b) was at any time during the six calendar years preceding the date hereof, sponsored, maintained or contributed to by the Parent Guarantor, Borrower, a Subsidiary or an ERISA Affiliate.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Level</w:t>
      </w:r>
      <w:r>
        <w:rPr>
          <w:rFonts w:ascii="Times New Roman" w:cs="Times New Roman" w:eastAsia="Times New Roman" w:hAnsi="Times New Roman"/>
          <w:sz w:val="18"/>
          <w:szCs w:val="18"/>
          <w:color w:val="auto"/>
        </w:rPr>
        <w:t>” means the applicable category of rating level contained in the definition of “Applicable Margin”, which is based on the rating of the Index Debt (or the Term Loan Facility as provided for in the last sentence of the definition of “Applicable Margin”, as applicable) by one or more of the Rating Agencies.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interest in any kind of property or asset, whether real, personal or mixed, or tangible or intangible, including, without limitation, cash, securities, accounts and contract rights.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QEP</w:t>
      </w:r>
      <w:r>
        <w:rPr>
          <w:rFonts w:ascii="Times New Roman" w:cs="Times New Roman" w:eastAsia="Times New Roman" w:hAnsi="Times New Roman"/>
          <w:sz w:val="18"/>
          <w:szCs w:val="18"/>
          <w:color w:val="auto"/>
        </w:rPr>
        <w:t>” means QEP Resources, Inc.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QEP Merger</w:t>
      </w:r>
      <w:r>
        <w:rPr>
          <w:rFonts w:ascii="Times New Roman" w:cs="Times New Roman" w:eastAsia="Times New Roman" w:hAnsi="Times New Roman"/>
          <w:sz w:val="18"/>
          <w:szCs w:val="18"/>
          <w:color w:val="auto"/>
        </w:rPr>
        <w:t>” means the merger of a Subsidiary of Parent Guarantor with and into QEP, with QEP as the surviving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Midstream Assets</w:t>
      </w:r>
      <w:r>
        <w:rPr>
          <w:rFonts w:ascii="Times New Roman" w:cs="Times New Roman" w:eastAsia="Times New Roman" w:hAnsi="Times New Roman"/>
          <w:sz w:val="18"/>
          <w:szCs w:val="18"/>
          <w:color w:val="auto"/>
        </w:rPr>
        <w:t>” means assets used in the gathering, distributing, marketing, treating, processing, transporting of, or storage, disposal, or other handling of, Hydrocarbons, water, sand, minerals, chemicals or other products or substances commonly created, used, recovered, produced or processed in the conduct of the oil and gas business, including compression, pumping, treatment and disposal facilities, gathering lines and systems, and other assets commonly considered midstream assets or useful in connection with the conduct of midstream operations and Equity Interests in Qualified Midstream Persons.</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Midstream Person</w:t>
      </w:r>
      <w:r>
        <w:rPr>
          <w:rFonts w:ascii="Times New Roman" w:cs="Times New Roman" w:eastAsia="Times New Roman" w:hAnsi="Times New Roman"/>
          <w:sz w:val="18"/>
          <w:szCs w:val="18"/>
          <w:color w:val="auto"/>
        </w:rPr>
        <w:t>” means (a) any Person if (i) substantially all of the assets of such Person consist of or will consist of Qualified Midstream Assets or (ii) all or substantially all of such Person’s business is ownership of, operation of, construction or development of, or direct or indirect investment in, Qualified Midstream Assets and (b) each of the Rattler Entities.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Professional Asset Manager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12.19(a)(iii)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S&amp;P, Moody’s or Fitch.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Rattler Entities</w:t>
      </w:r>
      <w:r>
        <w:rPr>
          <w:rFonts w:ascii="Times New Roman" w:cs="Times New Roman" w:eastAsia="Times New Roman" w:hAnsi="Times New Roman"/>
          <w:sz w:val="18"/>
          <w:szCs w:val="18"/>
          <w:color w:val="auto"/>
        </w:rPr>
        <w:t>” means Rattler Midstream GP LLC, Rattler Midstream LP, Rattler Midstream Operating LLC, and their respective Subsidiaries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the same may be amended, supplemented or replaced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(including attorneys, accountants and experts) of such Person and such Person’s Affiliates.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Work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as to any Person, the Chief Executive Officer, the President, any Financial Officer or any Vice President of such Person. Unless otherwise specified, all references to a Responsible Officer herein shall mean a Responsible Officer of the Parent Guarantor.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Parent Guarantor or the Borrower that is not an Unrestricted Subsidiary.</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 Service, a division of S&amp;P Global Inc.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comprehensive Sanctions (which are, as of the Effective Date: Cuba, Iran, North Korea, Syria, the so-called Donetsk People’s Republic, the so-called Luhansk People’s Republic and the Zaporizhzhia, Kherson and Crimea Regions of Ukraine).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or the U.S. Department of State, (b) any Person operating, organized or resident in a Sanctioned Country or (c) any Person owned fifty percent (50%) or more, individually or in the aggregate, directly or indirectly, by any such Person or Persons described in the foregoing clause (a).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including those administered by OFAC or the U.S. Department of State.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Governmental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Unsecured Notes</w:t>
      </w:r>
      <w:r>
        <w:rPr>
          <w:rFonts w:ascii="Times New Roman" w:cs="Times New Roman" w:eastAsia="Times New Roman" w:hAnsi="Times New Roman"/>
          <w:sz w:val="18"/>
          <w:szCs w:val="18"/>
          <w:color w:val="auto"/>
        </w:rPr>
        <w:t>” means Debt in the form of unsecured senior or senior subordinated notes issued by the Parent Guarantor or the Borrower, including exchange notes issued in exchange therefor pursuant to any registration rights agreement, and, in each case, any guarantees thereof by the Parent Guarantor, the Borrower or a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means any Loan bearing interest at a rate based on Adjusted Term SOFR as provided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Credit Agreement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(solely with respect to the Parent Guarantor and the Borrower),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(solely with respect to the Parent Guarantor and the Borrower),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(solely with respect to the execution and delivery of the Loan Documents and solely with respect to the Parent Guarantor and the Borrower),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(solely with respect to the execution and delivery of the Loan Documents and solely with respect to a violation or default under an indenture, agreement or other instrument evidencing indebtedness for borrowed money of the Parent Guarantor or the Borrower in a principal or committed amount in excess of $500,000,000 (determined pro forma for the Transactions and the Endeavor Acquisition Transactions and without giving effect to any “material adverse effect” qualification or “materiality” qualification)), the second sentence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Merger Agreement Representations</w:t>
      </w:r>
      <w:r>
        <w:rPr>
          <w:rFonts w:ascii="Times New Roman" w:cs="Times New Roman" w:eastAsia="Times New Roman" w:hAnsi="Times New Roman"/>
          <w:sz w:val="18"/>
          <w:szCs w:val="18"/>
          <w:color w:val="auto"/>
        </w:rPr>
        <w:t>” means such of the representations and warranties made by Endeavor with respect to Endeavor and its Subsidiaries in the Endeavor Merger Agreement that are material to the interests of the Lenders, but only to the extent that the Parent Guarantor (or its Subsidiary or affiliate) has the right to terminate its obligations under the Endeavor Merger Agreement, or decline to consummate the Endeavor Acquisition, as a result of a breach of such representations and warranties in the Endeavor Merger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Equity</w:t>
      </w:r>
      <w:r>
        <w:rPr>
          <w:rFonts w:ascii="Times New Roman" w:cs="Times New Roman" w:eastAsia="Times New Roman" w:hAnsi="Times New Roman"/>
          <w:sz w:val="18"/>
          <w:szCs w:val="18"/>
          <w:color w:val="auto"/>
        </w:rPr>
        <w:t xml:space="preserve">” means, as of the time for which any determination thereof is to be made, (a) stockholders’ equity of the Parent Guarantor and its Consolidated Subsidiaries determined in accordance with GAAP as adjusted by (b)(i) excluding any interests in the Consolidated Subsidiaries that, in accordance with GAAP, would be required to be set forth as non-controlling interests on the consolidated balance sheet of the Parent Guarantor and its Consolidated Subsidiaries prepared in accordance with GAAP, (ii) either adding the amount by which such stockholders’ equity shall have been reduced by reason of any non-cash loss or subtracting the amount by which such stockholders’ equity shall have been increased by reason of any non-cash gain, in either case from changes in mark-to-market value of hedges, net of tax, resulting from the requirements of ASC Topic 815, in the case of this </w:t>
      </w:r>
      <w:r>
        <w:rPr>
          <w:rFonts w:ascii="Times New Roman" w:cs="Times New Roman" w:eastAsia="Times New Roman" w:hAnsi="Times New Roman"/>
          <w:sz w:val="18"/>
          <w:szCs w:val="18"/>
          <w:u w:val="single" w:color="auto"/>
          <w:color w:val="auto"/>
        </w:rPr>
        <w:t>sub-clause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attributable to any Consolidated Subsidiary to the extent of the Parent Guarantor’s direct and indirect ownership interests in such Subsidiary, and (iii) adding the amount by which such stockholders’ equity shall have been reduced by reason of any losses attributable to ceiling test impairment writedowns, in the case of this </w:t>
      </w:r>
      <w:r>
        <w:rPr>
          <w:rFonts w:ascii="Times New Roman" w:cs="Times New Roman" w:eastAsia="Times New Roman" w:hAnsi="Times New Roman"/>
          <w:sz w:val="18"/>
          <w:szCs w:val="18"/>
          <w:u w:val="single" w:color="auto"/>
          <w:color w:val="auto"/>
        </w:rPr>
        <w:t>sub-clause (iii)</w:t>
      </w:r>
      <w:r>
        <w:rPr>
          <w:rFonts w:ascii="Times New Roman" w:cs="Times New Roman" w:eastAsia="Times New Roman" w:hAnsi="Times New Roman"/>
          <w:sz w:val="18"/>
          <w:szCs w:val="18"/>
          <w:color w:val="auto"/>
        </w:rPr>
        <w:t xml:space="preserve">, attributable to any Consolidated Subsidiary to the extent of the Parent Guarantor’s direct and indirect ownership interests in such Subsidiary, in each case as set forth in the financial statements of the Parent Guarantor and its Consolidated Subsidiaries as furnished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any Person of which at least a majority of the outstanding Equity Interests having by the terms thereof ordinary voting power to elect a majority of the board of directors, managers or other governing body of such Person (irrespective of whether or not at the time Equity Interests of any other class or classes of such Person shall have or might have voting power by reason of the happening of any contingency) is at the time directly or indirectly owned or controlled by the Parent Guarantor, the Borrower or one or more of their Subsidiaries and (b) any partnership of which the Parent Guarantor, the Borrower or any of their Subsidiaries is a general partner. Unless otherwise indicated herein, each reference to the term “Subsidiary” shall mean a Subsidiary of the Parent Guarantor or the Borrower, as the context requires.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any agreement with respect to any swap, forward, future or derivative transaction or option or similar agreement, whether exchange traded, “</w:t>
      </w:r>
      <w:r>
        <w:rPr>
          <w:rFonts w:ascii="Times New Roman" w:cs="Times New Roman" w:eastAsia="Times New Roman" w:hAnsi="Times New Roman"/>
          <w:sz w:val="18"/>
          <w:szCs w:val="18"/>
          <w:u w:val="single" w:color="auto"/>
          <w:color w:val="auto"/>
        </w:rPr>
        <w:t>over-the-counter</w:t>
      </w:r>
      <w:r>
        <w:rPr>
          <w:rFonts w:ascii="Times New Roman" w:cs="Times New Roman" w:eastAsia="Times New Roman" w:hAnsi="Times New Roman"/>
          <w:sz w:val="18"/>
          <w:szCs w:val="18"/>
          <w:color w:val="auto"/>
        </w:rPr>
        <w:t xml:space="preserve">”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Parent Guarantor or its Subsidiaries shall be a Swap Agreement.</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Person, any obligation to pay or perform under any agreement, contract or transaction that constitutes a “swap” within the meaning of section 1a(47) of the Commodity Exchange Act, including any such obligation comprised of a guaranty or a security interest or other Lien.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Agreements, as determined by the counterparties to such Swap Agreements.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Bank of America, N.A., The Toronto-Dominion Bank, New York Branch, Goldman Sachs Bank USA, Morgan Stanley Senior Funding, Inc. and Wells Fargo Bank, National Association, as co-syndication agents for the Lenders under this Agreement and the other Loan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Leases</w:t>
      </w:r>
      <w:r>
        <w:rPr>
          <w:rFonts w:ascii="Times New Roman" w:cs="Times New Roman" w:eastAsia="Times New Roman" w:hAnsi="Times New Roman"/>
          <w:sz w:val="18"/>
          <w:szCs w:val="18"/>
          <w:color w:val="auto"/>
        </w:rPr>
        <w:t>” means, in respect of any Person, all leases which shall have been, or should have been, in accordance with GAAP, treated as operating leases on the financial statements of the Person liable (whether contingently or otherwise) for the payment of rent thereunder and which were properly treated as indebtedness for borrowed money for purposes of U.S. federal income taxes, if the lessee in respect thereof is obligated to either purchase for an amount in excess of, or pay upon early termination an amount in excess of, 80% of the residual value of the Property subject to such operating lease upon expiration or early termination of such lease.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Facility</w:t>
      </w:r>
      <w:r>
        <w:rPr>
          <w:rFonts w:ascii="Times New Roman" w:cs="Times New Roman" w:eastAsia="Times New Roman" w:hAnsi="Times New Roman"/>
          <w:sz w:val="18"/>
          <w:szCs w:val="18"/>
          <w:color w:val="auto"/>
        </w:rPr>
        <w:t>” means the term loan credit facility provided for in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with respect to any Term SOFR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means a percentage per annum equal to 0.10%.</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SOFR Borrowing and for any tenor comparable to the applicable Interest Period, the rate per annum published by the CME Term SOFR Administrator and identified by the Administrative Agent as the forward-looking term rate based on SOFR. If by 4:00 p.m., Houston, Texas time, on such Term SOFR Determination Day, the “Term SOFR Reference Rate” for the applicable tenor has not been published by the CME Term SOFR Administrator and a Benchmark Transition Event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earlier of the latest Maturity Date and the date of termination of the Commitments.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xml:space="preserve">” means, at any date, all Debt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of the Parent Guarantor, the Borrower and the Consolidated Restricted Subsidiaries on a consolidated basis.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Debt</w:t>
      </w:r>
      <w:r>
        <w:rPr>
          <w:rFonts w:ascii="Times New Roman" w:cs="Times New Roman" w:eastAsia="Times New Roman" w:hAnsi="Times New Roman"/>
          <w:sz w:val="18"/>
          <w:szCs w:val="18"/>
          <w:color w:val="auto"/>
        </w:rPr>
        <w:t xml:space="preserve">” means Total Debt, net of all cash and cash equivalents of the Parent Guarantor, the Borrower and the Restricted Subsidiaries as of such date determined on a consolidated basis in accordance with GAAP (excluding any portion of such aggregate amount of such cash and cash equivalents that appears (or would be required to appear) as “restricted” on a consolidated balance sheet of the Parent Guarantor, the Borrower and the Restricted Subsidiaries prepared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in the event that the Parent Guarantor, the Borrower or any Restricted Subsidiary issues notes that are subject to a special mandatory redemption, the net cash proceeds of any such notes offering shall not be considered “restricted” cash for purposes of the foregoing if such cash proceeds would not be considered “restricted” absent the existence of such special mandatory redemption provisions).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Debt to Capitalization Ratio</w:t>
      </w:r>
      <w:r>
        <w:rPr>
          <w:rFonts w:ascii="Times New Roman" w:cs="Times New Roman" w:eastAsia="Times New Roman" w:hAnsi="Times New Roman"/>
          <w:sz w:val="18"/>
          <w:szCs w:val="18"/>
          <w:color w:val="auto"/>
        </w:rPr>
        <w:t>” means the ratio of (a) Total Net Debt to (b) Capitalization.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Borrowing</w:t>
      </w:r>
      <w:r>
        <w:rPr>
          <w:rFonts w:ascii="Times New Roman" w:cs="Times New Roman" w:eastAsia="Times New Roman" w:hAnsi="Times New Roman"/>
          <w:sz w:val="18"/>
          <w:szCs w:val="18"/>
          <w:color w:val="auto"/>
        </w:rPr>
        <w:t>” means a Borrowing comprised of Tranche A Loans.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Commitment</w:t>
      </w:r>
      <w:r>
        <w:rPr>
          <w:rFonts w:ascii="Times New Roman" w:cs="Times New Roman" w:eastAsia="Times New Roman" w:hAnsi="Times New Roman"/>
          <w:sz w:val="18"/>
          <w:szCs w:val="18"/>
          <w:color w:val="auto"/>
        </w:rPr>
        <w:t xml:space="preserve">” means, with respect to each Lender, the commitment, if any, of such Lender to make a Tranche A Loan hereunder, expressed as an amount representing the maximum principal amount of the Tranche A Loan to be made by such Lender hereunder, as such commitment may be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or increased or reduced from time to time pursuant to assignments by or to such Lender pursuant to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The amount of each Lender’s Tranche A Commitment on the Effective Date is set forth under the heading “Tranche A Commitments” on Annex I, and the aggregate amount of the Tranche A Commitments on the Effective Date is $1,000,000,000.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Lender</w:t>
      </w:r>
      <w:r>
        <w:rPr>
          <w:rFonts w:ascii="Times New Roman" w:cs="Times New Roman" w:eastAsia="Times New Roman" w:hAnsi="Times New Roman"/>
          <w:sz w:val="18"/>
          <w:szCs w:val="18"/>
          <w:color w:val="auto"/>
        </w:rPr>
        <w:t>” means any Lender with a Tranche A Commitment or a Tranche A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Loan</w:t>
      </w:r>
      <w:r>
        <w:rPr>
          <w:rFonts w:ascii="Times New Roman" w:cs="Times New Roman" w:eastAsia="Times New Roman" w:hAnsi="Times New Roman"/>
          <w:sz w:val="18"/>
          <w:szCs w:val="18"/>
          <w:color w:val="auto"/>
        </w:rPr>
        <w:t xml:space="preserve">” means any Loan made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Maturity Date</w:t>
      </w:r>
      <w:r>
        <w:rPr>
          <w:rFonts w:ascii="Times New Roman" w:cs="Times New Roman" w:eastAsia="Times New Roman" w:hAnsi="Times New Roman"/>
          <w:sz w:val="18"/>
          <w:szCs w:val="18"/>
          <w:color w:val="auto"/>
        </w:rPr>
        <w:t xml:space="preserve">” means the date that is 364 days following the Funding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Tranche A Maturity Date shall be the immediately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Borrowing</w:t>
      </w:r>
      <w:r>
        <w:rPr>
          <w:rFonts w:ascii="Times New Roman" w:cs="Times New Roman" w:eastAsia="Times New Roman" w:hAnsi="Times New Roman"/>
          <w:sz w:val="18"/>
          <w:szCs w:val="18"/>
          <w:color w:val="auto"/>
        </w:rPr>
        <w:t>” means a Borrowing comprised of Tranche B Loans.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Commitment</w:t>
      </w:r>
      <w:r>
        <w:rPr>
          <w:rFonts w:ascii="Times New Roman" w:cs="Times New Roman" w:eastAsia="Times New Roman" w:hAnsi="Times New Roman"/>
          <w:sz w:val="18"/>
          <w:szCs w:val="18"/>
          <w:color w:val="auto"/>
        </w:rPr>
        <w:t xml:space="preserve">” means, with respect to each Lender, the commitment, if any, of such Lender to make a Tranche B Loan hereunder, expressed as an amount representing the maximum principal amount of the Tranche B Loan to be made by such Lender hereunder, as such commitment may be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or increased or reduced from time to time pursuant to assignments by or to such Lender pursuant to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The amount of each Lender’s Tranche B Commitment on the Effective Date is set forth under the heading “Tranche B Commitments” on Annex I, and the aggregate amount of the Tranche B Commitments on the Effective Date is $500,000,000.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Lender</w:t>
      </w:r>
      <w:r>
        <w:rPr>
          <w:rFonts w:ascii="Times New Roman" w:cs="Times New Roman" w:eastAsia="Times New Roman" w:hAnsi="Times New Roman"/>
          <w:sz w:val="18"/>
          <w:szCs w:val="18"/>
          <w:color w:val="auto"/>
        </w:rPr>
        <w:t>” means any Lender with a Tranche B Commitment or a Tranche B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Loan</w:t>
      </w:r>
      <w:r>
        <w:rPr>
          <w:rFonts w:ascii="Times New Roman" w:cs="Times New Roman" w:eastAsia="Times New Roman" w:hAnsi="Times New Roman"/>
          <w:sz w:val="18"/>
          <w:szCs w:val="18"/>
          <w:color w:val="auto"/>
        </w:rPr>
        <w:t xml:space="preserve">” means any Loan made pursuant to clause (b)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Maturity Date</w:t>
      </w:r>
      <w:r>
        <w:rPr>
          <w:rFonts w:ascii="Times New Roman" w:cs="Times New Roman" w:eastAsia="Times New Roman" w:hAnsi="Times New Roman"/>
          <w:sz w:val="18"/>
          <w:szCs w:val="18"/>
          <w:color w:val="auto"/>
        </w:rPr>
        <w:t>” means the date that is that is two years following the Funding Date; provided that if such day is not a Business Day, the Tranche B Maturity Date shall be the immediately preceding Business Day.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with respect to (a) the Borrower, the execution, delivery and performance by the Borrower of this Agreement and each other Loan Document to which it is a party, the borrowing of Loans and the use of the proceeds thereof and (b) each Guarantor, the execution, delivery and performance by such Guarantor of each Loan Document to which it is a party, and the guaranteeing of the Indebtedness and the other obligations under the Guaranty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Alternate Base Rate, Adjusted Term SOFR or any Benchmark Replacement.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Undrawn Commitment Fee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of the Parent Guarantor (other than the Borrower) or the Borrower which the Parent Guarantor or the Borrower has designated in writing to the Administrative Agent to be an Unrestricted Subsidiary pursuant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until such time as the Parent Guarantor or the Borrower redesignates such Person as a Restricted Subsidiary in accordance with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USA PATRIOT Act (Title III of Pub. L. 107-56 (signed into law October 26, 2001)), as amended from time to time, and any successor statute.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in each case, such day is also a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Viper Entities</w:t>
      </w:r>
      <w:r>
        <w:rPr>
          <w:rFonts w:ascii="Times New Roman" w:cs="Times New Roman" w:eastAsia="Times New Roman" w:hAnsi="Times New Roman"/>
          <w:sz w:val="17"/>
          <w:szCs w:val="17"/>
          <w:color w:val="auto"/>
        </w:rPr>
        <w:t>” means Viper Energy Partners GP LLC, Viper Energy Inc., Viper Energy Partners LLC, and their respective Subsidiaries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1.03 </w:t>
      </w:r>
      <w:r>
        <w:rPr>
          <w:rFonts w:ascii="Times New Roman" w:cs="Times New Roman" w:eastAsia="Times New Roman" w:hAnsi="Times New Roman"/>
          <w:sz w:val="18"/>
          <w:szCs w:val="18"/>
          <w:u w:val="single" w:color="auto"/>
          <w:color w:val="000000"/>
        </w:rPr>
        <w:t>Types of Loans and Borrowings</w:t>
      </w:r>
      <w:r>
        <w:rPr>
          <w:rFonts w:ascii="Times New Roman" w:cs="Times New Roman" w:eastAsia="Times New Roman" w:hAnsi="Times New Roman"/>
          <w:sz w:val="18"/>
          <w:szCs w:val="18"/>
          <w:color w:val="000000"/>
        </w:rPr>
        <w:t>. For purposes of this Agreement, Loans may be classified and referred to by Class (e.g.,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Tranche A Loan</w:t>
      </w:r>
      <w:r>
        <w:rPr>
          <w:rFonts w:ascii="Times New Roman" w:cs="Times New Roman" w:eastAsia="Times New Roman" w:hAnsi="Times New Roman"/>
          <w:sz w:val="18"/>
          <w:szCs w:val="18"/>
          <w:color w:val="000000"/>
        </w:rPr>
        <w:t>”) or by Type (e.g., a “</w:t>
      </w:r>
      <w:r>
        <w:rPr>
          <w:rFonts w:ascii="Times New Roman" w:cs="Times New Roman" w:eastAsia="Times New Roman" w:hAnsi="Times New Roman"/>
          <w:sz w:val="18"/>
          <w:szCs w:val="18"/>
          <w:u w:val="single" w:color="auto"/>
          <w:color w:val="000000"/>
        </w:rPr>
        <w:t>SOFR Loan</w:t>
      </w:r>
      <w:r>
        <w:rPr>
          <w:rFonts w:ascii="Times New Roman" w:cs="Times New Roman" w:eastAsia="Times New Roman" w:hAnsi="Times New Roman"/>
          <w:sz w:val="18"/>
          <w:szCs w:val="18"/>
          <w:color w:val="000000"/>
        </w:rPr>
        <w:t>”) or by Class and Type (e.g., a “</w:t>
      </w:r>
      <w:r>
        <w:rPr>
          <w:rFonts w:ascii="Times New Roman" w:cs="Times New Roman" w:eastAsia="Times New Roman" w:hAnsi="Times New Roman"/>
          <w:sz w:val="18"/>
          <w:szCs w:val="18"/>
          <w:u w:val="single" w:color="auto"/>
          <w:color w:val="000000"/>
        </w:rPr>
        <w:t>SOFR Tranche A Loan</w:t>
      </w:r>
      <w:r>
        <w:rPr>
          <w:rFonts w:ascii="Times New Roman" w:cs="Times New Roman" w:eastAsia="Times New Roman" w:hAnsi="Times New Roman"/>
          <w:sz w:val="18"/>
          <w:szCs w:val="18"/>
          <w:color w:val="000000"/>
        </w:rPr>
        <w:t>”). Borrowings also may be classified and referred to by Class (e.g., a “</w:t>
      </w:r>
      <w:r>
        <w:rPr>
          <w:rFonts w:ascii="Times New Roman" w:cs="Times New Roman" w:eastAsia="Times New Roman" w:hAnsi="Times New Roman"/>
          <w:sz w:val="18"/>
          <w:szCs w:val="18"/>
          <w:u w:val="single" w:color="auto"/>
          <w:color w:val="000000"/>
        </w:rPr>
        <w:t>Tranche A Borrowing</w:t>
      </w:r>
      <w:r>
        <w:rPr>
          <w:rFonts w:ascii="Times New Roman" w:cs="Times New Roman" w:eastAsia="Times New Roman" w:hAnsi="Times New Roman"/>
          <w:sz w:val="18"/>
          <w:szCs w:val="18"/>
          <w:color w:val="000000"/>
        </w:rPr>
        <w:t>”) or by Type (e.g., a “</w:t>
      </w:r>
      <w:r>
        <w:rPr>
          <w:rFonts w:ascii="Times New Roman" w:cs="Times New Roman" w:eastAsia="Times New Roman" w:hAnsi="Times New Roman"/>
          <w:sz w:val="18"/>
          <w:szCs w:val="18"/>
          <w:u w:val="single" w:color="auto"/>
          <w:color w:val="000000"/>
        </w:rPr>
        <w:t>SOFR Borrowing</w:t>
      </w:r>
      <w:r>
        <w:rPr>
          <w:rFonts w:ascii="Times New Roman" w:cs="Times New Roman" w:eastAsia="Times New Roman" w:hAnsi="Times New Roman"/>
          <w:sz w:val="18"/>
          <w:szCs w:val="18"/>
          <w:color w:val="000000"/>
        </w:rPr>
        <w:t>”) or by Class and Type (e.g., a “</w:t>
      </w:r>
      <w:r>
        <w:rPr>
          <w:rFonts w:ascii="Times New Roman" w:cs="Times New Roman" w:eastAsia="Times New Roman" w:hAnsi="Times New Roman"/>
          <w:sz w:val="18"/>
          <w:szCs w:val="18"/>
          <w:u w:val="single" w:color="auto"/>
          <w:color w:val="000000"/>
        </w:rPr>
        <w:t>SOFR Tranche A Borrowing</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1.04 </w:t>
      </w:r>
      <w:r>
        <w:rPr>
          <w:rFonts w:ascii="Times New Roman" w:cs="Times New Roman" w:eastAsia="Times New Roman" w:hAnsi="Times New Roman"/>
          <w:sz w:val="18"/>
          <w:szCs w:val="18"/>
          <w:u w:val="single" w:color="auto"/>
          <w:color w:val="000000"/>
        </w:rPr>
        <w:t>Terms Generally; Rules of Construction</w:t>
      </w:r>
      <w:r>
        <w:rPr>
          <w:rFonts w:ascii="Times New Roman" w:cs="Times New Roman" w:eastAsia="Times New Roman" w:hAnsi="Times New Roman"/>
          <w:sz w:val="18"/>
          <w:szCs w:val="18"/>
          <w:color w:val="000000"/>
        </w:rPr>
        <w:t>. The definitions of terms herein shall apply equally to the singular and plural forms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terms defined. Whenever the context may require, any pronoun shall include the corresponding masculine, feminine and neuter forms. The words “include”, “includes” and “including” as used in this Agreement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Loan Documents), (b)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Loan Documents), (d) the words “herein”, “hereof” and “hereunder”, and words of similar import, shall be construed to refer to this Agreement in its entirety and not to any particular provision hereof, (e) with respect to the determination of any time period, the word “from” means “from and including” and the word “to” means “to and including” and (f) any reference herein to Articles, Sections, Annexes, Exhibits and Schedules shall be construed to refer to Articles and Sections of, and Annexes, Exhibits and Schedules to, this Agreement. No provision of this Agreement or any other Loan Document shall be interpreted or construed against any Person solely because such Person or its legal representative drafted such provision.</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1.05 </w:t>
      </w:r>
      <w:r>
        <w:rPr>
          <w:rFonts w:ascii="Times New Roman" w:cs="Times New Roman" w:eastAsia="Times New Roman" w:hAnsi="Times New Roman"/>
          <w:sz w:val="18"/>
          <w:szCs w:val="18"/>
          <w:u w:val="single" w:color="auto"/>
          <w:color w:val="000000"/>
        </w:rPr>
        <w:t>Accounting Terms and Determinations; GAAP</w:t>
      </w:r>
      <w:r>
        <w:rPr>
          <w:rFonts w:ascii="Times New Roman" w:cs="Times New Roman" w:eastAsia="Times New Roman" w:hAnsi="Times New Roman"/>
          <w:sz w:val="18"/>
          <w:szCs w:val="18"/>
          <w:color w:val="000000"/>
        </w:rPr>
        <w:t>. Unless otherwise specified herein, all accounting terms used herein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interpreted, all determinations with respect to accounting matters hereunder shall be made, and all financial statements and certificates and reports as to financial matters required to be furnished to the Administrative Agent or the Lenders hereunder shall be prepared, in accordance with GAAP, applied on a basis consistent with the Financial Statements except for changes in which the Parent Guarantor’s or the Borrower’s independent certified public accountants concur and which are disclosed to Administrative Agent on the next date on which financial statements are required to be delivered to the Lenders pursuant to </w:t>
      </w:r>
      <w:r>
        <w:rPr>
          <w:rFonts w:ascii="Times New Roman" w:cs="Times New Roman" w:eastAsia="Times New Roman" w:hAnsi="Times New Roman"/>
          <w:sz w:val="18"/>
          <w:szCs w:val="18"/>
          <w:u w:val="single" w:color="auto"/>
          <w:color w:val="000000"/>
        </w:rPr>
        <w:t>Section 8.01(a)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unless the Parent Guarantor, the Borrower and the Majority Lenders shall otherwise agree in writing, no such change shall modify or affect the manner in which compliance with the covenants contained herein is computed such that all such computations shall be conducted utilizing financial information presented consistently with prior periods.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1.06 </w:t>
      </w:r>
      <w:r>
        <w:rPr>
          <w:rFonts w:ascii="Times New Roman" w:cs="Times New Roman" w:eastAsia="Times New Roman" w:hAnsi="Times New Roman"/>
          <w:sz w:val="18"/>
          <w:szCs w:val="18"/>
          <w:u w:val="single" w:color="auto"/>
          <w:color w:val="000000"/>
        </w:rPr>
        <w:t>Divisions</w:t>
      </w:r>
      <w:r>
        <w:rPr>
          <w:rFonts w:ascii="Times New Roman" w:cs="Times New Roman" w:eastAsia="Times New Roman" w:hAnsi="Times New Roman"/>
          <w:sz w:val="18"/>
          <w:szCs w:val="18"/>
          <w:color w:val="000000"/>
        </w:rPr>
        <w:t>. For all purposes under the Loan Documents, in connection with any division or plan of division under Delaware law</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1.07 </w:t>
      </w:r>
      <w:r>
        <w:rPr>
          <w:rFonts w:ascii="Times New Roman" w:cs="Times New Roman" w:eastAsia="Times New Roman" w:hAnsi="Times New Roman"/>
          <w:sz w:val="18"/>
          <w:szCs w:val="18"/>
          <w:u w:val="single" w:color="auto"/>
          <w:color w:val="000000"/>
        </w:rPr>
        <w:t>Interest Rates</w:t>
      </w:r>
      <w:r>
        <w:rPr>
          <w:rFonts w:ascii="Times New Roman" w:cs="Times New Roman" w:eastAsia="Times New Roman" w:hAnsi="Times New Roman"/>
          <w:sz w:val="18"/>
          <w:szCs w:val="18"/>
          <w:color w:val="000000"/>
        </w:rPr>
        <w:t>. The Administrative Agent does not warrant or accept any responsibility for, and shall not have any liability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respect to, (a) the continuation of, administration of, submission of, calculation of or any other matter related to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000000"/>
        </w:rPr>
        <w:t>Section 3.03(c)</w:t>
      </w:r>
      <w:r>
        <w:rPr>
          <w:rFonts w:ascii="Times New Roman" w:cs="Times New Roman" w:eastAsia="Times New Roman" w:hAnsi="Times New Roman"/>
          <w:sz w:val="18"/>
          <w:szCs w:val="18"/>
          <w:color w:val="000000"/>
        </w:rPr>
        <w: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u w:val="single" w:color="auto"/>
          <w:color w:val="000000"/>
        </w:rPr>
        <w:t>Commitments</w:t>
      </w:r>
      <w:r>
        <w:rPr>
          <w:rFonts w:ascii="Times New Roman" w:cs="Times New Roman" w:eastAsia="Times New Roman" w:hAnsi="Times New Roman"/>
          <w:sz w:val="18"/>
          <w:szCs w:val="18"/>
          <w:color w:val="000000"/>
        </w:rPr>
        <w:t>. Subject to the terms and conditions set forth herein, (a) each Tranche A Lender severally agrees to make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Tranche A Loan in dollars to the Borrower in a single drawing on the Funding Date in an aggregate principal amount that will not result in (x) such Tranche A Lender’s Tranche A Loans exceeding such Tranche A Lender’s Tranche A Commitment or (y) the total Tranche A Loans exceeding the total Tranche A Commitments and (b) each Tranche B Lender severally agrees to make a Tranche B Loan in dollars to the Borrower in a single drawing on the Funding Date in an aggregate principal amount that will not result in (x) such Tranche B Lender’s Tranche B Loans exceeding such Tranche B Lender’s Tranche B Commitment or (y) the total Tranche B Loans exceeding the total Tranche B Commitments. Loans repaid or prepaid may not be reborrowed. Any amounts borrowed under this </w:t>
      </w:r>
      <w:r>
        <w:rPr>
          <w:rFonts w:ascii="Times New Roman" w:cs="Times New Roman" w:eastAsia="Times New Roman" w:hAnsi="Times New Roman"/>
          <w:sz w:val="18"/>
          <w:szCs w:val="18"/>
          <w:u w:val="single" w:color="auto"/>
          <w:color w:val="000000"/>
        </w:rPr>
        <w:t>Section 2.01</w:t>
      </w:r>
      <w:r>
        <w:rPr>
          <w:rFonts w:ascii="Times New Roman" w:cs="Times New Roman" w:eastAsia="Times New Roman" w:hAnsi="Times New Roman"/>
          <w:sz w:val="18"/>
          <w:szCs w:val="18"/>
          <w:color w:val="000000"/>
        </w:rPr>
        <w:t xml:space="preserve"> shall be borrowed in a single drawing of each Class of Loans on the Funding Date and ratably between the Classes of Loans.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2.02</w:t>
      </w:r>
      <w:r>
        <w:rPr>
          <w:sz w:val="20"/>
          <w:szCs w:val="20"/>
          <w:color w:val="auto"/>
        </w:rPr>
        <w:tab/>
      </w:r>
      <w:r>
        <w:rPr>
          <w:rFonts w:ascii="Times New Roman" w:cs="Times New Roman" w:eastAsia="Times New Roman" w:hAnsi="Times New Roman"/>
          <w:sz w:val="17"/>
          <w:szCs w:val="17"/>
          <w:u w:val="single" w:color="auto"/>
          <w:color w:val="auto"/>
        </w:rPr>
        <w:t>Loans and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44"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Borrowings; Several Obligations</w:t>
      </w:r>
      <w:r>
        <w:rPr>
          <w:rFonts w:ascii="Times New Roman" w:cs="Times New Roman" w:eastAsia="Times New Roman" w:hAnsi="Times New Roman"/>
          <w:sz w:val="18"/>
          <w:szCs w:val="18"/>
          <w:color w:val="auto"/>
        </w:rPr>
        <w:t xml:space="preserve">. Each Tranche A Loan shall be made as part of a Tranche A Borrowing consisting of Tranche A Loans made by the Tranche A Lenders ratably in accordance with their respective Tranche A Commitments. Each Tranche B Loan shall be made as part of a Tranche B Borrowing consisting of Tranche B Loans made by the Tranche B Lenders ratably in accordance with their respective Tranche B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are several and no Lender shall be responsible for any other Lender’s failure to make Loans as required.</w:t>
      </w:r>
    </w:p>
    <w:p>
      <w:pPr>
        <w:spacing w:after="0" w:line="183"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059"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Types of Loans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each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both"/>
        <w:ind w:firstLine="1304"/>
        <w:spacing w:after="0" w:line="256" w:lineRule="auto"/>
        <w:tabs>
          <w:tab w:leader="none" w:pos="1944"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Minimum Amounts; Limitation on Number of Borrowings</w:t>
      </w:r>
      <w:r>
        <w:rPr>
          <w:rFonts w:ascii="Times New Roman" w:cs="Times New Roman" w:eastAsia="Times New Roman" w:hAnsi="Times New Roman"/>
          <w:sz w:val="18"/>
          <w:szCs w:val="18"/>
          <w:color w:val="auto"/>
        </w:rPr>
        <w:t>. At the commencement of each Interest Period for any SOFR Borrowing, such Borrowing shall be in an aggregate amount that is an integral multiple of $250,000 and not less than $250,000. At the time that each ABR Borrowing is made, such Borrowing shall be in an aggregate amount that is an integral multiple of $250,000 and not less than $250,000. Borrowings of more than one Type may be outstanding at the same time. Notwithstanding any other provision of this Agreement, the Borrower shall not be entitled to request, or to elect to convert or continue, any Borrowing if the Interest Period requested with respect thereto would end after the Maturity Date applicable to the relevant Loans.</w:t>
      </w:r>
    </w:p>
    <w:p>
      <w:pPr>
        <w:spacing w:after="0" w:line="187"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44"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The Loans made by each Lender shall, at the request of any Lender, be evidenced by a single promissory note of the Borrower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dated, in the case of (i) any Lender party hereto as of the date of this Agreement, as of the date of this Agreement or (ii) any Lender that becomes a party hereto pursuant to an Assignment and Assumption, as of the effective date of the Assignment and Assumption, payable to such Lender in a principal amount equal to its Commitment as in effect on such date, and otherwise duly completed. In the event that any Lender’s Commitment increases or decreases for any reason (whether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or otherwise), if requested by such Lender, the Borrower shall deliver or cause to be delivered on the effective date of such increase or decrease, a new Note payable to such Lender in a principal amount equal to its Commitment after giving effect to such increase or decrease, and otherwise duly completed. The date, amount, Type, interest rate and, if applicable, Interest Period of each Loan made by each Lender, and all payments made on account of the principal thereof, shall be recorded by such Lender on its books for its Note, and, prior to any transfer, may be endorsed by such Lender on a schedule attached to such Note or any continuation thereof or on any separate record maintained by such Lender. Failure to make any such notation or to attach a schedule shall not affect any Lender’s or the Borrower’s rights or obligations in respect of such Loans or affect the validity of such transfer by any Lender of its Note.</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2.03</w:t>
      </w:r>
      <w:r>
        <w:rPr>
          <w:sz w:val="20"/>
          <w:szCs w:val="20"/>
          <w:color w:val="auto"/>
        </w:rPr>
        <w:tab/>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To request a Borrowing, the Borrower shall notify the Administrative Agent of such request in writing</w:t>
      </w:r>
    </w:p>
    <w:p>
      <w:pPr>
        <w:spacing w:after="0" w:line="27" w:lineRule="exact"/>
        <w:rPr>
          <w:sz w:val="20"/>
          <w:szCs w:val="20"/>
          <w:color w:val="auto"/>
        </w:rPr>
      </w:pPr>
    </w:p>
    <w:p>
      <w:pPr>
        <w:jc w:val="both"/>
        <w:ind w:firstLine="8"/>
        <w:spacing w:after="0" w:line="253" w:lineRule="auto"/>
        <w:tabs>
          <w:tab w:leader="none" w:pos="2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SOFR Borrowing, not later than 1:00 P.M., Houston, Texas time, three U.S. Government Securities Business Days before the date of the proposed SOFR Borrowing or (b) in the case of an ABR Borrowing, not later than 10:00 A.M., Houston, Texas time, on the Business Day of the proposed ABR Borrowing. Each such Borrowing Request shall be irrevocable and shall be evidenced by delivery of a Borrowing Request to the Administrative Agent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signed by the Parent Guarantor and the Borrower.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2600" w:hanging="778"/>
        <w:spacing w:after="0"/>
        <w:tabs>
          <w:tab w:leader="none" w:pos="2600" w:val="left"/>
        </w:tabs>
        <w:numPr>
          <w:ilvl w:val="1"/>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amount of the requested Borrowing;</w:t>
      </w:r>
    </w:p>
    <w:p>
      <w:pPr>
        <w:spacing w:after="0" w:line="225" w:lineRule="exact"/>
        <w:rPr>
          <w:rFonts w:ascii="Times New Roman" w:cs="Times New Roman" w:eastAsia="Times New Roman" w:hAnsi="Times New Roman"/>
          <w:sz w:val="18"/>
          <w:szCs w:val="18"/>
          <w:color w:val="010000"/>
        </w:rPr>
      </w:pPr>
    </w:p>
    <w:p>
      <w:pPr>
        <w:ind w:left="2600" w:hanging="778"/>
        <w:spacing w:after="0"/>
        <w:tabs>
          <w:tab w:leader="none" w:pos="2600" w:val="left"/>
        </w:tabs>
        <w:numPr>
          <w:ilvl w:val="1"/>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010000"/>
        </w:rPr>
      </w:pPr>
    </w:p>
    <w:p>
      <w:pPr>
        <w:ind w:left="2600" w:hanging="778"/>
        <w:spacing w:after="0"/>
        <w:tabs>
          <w:tab w:leader="none" w:pos="2600" w:val="left"/>
        </w:tabs>
        <w:numPr>
          <w:ilvl w:val="1"/>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such Borrowing is to be a Tranche A Borrowing or a Tranche B Borrowing;</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2600" w:hanging="778"/>
        <w:spacing w:after="0"/>
        <w:tabs>
          <w:tab w:leader="none" w:pos="2600"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such Borrowing is to be an ABR Borrowing or a SOFR Borrowing;</w:t>
      </w:r>
    </w:p>
    <w:p>
      <w:pPr>
        <w:spacing w:after="0" w:line="225" w:lineRule="exact"/>
        <w:rPr>
          <w:rFonts w:ascii="Times New Roman" w:cs="Times New Roman" w:eastAsia="Times New Roman" w:hAnsi="Times New Roman"/>
          <w:sz w:val="18"/>
          <w:szCs w:val="18"/>
          <w:color w:val="010000"/>
        </w:rPr>
      </w:pPr>
    </w:p>
    <w:p>
      <w:pPr>
        <w:ind w:firstLine="1822"/>
        <w:spacing w:after="0" w:line="282" w:lineRule="auto"/>
        <w:tabs>
          <w:tab w:leader="none" w:pos="2592"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SOFR Borrowing, the initial Interest Period to be applicable thereto, which shall be a period contemplated by the definition of the term “Interest Period”;</w:t>
      </w:r>
    </w:p>
    <w:p>
      <w:pPr>
        <w:spacing w:after="0" w:line="161" w:lineRule="exact"/>
        <w:rPr>
          <w:rFonts w:ascii="Times New Roman" w:cs="Times New Roman" w:eastAsia="Times New Roman" w:hAnsi="Times New Roman"/>
          <w:sz w:val="18"/>
          <w:szCs w:val="18"/>
          <w:color w:val="010000"/>
        </w:rPr>
      </w:pPr>
    </w:p>
    <w:p>
      <w:pPr>
        <w:ind w:left="2600" w:hanging="778"/>
        <w:spacing w:after="0"/>
        <w:tabs>
          <w:tab w:leader="none" w:pos="2600"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location and number of the Borrower’s account to which funds are to be disbursed; and</w:t>
      </w:r>
    </w:p>
    <w:p>
      <w:pPr>
        <w:spacing w:after="0" w:line="225" w:lineRule="exact"/>
        <w:rPr>
          <w:rFonts w:ascii="Times New Roman" w:cs="Times New Roman" w:eastAsia="Times New Roman" w:hAnsi="Times New Roman"/>
          <w:sz w:val="18"/>
          <w:szCs w:val="18"/>
          <w:color w:val="010000"/>
        </w:rPr>
      </w:pPr>
    </w:p>
    <w:p>
      <w:pPr>
        <w:ind w:firstLine="1822"/>
        <w:spacing w:after="0" w:line="282" w:lineRule="auto"/>
        <w:tabs>
          <w:tab w:leader="none" w:pos="2592"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such Borrowing is conditioned upon the occurrence of any event, in which case such Borrowing Request may be revoked by the Parent Guarantor (by notice to the Administrative Agent on or prior to the specified effective date) if such condition is not satisfied.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Lender of the applicable Class of the details thereof and of the amount of such Lender’s Loan to be made as part of the requested Borrowing.</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2.04</w:t>
      </w:r>
      <w:r>
        <w:rPr>
          <w:sz w:val="20"/>
          <w:szCs w:val="20"/>
          <w:color w:val="auto"/>
        </w:rPr>
        <w:tab/>
      </w:r>
      <w:r>
        <w:rPr>
          <w:rFonts w:ascii="Times New Roman" w:cs="Times New Roman" w:eastAsia="Times New Roman" w:hAnsi="Times New Roman"/>
          <w:sz w:val="17"/>
          <w:szCs w:val="17"/>
          <w:u w:val="single" w:color="auto"/>
          <w:color w:val="auto"/>
        </w:rPr>
        <w:t>Interest Elections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44"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and Continuance</w:t>
      </w:r>
      <w:r>
        <w:rPr>
          <w:rFonts w:ascii="Times New Roman" w:cs="Times New Roman" w:eastAsia="Times New Roman" w:hAnsi="Times New Roman"/>
          <w:sz w:val="18"/>
          <w:szCs w:val="18"/>
          <w:color w:val="auto"/>
        </w:rPr>
        <w:t xml:space="preserve">. 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7"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Interest Election Requests</w:t>
      </w:r>
      <w:r>
        <w:rPr>
          <w:rFonts w:ascii="Times New Roman" w:cs="Times New Roman" w:eastAsia="Times New Roman" w:hAnsi="Times New Roman"/>
          <w:sz w:val="18"/>
          <w:szCs w:val="18"/>
          <w:color w:val="auto"/>
        </w:rPr>
        <w:t xml:space="preserve">. To make an election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Borrower shall notify the Administrative Agent of such election in writing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was requesting a Borrowing of the Type resulting from such election to be made on the effective date of such election. Each such Interest Election Request shall be irrevocable and shall be confirmed evidenced by hand delivery, electronic communication or telecopy to the Administrative Agent of a written Interest Election Request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signed by the Parent Guarantor and the Borrower.</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1960" w:hanging="656"/>
        <w:spacing w:after="0"/>
        <w:tabs>
          <w:tab w:leader="none" w:pos="1960"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Information in Interest Election Requests</w:t>
      </w:r>
      <w:r>
        <w:rPr>
          <w:rFonts w:ascii="Times New Roman" w:cs="Times New Roman" w:eastAsia="Times New Roman" w:hAnsi="Times New Roman"/>
          <w:sz w:val="18"/>
          <w:szCs w:val="18"/>
          <w:color w:val="auto"/>
        </w:rPr>
        <w:t>. Each Interest Election Request shall specify the following information in compliance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92"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Section 2.04(c)(iii)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specified for each resulting Borrowing);</w:t>
      </w:r>
    </w:p>
    <w:p>
      <w:pPr>
        <w:spacing w:after="0" w:line="17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the resulting Borrowing is to be an ABR Borrowing or a SOFR Borrowing; and</w:t>
      </w:r>
    </w:p>
    <w:p>
      <w:pPr>
        <w:spacing w:after="0" w:line="225"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the Borrower shall be deemed to have selected an Interest Period of one month’s duration.</w:t>
      </w:r>
    </w:p>
    <w:p>
      <w:pPr>
        <w:spacing w:after="0" w:line="162" w:lineRule="exact"/>
        <w:rPr>
          <w:sz w:val="20"/>
          <w:szCs w:val="20"/>
          <w:color w:val="auto"/>
        </w:rPr>
      </w:pPr>
    </w:p>
    <w:p>
      <w:pPr>
        <w:ind w:firstLine="1304"/>
        <w:spacing w:after="0" w:line="282" w:lineRule="auto"/>
        <w:tabs>
          <w:tab w:leader="none" w:pos="1944"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to Lenders by the Administrative Agent</w:t>
      </w:r>
      <w:r>
        <w:rPr>
          <w:rFonts w:ascii="Times New Roman" w:cs="Times New Roman" w:eastAsia="Times New Roman" w:hAnsi="Times New Roman"/>
          <w:sz w:val="18"/>
          <w:szCs w:val="18"/>
          <w:color w:val="auto"/>
        </w:rPr>
        <w:t>. Promptly following receipt of an Interest Election Request, the Administrative Agent shall advise each Lender of the applicable Class of the details thereof and of such Lender’s portion of each resulting Borrowing.</w:t>
      </w:r>
    </w:p>
    <w:p>
      <w:pPr>
        <w:spacing w:after="0" w:line="161"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44"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 of Failure to Deliver Timely Interest Election Request and Events of Default on Interest Election</w:t>
      </w:r>
      <w:r>
        <w:rPr>
          <w:rFonts w:ascii="Times New Roman" w:cs="Times New Roman" w:eastAsia="Times New Roman" w:hAnsi="Times New Roman"/>
          <w:sz w:val="18"/>
          <w:szCs w:val="18"/>
          <w:color w:val="auto"/>
        </w:rPr>
        <w:t>. If the Borrower fails to deliver a timely Interest Election Request with respect to a SOFR Borrowing prior to the end of the Interest Period applicable thereto, then, unless such Borrowing is repaid as provided herein, at the end of such Interest Period such Borrowing shall be automatically continued as a SOFR Borrowing with an Interest Period of one-month’s duration. Any such continuation shall be effective as of the last day of the Interest Period then in effect with respect to the applicable SOFR Loan. Notwithstanding any contrary provision hereof, if an Event of Default has occurred and is continuing, no outstanding Borrowing may be converted to or continued as a SOFR Borrowing (and any Interest Election Request that requests the conversion of any Borrowing to, or continuation of any Borrowing as, a SOFR Borrowing shall be ineffective) and unless repaid, each SOFR Borrowing shall be converted to an ABR Borrowing at the end of the Interest Period applicable thereto.</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2.05</w:t>
      </w:r>
      <w:r>
        <w:rPr>
          <w:sz w:val="20"/>
          <w:szCs w:val="20"/>
          <w:color w:val="auto"/>
        </w:rPr>
        <w:tab/>
      </w:r>
      <w:r>
        <w:rPr>
          <w:rFonts w:ascii="Times New Roman" w:cs="Times New Roman" w:eastAsia="Times New Roman" w:hAnsi="Times New Roman"/>
          <w:sz w:val="17"/>
          <w:szCs w:val="17"/>
          <w:u w:val="single" w:color="auto"/>
          <w:color w:val="auto"/>
        </w:rPr>
        <w:t>Funding of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44"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Funding by Lenders</w:t>
      </w:r>
      <w:r>
        <w:rPr>
          <w:rFonts w:ascii="Times New Roman" w:cs="Times New Roman" w:eastAsia="Times New Roman" w:hAnsi="Times New Roman"/>
          <w:sz w:val="18"/>
          <w:szCs w:val="18"/>
          <w:color w:val="auto"/>
        </w:rPr>
        <w:t>. Each Lender shall make each Loan to be made by it hereunder on the Funding Date by wire transfer of immediately available funds by (i) in the case of a SOFR Loan, 10:00 A.M., Houston, Texas time and (ii) in the case of an ABR Loan, 1:00 P.M., Houston, Texas time, in each case,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designated by the Borrower in the applicable Borrowing Request. Nothing herein shall be deemed to obligate any Lender to obtain the funds for its Loan in any particular place or manner or to constitute a representation by any Lender that it has obtained or will obtain the funds for its Loan in any particular place or manner.</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1304"/>
        <w:spacing w:after="0" w:line="253" w:lineRule="auto"/>
        <w:tabs>
          <w:tab w:leader="none" w:pos="1944"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Presumption of Funding by the Lenders</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of the applicable Class. If such Lender pays such amount to the Administrative Agent, then such amount shall constitute such Lender’s Loan included in such Borrowing.</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2.06</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44"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Scheduled Termination of Commitments</w:t>
      </w:r>
      <w:r>
        <w:rPr>
          <w:rFonts w:ascii="Times New Roman" w:cs="Times New Roman" w:eastAsia="Times New Roman" w:hAnsi="Times New Roman"/>
          <w:sz w:val="18"/>
          <w:szCs w:val="18"/>
          <w:color w:val="auto"/>
        </w:rPr>
        <w:t xml:space="preserve">. Unless previously terminated, the Commitments shall terminate upon the earliest of (i) the date that is five Business Days after the Endeavor Outside Date, (ii) the occurrence of the Endeavor Acquisition Closing without the funding of any Loans under of the Term Loan Facility and (iii) the Endeavor Acquisition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any event the Commitments in respect of each Class shall terminate in their entirety automatically upon the borrowing of Loans in accordance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 an amount equal to the entire outstanding amount of Commitments in respect of such Class and (y) each Lender’s Commitment of any Class shall be automatically reduced by the amount of any Loan of such Class made by such Lender, such reduction to be effective immediately following the making of such Loan by such Lender.</w:t>
      </w:r>
    </w:p>
    <w:p>
      <w:pPr>
        <w:spacing w:after="0" w:line="187"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Optional Termination and Reduction of Commitments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92"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at any time terminate, or from time to time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reduction of the Commitments (A) shall be made ratably between the Classes of Commitments and (B) shall be in an amount that is an integral multiple of $1,000,000 and not less than $1,000,000.</w:t>
      </w:r>
    </w:p>
    <w:p>
      <w:pPr>
        <w:spacing w:after="0" w:line="175" w:lineRule="exact"/>
        <w:rPr>
          <w:rFonts w:ascii="Times New Roman" w:cs="Times New Roman" w:eastAsia="Times New Roman" w:hAnsi="Times New Roman"/>
          <w:sz w:val="18"/>
          <w:szCs w:val="18"/>
          <w:color w:val="010000"/>
        </w:rPr>
      </w:pPr>
    </w:p>
    <w:p>
      <w:pPr>
        <w:jc w:val="both"/>
        <w:ind w:firstLine="1952"/>
        <w:spacing w:after="0" w:line="255" w:lineRule="auto"/>
        <w:tabs>
          <w:tab w:leader="none" w:pos="2592"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notify the Administrative Agent of any election to terminate or reduce the Commitments of any Class under </w:t>
      </w:r>
      <w:r>
        <w:rPr>
          <w:rFonts w:ascii="Times New Roman" w:cs="Times New Roman" w:eastAsia="Times New Roman" w:hAnsi="Times New Roman"/>
          <w:sz w:val="18"/>
          <w:szCs w:val="18"/>
          <w:u w:val="single" w:color="auto"/>
          <w:color w:val="auto"/>
        </w:rPr>
        <w:t>Section 2.06(b)(i)</w:t>
      </w:r>
      <w:r>
        <w:rPr>
          <w:rFonts w:ascii="Times New Roman" w:cs="Times New Roman" w:eastAsia="Times New Roman" w:hAnsi="Times New Roman"/>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applicable Class of the contents thereof. Each notice delivered by the Borrower pursuant to this </w:t>
      </w:r>
      <w:r>
        <w:rPr>
          <w:rFonts w:ascii="Times New Roman" w:cs="Times New Roman" w:eastAsia="Times New Roman" w:hAnsi="Times New Roman"/>
          <w:sz w:val="18"/>
          <w:szCs w:val="18"/>
          <w:u w:val="single" w:color="auto"/>
          <w:color w:val="auto"/>
        </w:rPr>
        <w:t>Section 2.06(b)(ii)</w:t>
      </w:r>
      <w:r>
        <w:rPr>
          <w:rFonts w:ascii="Times New Roman" w:cs="Times New Roman" w:eastAsia="Times New Roman" w:hAnsi="Times New Roman"/>
          <w:sz w:val="18"/>
          <w:szCs w:val="18"/>
          <w:color w:val="auto"/>
        </w:rPr>
        <w:t xml:space="preserve"> shall be irrevocable. Any termination or reduction of the Commitments of any Class shall be permanent and may not be reinstated, in each case, except pursuant to an amendment to this Agreement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12.02</w:t>
      </w:r>
      <w:r>
        <w:rPr>
          <w:rFonts w:ascii="Times New Roman" w:cs="Times New Roman" w:eastAsia="Times New Roman" w:hAnsi="Times New Roman"/>
          <w:sz w:val="18"/>
          <w:szCs w:val="18"/>
          <w:color w:val="auto"/>
        </w:rPr>
        <w:t>. Each reduction of the Commitments of any Class shall be made ratably among the Lenders of such Class in accordance with their respective Commitments of such Class.</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6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10000"/>
              </w:rPr>
              <w:t>Section 2.07</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10000"/>
              </w:rPr>
              <w:t>Section 2.08</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10000"/>
              </w:rPr>
              <w:t>Section 2.09</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10000"/>
              </w:rPr>
              <w:t>Section 2.10</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Defaulting Lenders.</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1304"/>
        <w:spacing w:after="0" w:line="282" w:lineRule="auto"/>
        <w:tabs>
          <w:tab w:leader="none" w:pos="1944"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61"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definitions of Majority Lenders and Majority in Interest.</w:t>
      </w:r>
    </w:p>
    <w:p>
      <w:pPr>
        <w:spacing w:after="0" w:line="161" w:lineRule="exact"/>
        <w:rPr>
          <w:rFonts w:ascii="Times New Roman" w:cs="Times New Roman" w:eastAsia="Times New Roman" w:hAnsi="Times New Roman"/>
          <w:sz w:val="18"/>
          <w:szCs w:val="18"/>
          <w:color w:val="010000"/>
        </w:rPr>
      </w:pPr>
    </w:p>
    <w:p>
      <w:pPr>
        <w:jc w:val="both"/>
        <w:ind w:firstLine="1952"/>
        <w:spacing w:after="0" w:line="252" w:lineRule="auto"/>
        <w:tabs>
          <w:tab w:leader="none" w:pos="2592" w:val="left"/>
        </w:tabs>
        <w:numPr>
          <w:ilvl w:val="1"/>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shall be applied at such time or times as may be determined by the Administrative Agent as follows: first, to the payment of any amounts owing by such Defaulting Lender to the Administrative Agent hereunder; second, as the Borrower may request (so long as no Default or Event of Default exists), to the funding of any Loan in respect of which such Defaulting Lender has failed to fund its portion thereof as required by this Agreement, as determined by the Administrative Agent; third, to the payment of any amounts owing to the Lenders as a result of any judgment of a court of competent jurisdiction obtained by any Lender against such Defaulting Lender as a result of such Defaulting Lender’s breach of its obligations under this Agreement; fourth,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fifth,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(1) such payment is a payment of the principal amount of any Class of Loans and (2) such Loans were made at a time when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of such Class on a pro rata basis prior to being applied to the payment of any Loans of such Defaulting Lender until such time as all Loans of such Class are held by the Lenders of such Class pro rata in accordance with their Commitments in respect of such Class.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18"/>
          <w:szCs w:val="18"/>
          <w:u w:val="single" w:color="auto"/>
          <w:color w:val="auto"/>
        </w:rPr>
        <w:t>Section 2.10(a)(ii)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94"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92" w:val="left"/>
        </w:tabs>
        <w:numPr>
          <w:ilvl w:val="1"/>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Defaulting Lender shall be entitled to receive any Undrawn Commitment Fee for any period during which that Lender is a Defaulting Lender (and the Borrower shall not be required to pay any such fee that otherwise would have been required to have been paid to that Defaulting Lender).</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both"/>
        <w:ind w:firstLine="1304"/>
        <w:spacing w:after="0" w:line="254" w:lineRule="auto"/>
        <w:tabs>
          <w:tab w:leader="none" w:pos="1944"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the Administrative Agent may determine to be necessary to cause the Loans of each Class to be held pro rata by the Lenders of the applicable Class in accordance with the Commitments under this Agreement,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OF PRINCIPAL AND INTEREST; PREPAYMENTS; FEES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3.01 </w:t>
      </w:r>
      <w:r>
        <w:rPr>
          <w:rFonts w:ascii="Times New Roman" w:cs="Times New Roman" w:eastAsia="Times New Roman" w:hAnsi="Times New Roman"/>
          <w:sz w:val="18"/>
          <w:szCs w:val="18"/>
          <w:u w:val="single" w:color="auto"/>
          <w:color w:val="000000"/>
        </w:rPr>
        <w:t>Repayment of Loans</w:t>
      </w:r>
      <w:r>
        <w:rPr>
          <w:rFonts w:ascii="Times New Roman" w:cs="Times New Roman" w:eastAsia="Times New Roman" w:hAnsi="Times New Roman"/>
          <w:sz w:val="18"/>
          <w:szCs w:val="18"/>
          <w:color w:val="000000"/>
        </w:rPr>
        <w:t>. The Borrower hereby unconditionally promises to pay to the Administrative Agent for the account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Tranche A Lender the then unpaid principal amount of each Tranche A Loan on the Tranche A Maturity Date. The Borrower hereby unconditionally promises to pay to the Administrative Agent for the account of each Tranche B Lender the then unpaid principal amount of each Tranche B Loan on the Tranche B Maturity Date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3.02</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944"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The Loans comprising each ABR Borrowing shall bear interest at the Alternate Base Rate plus the Applicable Margin, but in no event to exceed the Highest Lawful Rate.</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SOFR Loans</w:t>
      </w:r>
      <w:r>
        <w:rPr>
          <w:rFonts w:ascii="Times New Roman" w:cs="Times New Roman" w:eastAsia="Times New Roman" w:hAnsi="Times New Roman"/>
          <w:sz w:val="18"/>
          <w:szCs w:val="18"/>
          <w:color w:val="auto"/>
        </w:rPr>
        <w:t>. The Loans comprising each SOFR Borrowing shall bear interest at Adjusted Term SOFR for the Interest Period in effect for such Borrowing plus the Applicable Margin, but in no event to exceed the Highest Lawful Rate.</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Post-Default Rate</w:t>
      </w:r>
      <w:r>
        <w:rPr>
          <w:rFonts w:ascii="Times New Roman" w:cs="Times New Roman" w:eastAsia="Times New Roman" w:hAnsi="Times New Roman"/>
          <w:sz w:val="18"/>
          <w:szCs w:val="18"/>
          <w:color w:val="auto"/>
        </w:rPr>
        <w:t xml:space="preserve">. Notwithstanding the foregoing, if any principal of or interest on any Loan or any fee or other amount payable by the Parent Guarantor or the Borrower hereunder is not paid when due, whether at stated maturity, upon acceleration or otherwise, such overdue amount shall bear interest, after as well as before judgment, at a rate per annum equal to two percent (2%) plus the rate applicable to ABR Loans of the applicable Class as provided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but not to exceed the Highest Lawful Rate.</w:t>
      </w:r>
    </w:p>
    <w:p>
      <w:pPr>
        <w:spacing w:after="0" w:line="179"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xml:space="preserve">. Accrued interest on each Loan shall be payable in arrears on each Interest Payment Date for such Loan, on the applicable Maturity Date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Section 3.02(d)</w:t>
      </w:r>
      <w:r>
        <w:rPr>
          <w:rFonts w:ascii="Times New Roman" w:cs="Times New Roman" w:eastAsia="Times New Roman" w:hAnsi="Times New Roman"/>
          <w:sz w:val="18"/>
          <w:szCs w:val="18"/>
          <w:color w:val="auto"/>
        </w:rPr>
        <w:t xml:space="preserve"> shall be payable on demand, (ii) in the event of any repayment or prepayment of any Loan (other than an optional prepayment of an ABR Loan prior to the applicable Maturity Date),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firstLine="1304"/>
        <w:spacing w:after="0" w:line="256" w:lineRule="auto"/>
        <w:tabs>
          <w:tab w:leader="none" w:pos="1944"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Interest Rate Computations</w:t>
      </w:r>
      <w:r>
        <w:rPr>
          <w:rFonts w:ascii="Times New Roman" w:cs="Times New Roman" w:eastAsia="Times New Roman" w:hAnsi="Times New Roman"/>
          <w:sz w:val="18"/>
          <w:szCs w:val="18"/>
          <w:color w:val="auto"/>
        </w:rPr>
        <w:t>. All interest hereunder shall be computed on the basis of a year of 360 days, unless such computation would exceed the Highest Lawful Rate, in which case interest shall be computed on the basis of a year of 365 days (or 366 days in a leap year),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Term SOFR and Term SOFR shall be determined by the Administrative Agent, and such determination shall be conclusive absent manifest error, and be binding upon the parties hereto.</w:t>
      </w:r>
    </w:p>
    <w:p>
      <w:pPr>
        <w:spacing w:after="0" w:line="187"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3.03</w:t>
      </w:r>
      <w:r>
        <w:rPr>
          <w:sz w:val="20"/>
          <w:szCs w:val="20"/>
          <w:color w:val="auto"/>
        </w:rPr>
        <w:tab/>
      </w:r>
      <w:r>
        <w:rPr>
          <w:rFonts w:ascii="Times New Roman" w:cs="Times New Roman" w:eastAsia="Times New Roman" w:hAnsi="Times New Roman"/>
          <w:sz w:val="17"/>
          <w:szCs w:val="17"/>
          <w:u w:val="single" w:color="auto"/>
          <w:color w:val="auto"/>
        </w:rPr>
        <w:t>Changed Circumstances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44"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Circumstances Affecting Benchmark Availability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Term SOFR for the applicable Interest Period with respect to a proposed SOFR Loan on or prior to the first day of such Interest Period or (ii) the Majority Lenders shall determine (which determination shall be conclusive and binding absent manifest error) that Adjusted Term SOFR does not adequately and fairly reflect the cost to such Lenders of making or maintaining such Loans during such Interest Period,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Majority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1304"/>
        <w:spacing w:after="0" w:line="252" w:lineRule="auto"/>
        <w:tabs>
          <w:tab w:leader="none" w:pos="1944"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Laws Affecting SOFR Availability</w:t>
      </w:r>
      <w:r>
        <w:rPr>
          <w:rFonts w:ascii="Times New Roman" w:cs="Times New Roman" w:eastAsia="Times New Roman" w:hAnsi="Times New Roman"/>
          <w:sz w:val="18"/>
          <w:szCs w:val="18"/>
          <w:color w:val="auto"/>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Adjusted Term SOFR or Term SOFR, such Lender shall promptly give notice thereof to the Administrative Agent and the Administrative Agent shall promptly give notice to the Borrower and the other Lenders. Thereafter, until the Administrative Agent notifies the Borrower that such circumstances no longer exist, (i) any obligation of the Lenders to make SOFR Loans, and any right of the Borrower to convert any Loan to a SOFR Loan or continue any Loan as a SOFR Loan, shall be suspended and (ii) if necessary to avoid such illegality, the Administrative Agent shall compute the Alternate Base Rate without reference to clause (c) of the definition of “Alternate Base Rate”, in each case until each such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convert all SOFR Loans to ABR Loans (in each case, if necessary to avoid such illegality, the Administrative Agent shall compute the Alternate Base Rate without reference to clause (c)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53" w:lineRule="auto"/>
        <w:tabs>
          <w:tab w:leader="none" w:pos="2673"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a Majority in Interest of each Class.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ABR Loans. During the period referenced in the foregoing sentence, the component of the Alternate Base Rate based upon the Benchmark will not be used in any determination of the Alternate Base Rate.</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1952"/>
        <w:spacing w:after="0" w:line="261" w:lineRule="auto"/>
        <w:tabs>
          <w:tab w:leader="none" w:pos="2673"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673"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 (i) the implementation of any Benchmark Replacement and (ii) the effectiveness of any Benchmark Replacement Conforming Changes. For the avoidance of doubt, any notice required to be delivered by the Administrative Agent as set forth in this Section 3.03(c)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any Lender (or group of Lenders)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3.03(c).</w:t>
      </w:r>
    </w:p>
    <w:p>
      <w:pPr>
        <w:spacing w:after="0" w:line="188" w:lineRule="exact"/>
        <w:rPr>
          <w:rFonts w:ascii="Times New Roman" w:cs="Times New Roman" w:eastAsia="Times New Roman" w:hAnsi="Times New Roman"/>
          <w:sz w:val="18"/>
          <w:szCs w:val="18"/>
          <w:color w:val="010000"/>
        </w:rPr>
      </w:pPr>
    </w:p>
    <w:p>
      <w:pPr>
        <w:jc w:val="both"/>
        <w:ind w:firstLine="1952"/>
        <w:spacing w:after="0" w:line="261" w:lineRule="auto"/>
        <w:tabs>
          <w:tab w:leader="none" w:pos="2673"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At any time (including in connection with the implementation of a Benchmark Replacement), (i) if the then-current Benchmark is a term rate (including Term SOFR), then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3.04</w:t>
      </w:r>
      <w:r>
        <w:rPr>
          <w:sz w:val="20"/>
          <w:szCs w:val="20"/>
          <w:color w:val="auto"/>
        </w:rPr>
        <w:tab/>
      </w:r>
      <w:r>
        <w:rPr>
          <w:rFonts w:ascii="Times New Roman" w:cs="Times New Roman" w:eastAsia="Times New Roman" w:hAnsi="Times New Roman"/>
          <w:sz w:val="17"/>
          <w:szCs w:val="17"/>
          <w:u w:val="single" w:color="auto"/>
          <w:color w:val="auto"/>
        </w:rPr>
        <w:t>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44"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Borrower shall have the right at any time and from time to time to prepay any Borrowing in whole or in part, subject to prior notice in accordance with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1304"/>
        <w:spacing w:after="0" w:line="254" w:lineRule="auto"/>
        <w:tabs>
          <w:tab w:leader="none" w:pos="1944"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and Terms of Optional Prepayment</w:t>
      </w:r>
      <w:r>
        <w:rPr>
          <w:rFonts w:ascii="Times New Roman" w:cs="Times New Roman" w:eastAsia="Times New Roman" w:hAnsi="Times New Roman"/>
          <w:sz w:val="18"/>
          <w:szCs w:val="18"/>
          <w:color w:val="auto"/>
        </w:rPr>
        <w:t xml:space="preserve">. The Borrower shall notify the Administrative Agent (in writing in a form acceptable to the Administrative Agent) of any prepayment hereunder (i) in the case of prepayment of a SOFR Borrowing, not later than 1:00 P.M., Houston, Texas time, three U.S. Government Securities Business Days before the date of prepayment or (ii) in the case of prepayment of an ABR Borrowing, not later than 10:00 A.M., Houston, Texas time, one Business Day before the date of prepayment. Each such notice shall be irrevocable and shall specify the prepayment date and the principal amount of each Borrowing or portion thereof to be prepaid, and whether the prepayment is of SOFR Loans, ABR Loans, or a combination thereof, and the amount allocable to each. Promptly following receipt of any such notice relating to a Borrowing, the Administrative Agent shall advise the Lenders of the contents thereof. Each partial prepayment of any Borrowing shall be in an amount that would be permitted in the case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prepayment of a Borrowing pursuant to this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shall be applied ratably between Tranche A Loans and Tranche B Loans. Prepayments shall be accompanied by accrued interest to the extent required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Premium or Penalty</w:t>
      </w:r>
      <w:r>
        <w:rPr>
          <w:rFonts w:ascii="Times New Roman" w:cs="Times New Roman" w:eastAsia="Times New Roman" w:hAnsi="Times New Roman"/>
          <w:sz w:val="18"/>
          <w:szCs w:val="18"/>
          <w:color w:val="auto"/>
        </w:rPr>
        <w:t xml:space="preserve">. Prepayments permitted or required under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be without premium or penalty, except as required under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3.05</w:t>
      </w:r>
      <w:r>
        <w:rPr>
          <w:sz w:val="20"/>
          <w:szCs w:val="20"/>
          <w:color w:val="auto"/>
        </w:rPr>
        <w:tab/>
      </w: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44"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The Borrower agrees to pay to the Administrative Agent (for the ratable account of the Lenders) an undrawn commitment fee (the “</w:t>
      </w:r>
      <w:r>
        <w:rPr>
          <w:rFonts w:ascii="Times New Roman" w:cs="Times New Roman" w:eastAsia="Times New Roman" w:hAnsi="Times New Roman"/>
          <w:sz w:val="18"/>
          <w:szCs w:val="18"/>
          <w:u w:val="single" w:color="auto"/>
          <w:color w:val="auto"/>
        </w:rPr>
        <w:t>Undrawn Commitment Fee</w:t>
      </w:r>
      <w:r>
        <w:rPr>
          <w:rFonts w:ascii="Times New Roman" w:cs="Times New Roman" w:eastAsia="Times New Roman" w:hAnsi="Times New Roman"/>
          <w:sz w:val="18"/>
          <w:szCs w:val="18"/>
          <w:color w:val="auto"/>
        </w:rPr>
        <w:t>”) equal to 0.125% per annum on the aggregate principal amount of the Commitments. Such fee shall accrue from and after the date that is the later of (x) June 10, 2024 and (y) the Effective Date, to but excluding the earlier to occur of (x) the Funding Date and (y) the date of termination of the applicable Commitments (such date, the “</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Such Undrawn Commitment Fee shall be due and payable on the Fee Payment Date. The Undrawn Commitment Fee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spacing w:after="0" w:line="188"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The Borrower agrees to pay to the Administrative Agent, for its own account and for the account of each Lender, as applicable, fees payable in the amounts and at the times separately agreed upon between the Borrower and the Administrative Agent in the Fee Letter.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PAYMENTS; PRO RATA TREATMENT; SHARING OF SET-OFFS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4.01</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44"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Payments by the Borrower</w:t>
      </w:r>
      <w:r>
        <w:rPr>
          <w:rFonts w:ascii="Times New Roman" w:cs="Times New Roman" w:eastAsia="Times New Roman" w:hAnsi="Times New Roman"/>
          <w:sz w:val="18"/>
          <w:szCs w:val="18"/>
          <w:color w:val="auto"/>
        </w:rPr>
        <w:t xml:space="preserve">. The Borrower shall make each payment required to be made by it hereunder (whether of principal, interest or fees, or of amounts payable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otherwise) prior to 1:00 P.M., Houston, Texas time, on the date when due, in immediately available funds, without defense, deduction, recoupment, set-off or counterclaim. Fees, once paid, shall be fully earned and shall not be refundable under any circumstances.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except that payments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ind w:firstLine="1304"/>
        <w:spacing w:after="0" w:line="258" w:lineRule="auto"/>
        <w:tabs>
          <w:tab w:leader="none" w:pos="1944"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Application of Insufficient Payments</w:t>
      </w:r>
      <w:r>
        <w:rPr>
          <w:rFonts w:ascii="Times New Roman" w:cs="Times New Roman" w:eastAsia="Times New Roman" w:hAnsi="Times New Roman"/>
          <w:sz w:val="18"/>
          <w:szCs w:val="18"/>
          <w:color w:val="auto"/>
        </w:rPr>
        <w:t>. 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83"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44"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Parent Guarantor, the Borrower or any Restricted Subsidiary or Affiliate thereof (as to which the provisions of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shall apply). The Parent Guarantor and the Borrower consent to the foregoing and agree, to the extent it may effectively do so under applicable law, that any Lender acquiring a participation pursuant to the foregoing arrangements may exercise against the Parent Guarantor or the Borrower rights of set-off and counterclaim with respect to such participation as fully as if such Lender were a direct creditor of the Parent Guarantor or the Borrower in the amount of such participation.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4.02 </w:t>
      </w:r>
      <w:r>
        <w:rPr>
          <w:rFonts w:ascii="Times New Roman" w:cs="Times New Roman" w:eastAsia="Times New Roman" w:hAnsi="Times New Roman"/>
          <w:sz w:val="18"/>
          <w:szCs w:val="18"/>
          <w:u w:val="single" w:color="auto"/>
          <w:color w:val="000000"/>
        </w:rPr>
        <w:t>Presumption of Payment by the Borrower</w:t>
      </w:r>
      <w:r>
        <w:rPr>
          <w:rFonts w:ascii="Times New Roman" w:cs="Times New Roman" w:eastAsia="Times New Roman" w:hAnsi="Times New Roman"/>
          <w:sz w:val="18"/>
          <w:szCs w:val="18"/>
          <w:color w:val="000000"/>
        </w:rPr>
        <w:t>. Unless the Administrative Agent shall have received notice from the Borrower prior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date on which any payment is due to the Administrative Agent for the account of the Lenders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Overnight Rate.</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INCREASED COSTS; BREAK FUNDING PAYMENTS; TAXES; ILLEGALITY</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5.01</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advances, loans or other credit extended or participated in by, any Lender; or</w:t>
      </w:r>
    </w:p>
    <w:p>
      <w:pPr>
        <w:spacing w:after="0" w:line="161"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on any Lender any other condition, cost or expense affecting this Agreement or Loans made by such Lender;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(or of maintaining its obligation to make any such Loan) or to reduce the amount of any sum received or receivable by such Lender (whether of principal, interest or otherwise), then the Borrower will pay to such Lender such additional amount or amounts as will compensate such Lender for such additional costs incurred or reduction suffered.</w:t>
      </w:r>
    </w:p>
    <w:p>
      <w:pPr>
        <w:spacing w:after="0" w:line="180" w:lineRule="exact"/>
        <w:rPr>
          <w:sz w:val="20"/>
          <w:szCs w:val="20"/>
          <w:color w:val="auto"/>
        </w:rPr>
      </w:pPr>
    </w:p>
    <w:p>
      <w:pPr>
        <w:jc w:val="both"/>
        <w:ind w:firstLine="1304"/>
        <w:spacing w:after="0" w:line="256" w:lineRule="auto"/>
        <w:tabs>
          <w:tab w:leader="none" w:pos="1944"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determines that any Change in Law regarding capital adequacy or liquidity requirements has or would have the effect of reducing the rate of return on such Lender’s capital or liquidity or on the capital or liquidity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spacing w:after="0" w:line="18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17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 of Failure or Delay in Requesting Compensation</w:t>
      </w:r>
      <w:r>
        <w:rPr>
          <w:rFonts w:ascii="Times New Roman" w:cs="Times New Roman" w:eastAsia="Times New Roman" w:hAnsi="Times New Roman"/>
          <w:sz w:val="18"/>
          <w:szCs w:val="18"/>
          <w:color w:val="auto"/>
        </w:rPr>
        <w:t xml:space="preserve">. Failure or delay on the part of any Lender to demand compensation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for any increased costs or reductions incurred more than 365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365-day period referred to above shall be extended to include the period of retroactive effect thereof.</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5.02 </w:t>
      </w:r>
      <w:r>
        <w:rPr>
          <w:rFonts w:ascii="Times New Roman" w:cs="Times New Roman" w:eastAsia="Times New Roman" w:hAnsi="Times New Roman"/>
          <w:sz w:val="18"/>
          <w:szCs w:val="18"/>
          <w:u w:val="single" w:color="auto"/>
          <w:color w:val="000000"/>
        </w:rPr>
        <w:t>Break Funding Payments</w:t>
      </w:r>
      <w:r>
        <w:rPr>
          <w:rFonts w:ascii="Times New Roman" w:cs="Times New Roman" w:eastAsia="Times New Roman" w:hAnsi="Times New Roman"/>
          <w:sz w:val="18"/>
          <w:szCs w:val="18"/>
          <w:color w:val="000000"/>
        </w:rPr>
        <w:t>. In the event of (a) the payment of any principal of any SOFR Loan other than on the last day of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Interest Period applicable thereto (including as a result of an Event of Default), (b) the conversion of any SOFR Loan into an ABR Loan other than on the last day of the Interest Period applicable thereto,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000000"/>
        </w:rPr>
        <w:t>Section 5.04</w:t>
      </w:r>
      <w:r>
        <w:rPr>
          <w:rFonts w:ascii="Times New Roman" w:cs="Times New Roman" w:eastAsia="Times New Roman" w:hAnsi="Times New Roman"/>
          <w:sz w:val="18"/>
          <w:szCs w:val="18"/>
          <w:color w:val="000000"/>
        </w:rPr>
        <w:t>, then, in any such event, upon the request of any Lender, the Borrower shall compensate such Lender for the loss, cost and expense (including any loss, cost or expense arising from the liquidation or reemployment of funds or from any fees payable) attributable to, or as a consequence of, such event.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certificate of any Lender setting forth any amount or amounts that such Lender is entitled to receive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5.03</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term “applicable law” includes FATCA.</w:t>
      </w:r>
    </w:p>
    <w:p>
      <w:pPr>
        <w:spacing w:after="0" w:line="225"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44"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the Parent Guarantor, the Borrower or any 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Parent Guarantor, the Borrower or a Guarantor, as applicable,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amounts received with respect to this Agreement equal the sum which would have been received had no such deduction or withholding been made.</w:t>
      </w:r>
    </w:p>
    <w:p>
      <w:pPr>
        <w:spacing w:after="0" w:line="191" w:lineRule="exact"/>
        <w:rPr>
          <w:rFonts w:ascii="Times New Roman" w:cs="Times New Roman" w:eastAsia="Times New Roman" w:hAnsi="Times New Roman"/>
          <w:sz w:val="18"/>
          <w:szCs w:val="18"/>
          <w:color w:val="010000"/>
        </w:rPr>
      </w:pPr>
    </w:p>
    <w:p>
      <w:pPr>
        <w:ind w:right="20" w:firstLine="1304"/>
        <w:spacing w:after="0" w:line="282" w:lineRule="auto"/>
        <w:tabs>
          <w:tab w:leader="none" w:pos="1944"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law, or at the written direction of the Administrative Agent timely reimburse it for, Other Taxes.</w:t>
      </w:r>
    </w:p>
    <w:p>
      <w:pPr>
        <w:spacing w:after="0" w:line="16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44"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xml:space="preserve">. The Borrower shall indemnify the Administrative Agent and each Lender, within 10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payable or paid by the Parent Guarantor, the Borrower or a Guarantor, as applicable, or required to be withheld or deducted from a payment to the Administrative Agent or a Lender, as applicable,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1304"/>
        <w:spacing w:after="0" w:line="253" w:lineRule="auto"/>
        <w:tabs>
          <w:tab w:leader="none" w:pos="1944"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10 days after demand therefor, for (i) any Taxes attributable to such Lender (but only to the extent that the Parent Guarantor, the Borrower or a Guarantor has not already indemnified the Administrative Agent for such Taxes and without limiting the obligation of the Parent Guarantor, the Borrower and the Guarantors to do so) and (ii) any Taxes attributable to such Lender’s failure to comply with the provisions of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xml:space="preserv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Indemnified Taxes or Other Taxes by the Borrower or a Guarantor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53" w:lineRule="auto"/>
        <w:tabs>
          <w:tab w:leader="none" w:pos="2592" w:val="left"/>
        </w:tabs>
        <w:numPr>
          <w:ilvl w:val="1"/>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5.03(g)(ii)(A)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1480" w:hanging="648"/>
        <w:spacing w:after="0"/>
        <w:tabs>
          <w:tab w:leader="none" w:pos="1480"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010000"/>
        </w:rPr>
      </w:pPr>
    </w:p>
    <w:p>
      <w:pPr>
        <w:jc w:val="both"/>
        <w:ind w:left="180" w:firstLine="1300"/>
        <w:spacing w:after="0" w:line="258" w:lineRule="auto"/>
        <w:tabs>
          <w:tab w:leader="none" w:pos="2286" w:val="left"/>
        </w:tabs>
        <w:numPr>
          <w:ilvl w:val="1"/>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Lender that is a U.S. Person (or, if such Lender is disregarded as an entity separate from its owner for U.S. federal income tax purposes, is owned, for U.S. federal income tax purposes, by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83" w:lineRule="exact"/>
        <w:rPr>
          <w:rFonts w:ascii="Times New Roman" w:cs="Times New Roman" w:eastAsia="Times New Roman" w:hAnsi="Times New Roman"/>
          <w:sz w:val="18"/>
          <w:szCs w:val="18"/>
          <w:color w:val="010000"/>
        </w:rPr>
      </w:pPr>
    </w:p>
    <w:p>
      <w:pPr>
        <w:jc w:val="both"/>
        <w:ind w:left="180" w:firstLine="1300"/>
        <w:spacing w:after="0" w:line="261" w:lineRule="auto"/>
        <w:tabs>
          <w:tab w:leader="none" w:pos="2286" w:val="left"/>
        </w:tabs>
        <w:numPr>
          <w:ilvl w:val="1"/>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rFonts w:ascii="Times New Roman" w:cs="Times New Roman" w:eastAsia="Times New Roman" w:hAnsi="Times New Roman"/>
          <w:sz w:val="18"/>
          <w:szCs w:val="18"/>
          <w:color w:val="010000"/>
        </w:rPr>
      </w:pPr>
    </w:p>
    <w:p>
      <w:pPr>
        <w:jc w:val="both"/>
        <w:ind w:left="180" w:firstLine="1948"/>
        <w:spacing w:after="0" w:line="255" w:lineRule="auto"/>
        <w:tabs>
          <w:tab w:leader="none" w:pos="2934" w:val="left"/>
        </w:tabs>
        <w:numPr>
          <w:ilvl w:val="2"/>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Foreign Lender (or, if a Foreign Lender is disregarded as an entity separate from its owner for U.S. federal income tax purposes, such owner) claiming the benefits of an income tax treaty to which the United States is a party (1) with respect to payments of interest under any Loan Document, an executed copy of IRS Form W-8BEN or IRS Form W-8BEN-E establishing an exemption from, or reduction of, U.S. federal withholding Tax pursuant to the “interest” article of such tax treaty and (2) with respect to any other applicable payments under any Loan Document, an executed copy of IRS Form W-8BEN or IRS Form W-8BEN-E establishing an exemption from, or reduction of, U.S. federal withholding Tax pursuant to the “business profits” or “other income” article of such tax treaty;</w:t>
      </w:r>
    </w:p>
    <w:p>
      <w:pPr>
        <w:spacing w:after="0" w:line="189" w:lineRule="exact"/>
        <w:rPr>
          <w:sz w:val="20"/>
          <w:szCs w:val="20"/>
          <w:color w:val="auto"/>
        </w:rPr>
      </w:pPr>
    </w:p>
    <w:p>
      <w:pPr>
        <w:ind w:left="180" w:firstLine="1948"/>
        <w:spacing w:after="0" w:line="282" w:lineRule="auto"/>
        <w:tabs>
          <w:tab w:leader="none" w:pos="2934"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executed copy of IRS Form W-8ECI with respect to such Foreign Lender (or, if a Foreign Lender is disregarded as an entity separate from its owner for U.S. federal income tax purposes, such owner);</w:t>
      </w:r>
    </w:p>
    <w:p>
      <w:pPr>
        <w:spacing w:after="0" w:line="162" w:lineRule="exact"/>
        <w:rPr>
          <w:sz w:val="20"/>
          <w:szCs w:val="20"/>
          <w:color w:val="auto"/>
        </w:rPr>
      </w:pPr>
    </w:p>
    <w:p>
      <w:pPr>
        <w:jc w:val="both"/>
        <w:ind w:left="180" w:firstLine="1948"/>
        <w:spacing w:after="0" w:line="256" w:lineRule="auto"/>
        <w:tabs>
          <w:tab w:leader="none" w:pos="2934"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 Foreign Lender (or, if a Foreign Lender is disregarded as an entity separate from its owner for U.S. federal income tax purposes, such owner)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an executed copy of IRS Form W-8BEN or IRS Form W-8BEN-E; or</w:t>
      </w:r>
    </w:p>
    <w:p>
      <w:pPr>
        <w:spacing w:after="0" w:line="1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8" w:name="page59"/>
    <w:bookmarkEnd w:id="58"/>
    <w:p>
      <w:pPr>
        <w:jc w:val="both"/>
        <w:ind w:left="1300" w:firstLine="1944"/>
        <w:spacing w:after="0" w:line="255" w:lineRule="auto"/>
        <w:rPr>
          <w:sz w:val="20"/>
          <w:szCs w:val="20"/>
          <w:color w:val="auto"/>
        </w:rPr>
      </w:pPr>
      <w:r>
        <w:rPr>
          <w:rFonts w:ascii="Times New Roman" w:cs="Times New Roman" w:eastAsia="Times New Roman" w:hAnsi="Times New Roman"/>
          <w:sz w:val="18"/>
          <w:szCs w:val="18"/>
          <w:color w:val="010000"/>
        </w:rPr>
        <w:t xml:space="preserve">(IV) </w:t>
      </w:r>
      <w:r>
        <w:rPr>
          <w:rFonts w:ascii="Times New Roman" w:cs="Times New Roman" w:eastAsia="Times New Roman" w:hAnsi="Times New Roman"/>
          <w:sz w:val="18"/>
          <w:szCs w:val="18"/>
          <w:color w:val="000000"/>
        </w:rPr>
        <w:t>to the extent a Foreign Lender (or, if a Foreign Lender is disregarded as an entity separate from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owner for U.S. federal income tax purposes, such owner) is not the beneficial owner, an executed copy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000000"/>
        </w:rPr>
        <w:t>Exhibit F-2</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Exhibit F-3</w:t>
      </w:r>
      <w:r>
        <w:rPr>
          <w:rFonts w:ascii="Times New Roman" w:cs="Times New Roman" w:eastAsia="Times New Roman" w:hAnsi="Times New Roman"/>
          <w:sz w:val="18"/>
          <w:szCs w:val="18"/>
          <w:color w:val="000000"/>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000000"/>
        </w:rPr>
        <w:t>Exhibit F-4</w:t>
      </w:r>
      <w:r>
        <w:rPr>
          <w:rFonts w:ascii="Times New Roman" w:cs="Times New Roman" w:eastAsia="Times New Roman" w:hAnsi="Times New Roman"/>
          <w:sz w:val="18"/>
          <w:szCs w:val="18"/>
          <w:color w:val="000000"/>
        </w:rPr>
        <w:t xml:space="preserve"> on behalf of each such direct and indirect partner;</w:t>
      </w:r>
    </w:p>
    <w:p>
      <w:pPr>
        <w:spacing w:after="0" w:line="189" w:lineRule="exact"/>
        <w:rPr>
          <w:sz w:val="20"/>
          <w:szCs w:val="20"/>
          <w:color w:val="auto"/>
        </w:rPr>
      </w:pPr>
    </w:p>
    <w:p>
      <w:pPr>
        <w:jc w:val="both"/>
        <w:ind w:left="1300" w:firstLine="1300"/>
        <w:spacing w:after="0" w:line="255" w:lineRule="auto"/>
        <w:tabs>
          <w:tab w:leader="none" w:pos="3406"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(or, if a Foreign Lender is disregarded as an entity separate from its owner for U.S. federal income tax purposes, such owner)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8" w:lineRule="exact"/>
        <w:rPr>
          <w:rFonts w:ascii="Times New Roman" w:cs="Times New Roman" w:eastAsia="Times New Roman" w:hAnsi="Times New Roman"/>
          <w:sz w:val="18"/>
          <w:szCs w:val="18"/>
          <w:color w:val="010000"/>
        </w:rPr>
      </w:pPr>
    </w:p>
    <w:p>
      <w:pPr>
        <w:jc w:val="both"/>
        <w:ind w:left="1300" w:firstLine="1300"/>
        <w:spacing w:after="0" w:line="254" w:lineRule="auto"/>
        <w:tabs>
          <w:tab w:leader="none" w:pos="3406"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include any amendments made to FATCA after the date of this Agreement.</w:t>
      </w:r>
    </w:p>
    <w:p>
      <w:pPr>
        <w:spacing w:after="0" w:line="18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firstLine="1304"/>
        <w:spacing w:after="0" w:line="253" w:lineRule="auto"/>
        <w:tabs>
          <w:tab w:leader="none" w:pos="1944"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but reasonable,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5.04 </w:t>
      </w:r>
      <w:r>
        <w:rPr>
          <w:rFonts w:ascii="Times New Roman" w:cs="Times New Roman" w:eastAsia="Times New Roman" w:hAnsi="Times New Roman"/>
          <w:sz w:val="18"/>
          <w:szCs w:val="18"/>
          <w:u w:val="single" w:color="auto"/>
          <w:color w:val="000000"/>
        </w:rPr>
        <w:t>Mitigation Obligations</w:t>
      </w:r>
      <w:r>
        <w:rPr>
          <w:rFonts w:ascii="Times New Roman" w:cs="Times New Roman" w:eastAsia="Times New Roman" w:hAnsi="Times New Roman"/>
          <w:sz w:val="18"/>
          <w:szCs w:val="18"/>
          <w:color w:val="000000"/>
        </w:rPr>
        <w:t>. If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5.01</w:t>
      </w:r>
      <w:r>
        <w:rPr>
          <w:rFonts w:ascii="Times New Roman" w:cs="Times New Roman" w:eastAsia="Times New Roman" w:hAnsi="Times New Roman"/>
          <w:sz w:val="18"/>
          <w:szCs w:val="18"/>
          <w:color w:val="000000"/>
        </w:rPr>
        <w:t>, or if the Borrower is required to pay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additional amount to any Lender or any Governmental Authority for the account of any Lender pursuant to </w:t>
      </w:r>
      <w:r>
        <w:rPr>
          <w:rFonts w:ascii="Times New Roman" w:cs="Times New Roman" w:eastAsia="Times New Roman" w:hAnsi="Times New Roman"/>
          <w:sz w:val="18"/>
          <w:szCs w:val="18"/>
          <w:u w:val="single" w:color="auto"/>
          <w:color w:val="000000"/>
        </w:rPr>
        <w:t>Section 5.03</w:t>
      </w:r>
      <w:r>
        <w:rPr>
          <w:rFonts w:ascii="Times New Roman" w:cs="Times New Roman" w:eastAsia="Times New Roman" w:hAnsi="Times New Roman"/>
          <w:sz w:val="18"/>
          <w:szCs w:val="18"/>
          <w:color w:val="00000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000000"/>
        </w:rPr>
        <w:t>Section 5.01</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5.03</w:t>
      </w:r>
      <w:r>
        <w:rPr>
          <w:rFonts w:ascii="Times New Roman" w:cs="Times New Roman" w:eastAsia="Times New Roman" w:hAnsi="Times New Roman"/>
          <w:sz w:val="18"/>
          <w:szCs w:val="18"/>
          <w:color w:val="000000"/>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6.01 </w:t>
      </w:r>
      <w:r>
        <w:rPr>
          <w:rFonts w:ascii="Times New Roman" w:cs="Times New Roman" w:eastAsia="Times New Roman" w:hAnsi="Times New Roman"/>
          <w:sz w:val="18"/>
          <w:szCs w:val="18"/>
          <w:u w:val="single" w:color="auto"/>
          <w:color w:val="000000"/>
        </w:rPr>
        <w:t>Effective Date</w:t>
      </w:r>
      <w:r>
        <w:rPr>
          <w:rFonts w:ascii="Times New Roman" w:cs="Times New Roman" w:eastAsia="Times New Roman" w:hAnsi="Times New Roman"/>
          <w:sz w:val="18"/>
          <w:szCs w:val="18"/>
          <w:color w:val="000000"/>
        </w:rPr>
        <w:t>. This Agreement shall not become effective until the date on which each of the following conditions is satisfied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waived in accordance with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960" w:hanging="656"/>
        <w:spacing w:after="0"/>
        <w:tabs>
          <w:tab w:leader="none" w:pos="1960"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executed counterparts of this Agreement and the Guaranty Agreement from each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party hereto and thereto.</w:t>
      </w:r>
    </w:p>
    <w:p>
      <w:pPr>
        <w:spacing w:after="0" w:line="1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firstLine="1304"/>
        <w:spacing w:after="0" w:line="258" w:lineRule="auto"/>
        <w:tabs>
          <w:tab w:leader="none" w:pos="194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shall have received a certificate of a Responsible Officer of the Borrower, dated as of the Effective Date, confirming that (i) the representations and warranties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 are true and correct in all material respects as of the Effective Date (other than (x) any such representations and warranties that are qualified by materiality or “Material Adverse Effect” in the text thereof, which representations and warranties shall be true and correct in all respects and (y) any such representations and warranties that refer to a specific date, which representations and warranties shall be so true and correct as of such date) and (ii) no Default or Event of Default has occurred and is continuing.</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the Arrangers and the Lenders shall have received all fees due and payable and all reasonable and documented out-of-pocket expenses related to the Term Loan Facility and required to be paid on or prior to the Effective Date, in each case, to the extent invoiced three (3) Business Days prior to the Effective Date.</w:t>
      </w:r>
    </w:p>
    <w:p>
      <w:pPr>
        <w:spacing w:after="0" w:line="17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at least one Business Day prior to the Effective Date, all documentation and other information relating to the Parent Guarantor and the Borrower (but not, for the avoidance of doubt, Endeavor or its subsidiaries) as has been reasonably requested in writing at least ten (10) Business Days prior to the Effective Date by the Administrative Agent on behalf of any such Lender, that is required by regulatory authorities under applicable “know your customer” and anti-money laundering rules and regulations, including, without limitation, the USA PATRIOT Act.</w:t>
      </w:r>
    </w:p>
    <w:p>
      <w:pPr>
        <w:spacing w:after="0" w:line="183"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4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certificate of a Responsible Officer of the Parent Guarantor, the Borrower and each other Guarantor setting forth (i) resolutions of the members, board of directors or other appropriate governing body with respect to the authorization of the Borrower or such Guarantor to execute and deliver the Loan Documents to which it is a party and to enter into the transactions contemplated in those documents, (ii) the officers of the Borrower or such Guarantor (y) who are authorized to sign the Loan Documents to which the Borrower or such Guarantor is a party and (z) who will, until replaced by another officer or officers duly authorized for that purpose, act as its representative for the purposes of signing documents and giving notices and other communications in connection with this Agreement and the transactions contemplated hereby, (iii) specimen signatures of such authorized officers, and (iv) the limited liability company agreement, the articles or certificate of incorporation and by-laws or other applicable organizational documents of the Parent Guarantor, the Borrower and such other Guarantor, certified as being true and complete as of the date of such certificate. The Administrative Agent and the Lenders may conclusively rely on such certificate until the Administrative Agent receives notice in writing from the Parent Guarantor, the Borrower and such other Guarantor to the contrary.</w:t>
      </w:r>
    </w:p>
    <w:p>
      <w:pPr>
        <w:spacing w:after="0" w:line="194" w:lineRule="exact"/>
        <w:rPr>
          <w:rFonts w:ascii="Times New Roman" w:cs="Times New Roman" w:eastAsia="Times New Roman" w:hAnsi="Times New Roman"/>
          <w:sz w:val="18"/>
          <w:szCs w:val="18"/>
          <w:color w:val="010000"/>
        </w:rPr>
      </w:pPr>
    </w:p>
    <w:p>
      <w:pPr>
        <w:ind w:right="20" w:firstLine="1304"/>
        <w:spacing w:after="0" w:line="282" w:lineRule="auto"/>
        <w:tabs>
          <w:tab w:leader="none" w:pos="194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certificates of the appropriate State agencies with respect to the existence, qualification and good standing of the Parent Guarantor, the Borrower and each other Guarantor.</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solvency certificate from an officer of the Parent Guarantor, substantially in the form previously agreed between the Parent Guarantor and the Administrative Agent.</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firstLine="1304"/>
        <w:spacing w:after="0" w:line="282" w:lineRule="auto"/>
        <w:tabs>
          <w:tab w:leader="none" w:pos="1944"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an opinion of Wachtell, Lipton, Rosen &amp; Katz, counsel to the Borrower, in form and substance satisfactory to the Administrative Agent.</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shall have delivered a certificate to Citibank, N.A., in its capacity as the lead arranger under the Bridge Facility, stating that the Term Loan Facility constitutes a “Qualifying Term Loan Facility” under the Bridge Facility.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Administrative Agent shall notify the Borrower and the Lenders of the Effective Date, and such notice shall be conclusive and binding. Notwithstanding the foregoing, the obligations of the Lenders to make Loans hereunder shall not become effective until each of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has been satisfied (or waived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6.02 </w:t>
      </w:r>
      <w:r>
        <w:rPr>
          <w:rFonts w:ascii="Times New Roman" w:cs="Times New Roman" w:eastAsia="Times New Roman" w:hAnsi="Times New Roman"/>
          <w:sz w:val="18"/>
          <w:szCs w:val="18"/>
          <w:u w:val="single" w:color="auto"/>
          <w:color w:val="000000"/>
        </w:rPr>
        <w:t>Funding Date</w:t>
      </w:r>
      <w:r>
        <w:rPr>
          <w:rFonts w:ascii="Times New Roman" w:cs="Times New Roman" w:eastAsia="Times New Roman" w:hAnsi="Times New Roman"/>
          <w:sz w:val="18"/>
          <w:szCs w:val="18"/>
          <w:color w:val="000000"/>
        </w:rPr>
        <w:t>. The obligation of each Lender to make a Loan hereunder shall not become effective until the date on which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the following conditions is satisfied (or waived in accordance with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960" w:hanging="656"/>
        <w:spacing w:after="0"/>
        <w:tabs>
          <w:tab w:leader="none" w:pos="1960"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Effective Date shall have occurred.</w:t>
      </w:r>
    </w:p>
    <w:p>
      <w:pPr>
        <w:spacing w:after="0" w:line="225"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944"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Endeavor Acquisition Closing shall have occurred substantially concurrently with the funding of the Term Loan Facility on the Funding Date in all material respects in accordance with the Endeavor Merger Agreement as in effect on the Endeavor Signing Date without giving effect to any amendments, modifications, supplements or waivers by the Parent Guarantor thereto or consents by the Parent Guarantor thereunder that are materially adverse to the Lenders or the Administrative Agent in their respective capacities as such without the Administrative Agent’s prior written consent (not to be unreasonably withheld, delayed or conditioned), it being agreed that (A) (w) any decrease in the cash portion of the Endeavor Acquisition Consideration less than or equal to 10% of the cash consideration, (x) any decrease in the cash portion of the Endeavor Acquisition Consideration in excess of 10% of the cash consideration accompanied (1) by a dollar-for-dollar reduction in commitments in respect of the Bridge Facility, and (2) once the commitments in respect of the Bridge Facility have been reduced to zero, by a dollar-for-dollar reduction in commitments in respect of the Term Loan Facility (to be allocated ratably between Tranche A Commitments and Tranche B Commitments) in excess of such 10% decrease, (y) any decrease in the equity portion of the Endeavor Acquisition Consideration and (z) any increase in the Endeavor Acquisition Consideration that is funded with equity issued as consideration for the Endeavor Acquisition or with cash on hand, in each case are not materially adverse to the Lenders and Administrative Agent and (B) any amendment, modification or waiver by the Parent Guarantor to the provisions of the Endeavor Merger Agreement that are expressly for the benefit of the Debt Financing Sources (as defined in the Endeavor Merger Agreement as in effect on the Endeavor Signing Date) is materially adverse to the Lenders and the Administrative Agent.</w:t>
      </w:r>
    </w:p>
    <w:p>
      <w:pPr>
        <w:spacing w:after="0" w:line="197"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the date of the Endeavor Merger Agreement, there will not have occurred any Company Material Adverse Effect (as defined in the Endeavor Merger Agreement as in effect on the Endeavor Signing Date) that is continuing.</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ind w:firstLine="1304"/>
        <w:spacing w:after="0" w:line="253" w:lineRule="auto"/>
        <w:tabs>
          <w:tab w:leader="none" w:pos="1944"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audited consolidated financial statements of (x) the Parent Guarantor and its subsidiaries and (y) Endeavor and its subsidiaries, in each case, for the three (3) most recently-completed fiscal years ended at least sixty (60) days prior to the Funding Date and (B) unaudited consolidated financial statements of (x) the Parent Guarantor and its subsidiaries and (y) Endeavor and its subsidiaries, in each case, for any subsequent interim financial period and comparative prior year period (other than the fourth quarter of any fiscal year) ended at least forty (40) days (in the case of Parent Guarantor and its subsidiaries) and forty-five (45) days (in the case of Endeavor and its subsidiaries) prior to the Funding Date. The Parent Guarantor’s filing with the SEC of any required audited financial statements on Form 10-K or required unaudited financial statements on Form 10-Q, in each case, will satisfy the requirements under clause (A) or (B), as applicable, of this paragraph (d). The Administrative Agent hereby acknowledges receipt of (x) the audited financial statements of the Parent Guarantor and its subsidiaries for the fiscal years of the Parent Guarantor ended December 31, 2021, December 31, 2022 and December 31, 2023, (y) the audited financial statements of Endeavor and its subsidiaries for the fiscal years of Endeavor ended December 31, 2020, December 31, 2021 and December 31, 2022 and (z) the unaudited financial statements of Endeavor and its subsidiaries for the fiscal quarters of Endeavor ended March 31, 2023, June 30, 2023 and September 30, 2023.</w:t>
      </w:r>
    </w:p>
    <w:p>
      <w:pPr>
        <w:spacing w:after="0" w:line="19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44"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Specified Credit Agreement Representations and the Specified Merger Agreement Representations shall be true and correct in all material respects as of the Funding Date (except, in the case of Specified Merger Agreement Representations, to the extent such representations and warranties expressly relate to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(after giving effect to any qualification therein) in all respects on such date. No Event of Default of the type described in (i)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10.01(i)</w:t>
      </w:r>
      <w:r>
        <w:rPr>
          <w:rFonts w:ascii="Times New Roman" w:cs="Times New Roman" w:eastAsia="Times New Roman" w:hAnsi="Times New Roman"/>
          <w:sz w:val="18"/>
          <w:szCs w:val="18"/>
          <w:color w:val="auto"/>
        </w:rPr>
        <w:t xml:space="preserve"> (in each case, solely with respect to the Parent Guarantor or the Borrower) or (ii) Section </w:t>
      </w:r>
      <w:r>
        <w:rPr>
          <w:rFonts w:ascii="Times New Roman" w:cs="Times New Roman" w:eastAsia="Times New Roman" w:hAnsi="Times New Roman"/>
          <w:sz w:val="18"/>
          <w:szCs w:val="18"/>
          <w:u w:val="single" w:color="auto"/>
          <w:color w:val="auto"/>
        </w:rPr>
        <w:t>10.01(b)</w:t>
      </w:r>
      <w:r>
        <w:rPr>
          <w:rFonts w:ascii="Times New Roman" w:cs="Times New Roman" w:eastAsia="Times New Roman" w:hAnsi="Times New Roman"/>
          <w:sz w:val="18"/>
          <w:szCs w:val="18"/>
          <w:color w:val="auto"/>
        </w:rPr>
        <w:t xml:space="preserve"> (solely with respect to the failure to pay fees and solely with respect to the Parent Guarantor and the Borrower) shall have occurred and be continuing.</w:t>
      </w:r>
    </w:p>
    <w:p>
      <w:pPr>
        <w:spacing w:after="0" w:line="188"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shall have received a Borrowing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fees payable on or prior to the Funding Date shall have been paid or shall be paid substantially simultaneously with the funding of the Term Loan Facility and all other accrued fees and expenses of the Arrangers, the Administrative Agent and the Lenders (including the fees and expenses of counsel (including any local counsel) for the Administrative Agent) payable on or prior to the Funding Date and for which invoices have been presented 3 Business Days prior to the Funding Date shall have been paid or shall be paid substantially simultaneously with the funding of the Term Loan Facility.</w:t>
      </w:r>
    </w:p>
    <w:p>
      <w:pPr>
        <w:spacing w:after="0" w:line="183" w:lineRule="exact"/>
        <w:rPr>
          <w:rFonts w:ascii="Times New Roman" w:cs="Times New Roman" w:eastAsia="Times New Roman" w:hAnsi="Times New Roman"/>
          <w:sz w:val="18"/>
          <w:szCs w:val="18"/>
          <w:color w:val="010000"/>
        </w:rPr>
      </w:pPr>
    </w:p>
    <w:p>
      <w:pPr>
        <w:ind w:right="20" w:firstLine="1304"/>
        <w:spacing w:after="0" w:line="282" w:lineRule="auto"/>
        <w:tabs>
          <w:tab w:leader="none" w:pos="1944"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or substantially concurrently with the funding of the Term Loan Facility on the Funding Date, the Endeavor Credit Agreement Refinancing shall have been consummated.</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firstLine="1304"/>
        <w:spacing w:after="0" w:line="282" w:lineRule="auto"/>
        <w:tabs>
          <w:tab w:leader="none" w:pos="1944"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shall have received a certificate of the Parent Guarantor, dated the Funding Date, confirming the satisfaction on the Funding Date of the conditions set forth in </w:t>
      </w:r>
      <w:r>
        <w:rPr>
          <w:rFonts w:ascii="Times New Roman" w:cs="Times New Roman" w:eastAsia="Times New Roman" w:hAnsi="Times New Roman"/>
          <w:sz w:val="18"/>
          <w:szCs w:val="18"/>
          <w:u w:val="single" w:color="auto"/>
          <w:color w:val="auto"/>
        </w:rPr>
        <w:t>Sections 6.02(b)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6.02(c), 6.02(e)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6.02(h)</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Funding Date, and such notice shall be conclusive and binding.</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6.03 </w:t>
      </w:r>
      <w:r>
        <w:rPr>
          <w:rFonts w:ascii="Times New Roman" w:cs="Times New Roman" w:eastAsia="Times New Roman" w:hAnsi="Times New Roman"/>
          <w:sz w:val="18"/>
          <w:szCs w:val="18"/>
          <w:u w:val="single" w:color="auto"/>
          <w:color w:val="000000"/>
        </w:rPr>
        <w:t>Action by Lenders During Certain Funds Period</w:t>
      </w:r>
      <w:r>
        <w:rPr>
          <w:rFonts w:ascii="Times New Roman" w:cs="Times New Roman" w:eastAsia="Times New Roman" w:hAnsi="Times New Roman"/>
          <w:sz w:val="18"/>
          <w:szCs w:val="18"/>
          <w:color w:val="000000"/>
        </w:rPr>
        <w:t>. Notwithstanding (i) anything to the contrary in this Agreement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Document (other than </w:t>
      </w:r>
      <w:r>
        <w:rPr>
          <w:rFonts w:ascii="Times New Roman" w:cs="Times New Roman" w:eastAsia="Times New Roman" w:hAnsi="Times New Roman"/>
          <w:sz w:val="18"/>
          <w:szCs w:val="18"/>
          <w:u w:val="single" w:color="auto"/>
          <w:color w:val="000000"/>
        </w:rPr>
        <w:t>Section 10.02(a)(ii)</w:t>
      </w:r>
      <w:r>
        <w:rPr>
          <w:rFonts w:ascii="Times New Roman" w:cs="Times New Roman" w:eastAsia="Times New Roman" w:hAnsi="Times New Roman"/>
          <w:sz w:val="18"/>
          <w:szCs w:val="18"/>
          <w:color w:val="000000"/>
        </w:rPr>
        <w:t xml:space="preserve"> but only if any Event of Default specified therein is ongoing), (ii) that any representation or warranty made on the Effective Date (excluding the Specified Credit Agreement Representations and Specified Merger Agreement Representations made on the Funding Date to the extent constituting conditions to the Funding Date set forth in </w:t>
      </w:r>
      <w:r>
        <w:rPr>
          <w:rFonts w:ascii="Times New Roman" w:cs="Times New Roman" w:eastAsia="Times New Roman" w:hAnsi="Times New Roman"/>
          <w:sz w:val="18"/>
          <w:szCs w:val="18"/>
          <w:u w:val="single" w:color="auto"/>
          <w:color w:val="000000"/>
        </w:rPr>
        <w:t>Section 6.02</w:t>
      </w:r>
      <w:r>
        <w:rPr>
          <w:rFonts w:ascii="Times New Roman" w:cs="Times New Roman" w:eastAsia="Times New Roman" w:hAnsi="Times New Roman"/>
          <w:sz w:val="18"/>
          <w:szCs w:val="18"/>
          <w:color w:val="000000"/>
        </w:rPr>
        <w:t xml:space="preserve">) was incorrect, (iii) any failure by the Borrower or the Parent Guarantor to comply with any provision of Article VIII or Article IX of this Agreement or (iv) that any condition to the Effective Date set forth in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6.01</w:t>
      </w:r>
      <w:r>
        <w:rPr>
          <w:rFonts w:ascii="Times New Roman" w:cs="Times New Roman" w:eastAsia="Times New Roman" w:hAnsi="Times New Roman"/>
          <w:sz w:val="18"/>
          <w:szCs w:val="18"/>
          <w:color w:val="000000"/>
        </w:rPr>
        <w:t xml:space="preserve"> may subsequently be determined not to have been satisfied, during the Certain Funds Period, neither the Administrative Agent nor any Lender shall be entitled to:</w:t>
      </w:r>
    </w:p>
    <w:p>
      <w:pPr>
        <w:spacing w:after="0" w:line="189" w:lineRule="exact"/>
        <w:rPr>
          <w:sz w:val="20"/>
          <w:szCs w:val="20"/>
          <w:color w:val="auto"/>
        </w:rPr>
      </w:pPr>
    </w:p>
    <w:p>
      <w:pPr>
        <w:ind w:left="1960" w:hanging="656"/>
        <w:spacing w:after="0"/>
        <w:tabs>
          <w:tab w:leader="none" w:pos="196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cancel any of its Commitments under any Tranche of the Term Loan Facility;</w:t>
      </w:r>
    </w:p>
    <w:p>
      <w:pPr>
        <w:spacing w:after="0" w:line="225" w:lineRule="exact"/>
        <w:rPr>
          <w:rFonts w:ascii="Times New Roman" w:cs="Times New Roman" w:eastAsia="Times New Roman" w:hAnsi="Times New Roman"/>
          <w:sz w:val="18"/>
          <w:szCs w:val="18"/>
          <w:color w:val="010000"/>
        </w:rPr>
      </w:pPr>
    </w:p>
    <w:p>
      <w:pPr>
        <w:ind w:right="20" w:firstLine="1304"/>
        <w:spacing w:after="0" w:line="282" w:lineRule="auto"/>
        <w:tabs>
          <w:tab w:leader="none" w:pos="1944"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rescind, terminate or cancel any Loan Document or exercise any right or remedy or make or enforce any claim it may have under any Loan Document, the Fee Letter or otherwise, to the extent doing so would prevent, limit or delay the making of its Loan;</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refuse to participate in making its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conditions to the Funding Date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have been</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satisfied or waived); or</w:t>
      </w:r>
    </w:p>
    <w:p>
      <w:pPr>
        <w:spacing w:after="0" w:line="206"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exercise any right of set-off or counterclaim in respect of its Loan to the extent doing so would prevent, limit or delay the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making of its Loan.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provided herein, (i) the rights and remedies of the Lenders and the Administrative Agent shall not be limited in the event that any applicable condition to the Funding Date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is not satisfied or waived on the Funding Date and (ii) immediately after the expiration of the Certain Funds Period, all of the rights, remedies and entitlements of the Administrative Agent and the Lenders shall be available notwithstanding that such rights were not available during the Certain Funds Period as a result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Parent Guarantor and the Borrower each represents and warrants to the Lenders, as of the Effective Date and the Funding Date, that: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7.01 </w:t>
      </w:r>
      <w:r>
        <w:rPr>
          <w:rFonts w:ascii="Times New Roman" w:cs="Times New Roman" w:eastAsia="Times New Roman" w:hAnsi="Times New Roman"/>
          <w:sz w:val="18"/>
          <w:szCs w:val="18"/>
          <w:u w:val="single" w:color="auto"/>
          <w:color w:val="000000"/>
        </w:rPr>
        <w:t>Organization; Powers</w:t>
      </w:r>
      <w:r>
        <w:rPr>
          <w:rFonts w:ascii="Times New Roman" w:cs="Times New Roman" w:eastAsia="Times New Roman" w:hAnsi="Times New Roman"/>
          <w:sz w:val="18"/>
          <w:szCs w:val="18"/>
          <w:color w:val="000000"/>
        </w:rPr>
        <w:t>. Each of the Parent Guarantor, the Borrower and the Restricted Subsidiaries (a) is duly organized, validly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existing and in good standing under the laws of the jurisdiction of its organization (except, with respect to the Restricted Subsidiaries, where failure to be so organized, existing or in good standing would not reasonably be expected to have a Material Adverse Effect) and (b) has all requisite power and authority and all material governmental licenses, authorizations, consents and approvals necessary, to own its assets and to carry on its business as now conducted, and is qualified to do business in, and is in good standing in, every jurisdiction where such qualification is required, in each case with respect to this clause (b), except where failure to have such power, authority, licenses, authorizations, consents, approvals, qualifications or standing would not reasonably be expected to have a Material Adverse Effect.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7.02 </w:t>
      </w:r>
      <w:r>
        <w:rPr>
          <w:rFonts w:ascii="Times New Roman" w:cs="Times New Roman" w:eastAsia="Times New Roman" w:hAnsi="Times New Roman"/>
          <w:sz w:val="18"/>
          <w:szCs w:val="18"/>
          <w:u w:val="single" w:color="auto"/>
          <w:color w:val="000000"/>
        </w:rPr>
        <w:t>Authority; Enforceability</w:t>
      </w:r>
      <w:r>
        <w:rPr>
          <w:rFonts w:ascii="Times New Roman" w:cs="Times New Roman" w:eastAsia="Times New Roman" w:hAnsi="Times New Roman"/>
          <w:sz w:val="18"/>
          <w:szCs w:val="18"/>
          <w:color w:val="000000"/>
        </w:rPr>
        <w:t>. The Transactions are within the Parent Guarantor’s, the Borrower’s and each other Guarantor’s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corporate, partnership or other organizational powers and have been duly authorized by all necessary organizational action and, if required, action by any holders of its Equity Interests. Each Loan Document to which the Parent Guarantor, the Borrower and each other Guarantor is a party has been duly executed and delivered by the Parent Guarantor, the Borrower and such other Guarantor and constitutes a legal, valid and binding obligation of the Parent Guarantor, the Borrower and such other Guarantor,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7.03 </w:t>
      </w:r>
      <w:r>
        <w:rPr>
          <w:rFonts w:ascii="Times New Roman" w:cs="Times New Roman" w:eastAsia="Times New Roman" w:hAnsi="Times New Roman"/>
          <w:sz w:val="18"/>
          <w:szCs w:val="18"/>
          <w:u w:val="single" w:color="auto"/>
          <w:color w:val="000000"/>
        </w:rPr>
        <w:t>Approvals; No Conflicts</w:t>
      </w:r>
      <w:r>
        <w:rPr>
          <w:rFonts w:ascii="Times New Roman" w:cs="Times New Roman" w:eastAsia="Times New Roman" w:hAnsi="Times New Roman"/>
          <w:sz w:val="18"/>
          <w:szCs w:val="18"/>
          <w:color w:val="000000"/>
        </w:rPr>
        <w:t>. The Transactions (a) do not require any consent or approval of, registration or filing with,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action by, any Governmental Authority nor is any such consent, approval, registration, filing or other action necessary for the validity or enforceability of any Loan Document or the consummation of the transactions contemplated thereby, except such as have been obtained or made and are in full force and effect, (b) will not violate any charter, bylaws, limited liability company agreements or other organizational documents of the Parent Guarantor or the Borrower, (c) will not violate any applicable law, regulation or any order of any Governmental Authority and (d) will not violate or result in a default under any indenture, agreement or other instrument binding upon the Parent Guarantor, the Borrower or any Restricted Subsidiaries or give rise to a right thereunder to require any payment to be made by the Parent Guarantor, the Borrower or any Restricted Subsidiaries and will not result in the creation or imposition of any Lien on any Property of the Parent Guarantor, the Borrower or any Restricted Subsidiaries, except in the case of clauses (a), (c) and (d), as would not reasonably expected to result in a Material Adverse Effect.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7.04</w:t>
      </w:r>
      <w:r>
        <w:rPr>
          <w:sz w:val="20"/>
          <w:szCs w:val="20"/>
          <w:color w:val="auto"/>
        </w:rPr>
        <w:tab/>
      </w:r>
      <w:r>
        <w:rPr>
          <w:rFonts w:ascii="Times New Roman" w:cs="Times New Roman" w:eastAsia="Times New Roman" w:hAnsi="Times New Roman"/>
          <w:sz w:val="17"/>
          <w:szCs w:val="17"/>
          <w:u w:val="single" w:color="auto"/>
          <w:color w:val="auto"/>
        </w:rPr>
        <w:t>Financial Condition; No Material Adverse 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44"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has heretofore furnished to the Lenders its audited consolidated balance sheet and statements of income, equity and cash flows as of and for the fiscal year ended December 31, 2023, reported on by Grant Thornton LLP, independent public accountants. Such financial statements present fairly, in all material respects, the financial position and results of operations and cash flows of the Parent Guarantor and its Subsidiaries as of such dates and for such periods in accordance with GAAP.</w:t>
      </w:r>
    </w:p>
    <w:p>
      <w:pPr>
        <w:spacing w:after="0" w:line="179" w:lineRule="exact"/>
        <w:rPr>
          <w:rFonts w:ascii="Times New Roman" w:cs="Times New Roman" w:eastAsia="Times New Roman" w:hAnsi="Times New Roman"/>
          <w:sz w:val="18"/>
          <w:szCs w:val="18"/>
          <w:color w:val="010000"/>
        </w:rPr>
      </w:pPr>
    </w:p>
    <w:p>
      <w:pPr>
        <w:jc w:val="both"/>
        <w:ind w:right="20" w:firstLine="1304"/>
        <w:spacing w:after="0" w:line="266" w:lineRule="auto"/>
        <w:tabs>
          <w:tab w:leader="none" w:pos="1944"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December 31, 2023, there has been no event, development or circumstance that has had or could reasonably be expected to have a Material Adverse Effect, except as otherwise disclosed in any reports filed with or furnished to the SEC by the Parent Guarantor prior to the Effective Date.</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7.05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Except as otherwise disclosed in any reports filed with or furnished to the SEC by the Parent Guarantor prior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Effective Date, there are no actions, suits, investigations or proceedings by or before any arbitrator or Governmental Authority pending against or, to the knowledge of the Borrower, threatened against or affecting the Parent Guarantor, the Borrower or any Restricted Subsidiary not fully covered by insurance (except for normal deductibles) as to which there is a reasonable possibility of an adverse determination that, if adversely determined, would reasonably be expected, individually or in the aggregate, to result in a Material Adverse Effect.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7.06 </w:t>
      </w:r>
      <w:r>
        <w:rPr>
          <w:rFonts w:ascii="Times New Roman" w:cs="Times New Roman" w:eastAsia="Times New Roman" w:hAnsi="Times New Roman"/>
          <w:sz w:val="18"/>
          <w:szCs w:val="18"/>
          <w:u w:val="single" w:color="auto"/>
          <w:color w:val="000000"/>
        </w:rPr>
        <w:t>Environmental Matters</w:t>
      </w:r>
      <w:r>
        <w:rPr>
          <w:rFonts w:ascii="Times New Roman" w:cs="Times New Roman" w:eastAsia="Times New Roman" w:hAnsi="Times New Roman"/>
          <w:sz w:val="18"/>
          <w:szCs w:val="18"/>
          <w:color w:val="000000"/>
        </w:rPr>
        <w:t>. Except as otherwise disclosed in any reports filed with or furnished to the SEC by the Parent Guarantor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prior to the Effective Date and except for such matters that, individually or in the aggregate, would not reasonably be expected to have a Material Adverse Effect:</w:t>
      </w:r>
    </w:p>
    <w:p>
      <w:pPr>
        <w:spacing w:after="0" w:line="176" w:lineRule="exact"/>
        <w:rPr>
          <w:sz w:val="20"/>
          <w:szCs w:val="20"/>
          <w:color w:val="auto"/>
        </w:rPr>
      </w:pPr>
    </w:p>
    <w:p>
      <w:pPr>
        <w:ind w:left="1960" w:hanging="656"/>
        <w:spacing w:after="0"/>
        <w:tabs>
          <w:tab w:leader="none" w:pos="1960"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the Borrower and the Restricted Subsidiaries are in compliance with all applicable Environmental Laws;</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the Borrower and the Restricted Subsidiaries have obtained all Environmental Permits required under applicable Environmental Law;</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claims, demands, suits, orders, inquiries, or proceedings concerning any violation of, or any liability (including as a potentially responsible party) under, any applicable Environmental Laws that is pending or, to either the Parent Guarantor’s or the Borrower’s knowledge, threatened in writing against the Parent Guarantor, the Borrower or any Restricted Subsidiary or as a result of any operations at the real properties of the Parent Guarantor, the Borrower and the Restricted Subsidiaries, nor do the Borrower and the Parent Guarantor know of any reasonable basis for such a claim, demand, suit, order, inquiry or proceeding or liability;</w:t>
      </w:r>
    </w:p>
    <w:p>
      <w:pPr>
        <w:spacing w:after="0" w:line="18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Parent Guarantor nor the Borrower has received any written notice asserting an alleged liability or obligation under any applicable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7.07 </w:t>
      </w:r>
      <w:r>
        <w:rPr>
          <w:rFonts w:ascii="Times New Roman" w:cs="Times New Roman" w:eastAsia="Times New Roman" w:hAnsi="Times New Roman"/>
          <w:sz w:val="18"/>
          <w:szCs w:val="18"/>
          <w:u w:val="single" w:color="auto"/>
          <w:color w:val="000000"/>
        </w:rPr>
        <w:t>Compliance With Laws</w:t>
      </w:r>
      <w:r>
        <w:rPr>
          <w:rFonts w:ascii="Times New Roman" w:cs="Times New Roman" w:eastAsia="Times New Roman" w:hAnsi="Times New Roman"/>
          <w:sz w:val="18"/>
          <w:szCs w:val="18"/>
          <w:color w:val="000000"/>
        </w:rPr>
        <w:t>. The Parent Guarantor, the Borrower and each of the Restricted Subsidiaries are in compliance with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Governmental Requirements applicable to it, in each case except where the failure to do so, individually or in the aggregate, would not reasonably be expected to result in a Material Adverse Effect.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7.08 </w:t>
      </w:r>
      <w:r>
        <w:rPr>
          <w:rFonts w:ascii="Times New Roman" w:cs="Times New Roman" w:eastAsia="Times New Roman" w:hAnsi="Times New Roman"/>
          <w:sz w:val="18"/>
          <w:szCs w:val="18"/>
          <w:u w:val="single" w:color="auto"/>
          <w:color w:val="000000"/>
        </w:rPr>
        <w:t>Investment Company</w:t>
      </w:r>
      <w:r>
        <w:rPr>
          <w:rFonts w:ascii="Times New Roman" w:cs="Times New Roman" w:eastAsia="Times New Roman" w:hAnsi="Times New Roman"/>
          <w:sz w:val="18"/>
          <w:szCs w:val="18"/>
          <w:color w:val="000000"/>
        </w:rPr>
        <w:t>. Neither the Parent Guarantor nor the Borrower is an “investment company” as such term is defined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Investment Company Act of 1940, as amended.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7.09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The Parent Guarantor, the Borrower and the Restricted Subsidiaries have timely filed or caused to be filed all Tax returns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reports required to have been filed and have paid or caused to be paid all Taxes required to have been paid by them, except (a) Taxes that are being contested in good faith by appropriate proceedings and for which the Parent Guarantor, the Borrower or Restricted Subsidiary, as applicable, has set aside on its books adequate reserves in accordance with GAAP or (b) to the extent that the failure to do so would not reasonably be expected to result in a Material Adverse Effect.</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7.10 </w:t>
      </w:r>
      <w:r>
        <w:rPr>
          <w:rFonts w:ascii="Times New Roman" w:cs="Times New Roman" w:eastAsia="Times New Roman" w:hAnsi="Times New Roman"/>
          <w:sz w:val="18"/>
          <w:szCs w:val="18"/>
          <w:u w:val="single" w:color="auto"/>
          <w:color w:val="000000"/>
        </w:rPr>
        <w:t>ERISA</w:t>
      </w:r>
      <w:r>
        <w:rPr>
          <w:rFonts w:ascii="Times New Roman" w:cs="Times New Roman" w:eastAsia="Times New Roman" w:hAnsi="Times New Roman"/>
          <w:sz w:val="18"/>
          <w:szCs w:val="18"/>
          <w:color w:val="000000"/>
        </w:rPr>
        <w:t>. Except for such matters that, individually or in the aggregate, would not reasonably be expected to have a Material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Adverse Effect:</w:t>
      </w:r>
    </w:p>
    <w:p>
      <w:pPr>
        <w:spacing w:after="0" w:line="162" w:lineRule="exact"/>
        <w:rPr>
          <w:sz w:val="20"/>
          <w:szCs w:val="20"/>
          <w:color w:val="auto"/>
        </w:rPr>
      </w:pPr>
    </w:p>
    <w:p>
      <w:pPr>
        <w:ind w:right="20" w:firstLine="1304"/>
        <w:spacing w:after="0" w:line="282" w:lineRule="auto"/>
        <w:tabs>
          <w:tab w:leader="none" w:pos="1944"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the Borrower, the Restricted Subsidiaries and each ERISA Affiliate have complied with ERISA and, where applicable, the Code regarding each Plan.</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Plan is, and has been, established, operated and maintained in substantial compliance with its terms, ERISA and, where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applicable, the Code.</w:t>
      </w:r>
    </w:p>
    <w:p>
      <w:pPr>
        <w:spacing w:after="0" w:line="206"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act, omission or transaction has occurred which could result in imposition on the Parent Guarantor, the Borrower, any Restricted Subsidiary or any ERISA Affiliate (whether directly or indirectly) of (i) either a civil penalty assessed pursuant to subsections (c), (i), (l) or (m) of section 502 of ERISA or a tax imposed pursuant to Chapter 43 of Subtitle D of the Code or (ii) breach of fiduciary duty liability damages under section 409 of ERISA.</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Full payment when due has been made of all amounts which the Parent Guarantor, the Borrower, any Restricted Subsidiary or any ERISA Affiliate is required under the terms of each Plan or applicable law to have paid as contributions to such Plan as of the date hereof.</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Parent Guarantor, the Borrower, any Restricted Subsidiary nor any ERISA Affiliate sponsors, maintains, or contributes to an employee welfare benefit plan, as defined in section 3(1) of ERISA, including, without limitation, any such plan maintained to provide benefits to former employees of such entities, that may not be terminated by the Parent Guarantor, the Borrower, any Restricted Subsidiary or any ERISA Affiliate in its sole discretion at any time without any liability.</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Parent Guarantor, the Borrower, any Restricted Subsidiary nor any ERISA Affiliate sponsors, maintains or contributes to, or has at any time in the six-year period preceding the date hereof sponsored, maintained or contributed to, any employee pension benefit plan, as defined in section 3(2) of ERISA, that is subject to Title IV of ERISA, section 302 of ERISA or section 412 of the Code.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7.11 </w:t>
      </w:r>
      <w:r>
        <w:rPr>
          <w:rFonts w:ascii="Times New Roman" w:cs="Times New Roman" w:eastAsia="Times New Roman" w:hAnsi="Times New Roman"/>
          <w:sz w:val="18"/>
          <w:szCs w:val="18"/>
          <w:u w:val="single" w:color="auto"/>
          <w:color w:val="000000"/>
        </w:rPr>
        <w:t>Disclosure; No Material Misstatement</w:t>
      </w:r>
      <w:r>
        <w:rPr>
          <w:rFonts w:ascii="Times New Roman" w:cs="Times New Roman" w:eastAsia="Times New Roman" w:hAnsi="Times New Roman"/>
          <w:sz w:val="18"/>
          <w:szCs w:val="18"/>
          <w:color w:val="000000"/>
        </w:rPr>
        <w:t>. As of the Effective Date, (a) all financial projections concerning the Parent Guarantor,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Borrower and the Restricted Subsidiaries that have been made available to the Administrative Agent or any Lender by the Parent Guarantor or any of its representatives (on the Parent Guarantor’s behalf) in connection with the Transactions or the Endeavor Acquisition Transactions (the “</w:t>
      </w:r>
      <w:r>
        <w:rPr>
          <w:rFonts w:ascii="Times New Roman" w:cs="Times New Roman" w:eastAsia="Times New Roman" w:hAnsi="Times New Roman"/>
          <w:sz w:val="18"/>
          <w:szCs w:val="18"/>
          <w:u w:val="single" w:color="auto"/>
          <w:color w:val="000000"/>
        </w:rPr>
        <w:t>Projections</w:t>
      </w:r>
      <w:r>
        <w:rPr>
          <w:rFonts w:ascii="Times New Roman" w:cs="Times New Roman" w:eastAsia="Times New Roman" w:hAnsi="Times New Roman"/>
          <w:sz w:val="18"/>
          <w:szCs w:val="18"/>
          <w:color w:val="000000"/>
        </w:rPr>
        <w:t>”) have been prepared in good faith based upon assumptions that the Parent Guarantor believed to be reasonable at the time made (it being understood that the Projections are subject to significant uncertainties and contingencies, many of which are beyond the Parent Guarantor’s control, the Projections, by their nature, are inherently uncertain and no assurances are being given that the results reflected in the Projections will be achieved, and that actual results during the period or periods covered by such Projections may differ from projected results and such differences may be material) and (b) all written information (other than Projections and information of a general industry nature) which has been made available to the Administrative Agent or any Lender by the Parent Guarantor or any of its representatives (on the Parent Guarantor’s behalf) in connection with Transactions or the Endeavor Acquisition Transactions, taken as a whole, is (as of the date made available) correct in all material respects and does not (as of the date made available) contain any untrue statement of a material fact or omit to state a material fact necessary to make the statements contained therein, taken as a whole, not materially misleading in light of the circumstances under which they were made (after giving effect to all supplements and updates thereto from time to time).</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7.12 </w:t>
      </w:r>
      <w:r>
        <w:rPr>
          <w:rFonts w:ascii="Times New Roman" w:cs="Times New Roman" w:eastAsia="Times New Roman" w:hAnsi="Times New Roman"/>
          <w:sz w:val="18"/>
          <w:szCs w:val="18"/>
          <w:u w:val="single" w:color="auto"/>
          <w:color w:val="000000"/>
        </w:rPr>
        <w:t>Use of Loans</w:t>
      </w:r>
      <w:r>
        <w:rPr>
          <w:rFonts w:ascii="Times New Roman" w:cs="Times New Roman" w:eastAsia="Times New Roman" w:hAnsi="Times New Roman"/>
          <w:sz w:val="18"/>
          <w:szCs w:val="18"/>
          <w:color w:val="000000"/>
        </w:rPr>
        <w:t>. The proceeds of the Loans shall be used to (a) finance a portion of the Endeavor Acquisition Consideration, (b)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consummate the Endeavor Credit Agreement Refinancing and the Endeavor Notes Redemption and/or (c) pay fees, costs and expenses related to the Transactions or the Endeavor Acquisition Transactions. The Borrower and the Restricted Subsidiaries are not engaged principally, or as one of its or their important activities, in the business of extending credit for the purpose, whether immediate, incidental or ultimate, of buying or carrying Margin Stock (within the meaning of Regulation T, U or X of the Board).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7.13 </w:t>
      </w:r>
      <w:r>
        <w:rPr>
          <w:rFonts w:ascii="Times New Roman" w:cs="Times New Roman" w:eastAsia="Times New Roman" w:hAnsi="Times New Roman"/>
          <w:sz w:val="18"/>
          <w:szCs w:val="18"/>
          <w:u w:val="single" w:color="auto"/>
          <w:color w:val="000000"/>
        </w:rPr>
        <w:t>Anti-Corruption Laws; Anti-Money Laundering Laws and Sanctions</w:t>
      </w:r>
      <w:r>
        <w:rPr>
          <w:rFonts w:ascii="Times New Roman" w:cs="Times New Roman" w:eastAsia="Times New Roman" w:hAnsi="Times New Roman"/>
          <w:sz w:val="18"/>
          <w:szCs w:val="18"/>
          <w:color w:val="000000"/>
        </w:rPr>
        <w:t>. Each of the Parent Guarantor and the Borrower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implemented and maintains in effect such policies and procedures, if any, as it reasonably deems appropriate, in light of its business and international activities (if any), that are reasonably designed to ensure compliance by the Parent Guarantor and its Subsidiaries and their respective directors, officers, employees and agents acting in their respective capacity as such with applicable Anti-Corruption Laws, Anti-Money Laundering Laws, and applicable Sanctions. The Parent Guarantor and its Subsidiaries and, to the knowledge of the Parent Guarantor and the Borrower, their respective directors, officers, employees and agents, are in compliance with applicable Anti-Corruption Laws, Anti-Money Laundering Laws, and applicable Sanctions in all material respects. None of (a) the Parent Guarantor and its Subsidiaries or any of their respective directors or officers or (b) to the knowledge of the Parent Guarantor and the Borrower, any employee or agent of the Parent Guarantor or any Subsidiary that will act in such capacity in connection with or benefit from the Term Loan Facility, is a Sanctioned Person. No use of proceeds of any Borrowing will violate any applicable Anti-Corruption Law, Anti-Money Laundering Laws, or applicable Sanctions.</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and all other amounts payable under the Loan Documents (other than expense reimbursement, indemnification, increased cost or tax gross up amounts for which no claim has been made) shall have been paid in full, each of the Parent Guarantor and the Borrower covenants and agrees with the Lenders that: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8.01 </w:t>
      </w:r>
      <w:r>
        <w:rPr>
          <w:rFonts w:ascii="Times New Roman" w:cs="Times New Roman" w:eastAsia="Times New Roman" w:hAnsi="Times New Roman"/>
          <w:sz w:val="18"/>
          <w:szCs w:val="18"/>
          <w:u w:val="single" w:color="auto"/>
          <w:color w:val="000000"/>
        </w:rPr>
        <w:t>Financial Statements; Other Information</w:t>
      </w:r>
      <w:r>
        <w:rPr>
          <w:rFonts w:ascii="Times New Roman" w:cs="Times New Roman" w:eastAsia="Times New Roman" w:hAnsi="Times New Roman"/>
          <w:sz w:val="18"/>
          <w:szCs w:val="18"/>
          <w:color w:val="000000"/>
        </w:rPr>
        <w:t>. The Parent Guarantor will furnish to the Administrative Agent (who shall furnish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Lender):</w:t>
      </w:r>
    </w:p>
    <w:p>
      <w:pPr>
        <w:spacing w:after="0" w:line="162" w:lineRule="exact"/>
        <w:rPr>
          <w:sz w:val="20"/>
          <w:szCs w:val="20"/>
          <w:color w:val="auto"/>
        </w:rPr>
      </w:pPr>
    </w:p>
    <w:p>
      <w:pPr>
        <w:jc w:val="both"/>
        <w:ind w:firstLine="1304"/>
        <w:spacing w:after="0" w:line="254" w:lineRule="auto"/>
        <w:tabs>
          <w:tab w:leader="none" w:pos="1944"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As soon as available, but in any event within five Business Days after the date by which the Annual Report on Form 10-K of the Parent Guarantor for each fiscal year is required to be filed under the rules and regulations of the SEC (after giving effect to any extension thereof (not to exceed 20 Business Days)), its audited consolidated balance sheet and related statements of operations, equity and cash flows as of the end of and for such year, setting forth in each case in comparative form the figures for the previous fiscal year (if financial statements of the Parent Guarantor exist for such previous fiscal year), all reported on by independent public accountants of recognized national standing to the effect that such consolidated financial statements present fairly in all material respects the financial condition and results of operations of the Parent Guarantor and its Consolidated Subsidiaries on a consolidated basis in accordance with GAAP consistently applied (it being understood that the filing with the SEC by the Parent Guarantor of such annual financial statements of the Parent Guarantor and its Subsidiaries shall satisfy the requirements of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to the extent such annual financial statements include the information specified herein).</w:t>
      </w:r>
    </w:p>
    <w:p>
      <w:pPr>
        <w:spacing w:after="0" w:line="188"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44"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but in any event within five Business Days after the date by which the Quarterly Report on Form 10-Q of the Parent Guarantor for each of the first three fiscal quarters of each fiscal year is required to be filed under the rules and regulations of the SEC (after giving effect to any extension thereof (not to exceed 10 Business Days)), its consolidated balance sheet and related statements of operations,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(if financial statements of the Parent Guarantor exist for such previous fiscal year), all certified by one of its Financial Officers as presenting fairly in all material respects the financial condition and results of operations of the Parent Guarantor and its Consolidated Subsidiaries in accordance with GAAP consistently applied, subject to normal year-end adjustments and the absence of footnotes (it being understood that the filing with the SEC by the Parent Guarantor of such quarterly financial statements of the Parent Guarantor and its Subsidiaries shall satisfy the requirements of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to the extent such quarterly financial statements include the information specified herein).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may be satisfied with respect to the consolidated financial information of the Parent Guarantor by furnishing the consolidated financial information of New Parent that would be required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8.01 with all references to the “Parent Guarantor” therein being deemed to refer to New Parent and all references to “Financial Officer” therein being deemed to refer to a comparable officer of New Parent.</w:t>
      </w:r>
    </w:p>
    <w:p>
      <w:pPr>
        <w:spacing w:after="0" w:line="180" w:lineRule="exact"/>
        <w:rPr>
          <w:sz w:val="20"/>
          <w:szCs w:val="20"/>
          <w:color w:val="auto"/>
        </w:rPr>
      </w:pPr>
    </w:p>
    <w:p>
      <w:pPr>
        <w:jc w:val="both"/>
        <w:ind w:firstLine="1304"/>
        <w:spacing w:after="0" w:line="256" w:lineRule="auto"/>
        <w:tabs>
          <w:tab w:leader="none" w:pos="1944" w:val="left"/>
        </w:tabs>
        <w:numPr>
          <w:ilvl w:val="0"/>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Certificate of Financial Officer – Compliance</w:t>
      </w:r>
      <w:r>
        <w:rPr>
          <w:rFonts w:ascii="Times New Roman" w:cs="Times New Roman" w:eastAsia="Times New Roman" w:hAnsi="Times New Roman"/>
          <w:sz w:val="18"/>
          <w:szCs w:val="18"/>
          <w:color w:val="auto"/>
        </w:rPr>
        <w:t xml:space="preserve">. Substantially concurrently with any delivery (or deemed delivery) of financial statements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 certificate of a Financial Officer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(iii) stating whether any change in GAAP or in the application thereof has occurred since the date of the audited financial statements referred to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ind w:left="1960" w:hanging="656"/>
        <w:spacing w:after="0"/>
        <w:tabs>
          <w:tab w:leader="none" w:pos="1960"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 and Other Filings; Reports to Shareholders</w:t>
      </w:r>
      <w:r>
        <w:rPr>
          <w:rFonts w:ascii="Times New Roman" w:cs="Times New Roman" w:eastAsia="Times New Roman" w:hAnsi="Times New Roman"/>
          <w:sz w:val="18"/>
          <w:szCs w:val="18"/>
          <w:color w:val="auto"/>
        </w:rPr>
        <w:t xml:space="preserve">. Promptly after the same become publicly available, copies of all periodic and other reports, proxy statements and other materials filed by the Parent Guarantor with the SEC, or with any national securities exchange, or distributed by the Parent Guarantor to its shareholders generally, as the case may be (it being understood that public availability of such reports, proxy statements and other materials filed by the Parent Guarantor, the Borrower or a Restricted Subsidiary shall satisfy the requirements of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to the extent such reports, proxy statements and other materials include the information specified herein).</w:t>
      </w:r>
    </w:p>
    <w:p>
      <w:pPr>
        <w:spacing w:after="0" w:line="183" w:lineRule="exact"/>
        <w:rPr>
          <w:rFonts w:ascii="Times New Roman" w:cs="Times New Roman" w:eastAsia="Times New Roman" w:hAnsi="Times New Roman"/>
          <w:sz w:val="18"/>
          <w:szCs w:val="18"/>
          <w:color w:val="010000"/>
        </w:rPr>
      </w:pPr>
    </w:p>
    <w:p>
      <w:pPr>
        <w:ind w:left="1980" w:hanging="676"/>
        <w:spacing w:after="0"/>
        <w:tabs>
          <w:tab w:leader="none" w:pos="1980"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Requested Information</w:t>
      </w:r>
      <w:r>
        <w:rPr>
          <w:rFonts w:ascii="Times New Roman" w:cs="Times New Roman" w:eastAsia="Times New Roman" w:hAnsi="Times New Roman"/>
          <w:sz w:val="18"/>
          <w:szCs w:val="18"/>
          <w:color w:val="auto"/>
        </w:rPr>
        <w:t>. Promptly following any request therefor, (i) such other information regarding the operations, business affairs and financial condition of the Parent Guarantor, the Borrower or any Restricted Subsidiary, or compliance with the terms of this Agreement or any other Loan Document, as the Administrative Agent or any Lender may reasonably request or (ii) information and documentation reasonably requested by the Administrative Agent or any Lender for purposes of compliance with applicable “know your customer” requirements under the USA PATRIOT Act or other applicable Anti-Money Laundering Laws and the Beneficial Ownership Regulation to the extent that the Borrower qualifies as a “legal entity customer” thereunder.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each case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it being understood that the filing or furnishing with the SEC by the Parent Guarantor of a current report on Form 8-K or other applicable report shall satisfy the requirements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to the extent such filing includes the information specified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8.02 </w:t>
      </w:r>
      <w:r>
        <w:rPr>
          <w:rFonts w:ascii="Times New Roman" w:cs="Times New Roman" w:eastAsia="Times New Roman" w:hAnsi="Times New Roman"/>
          <w:sz w:val="18"/>
          <w:szCs w:val="18"/>
          <w:u w:val="single" w:color="auto"/>
          <w:color w:val="000000"/>
        </w:rPr>
        <w:t>Notices of Material Events</w:t>
      </w:r>
      <w:r>
        <w:rPr>
          <w:rFonts w:ascii="Times New Roman" w:cs="Times New Roman" w:eastAsia="Times New Roman" w:hAnsi="Times New Roman"/>
          <w:sz w:val="18"/>
          <w:szCs w:val="18"/>
          <w:color w:val="000000"/>
        </w:rPr>
        <w:t>. The Parent Guarantor and the Borrower will furnish to the Administrative Agent (who shall furnish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to each Lender) prompt written notice of the occurrence of any Default of which any Responsible Officer of the Parent Guarantor or the Borrower obtains knowledge. Each notice delivered under this </w:t>
      </w:r>
      <w:r>
        <w:rPr>
          <w:rFonts w:ascii="Times New Roman" w:cs="Times New Roman" w:eastAsia="Times New Roman" w:hAnsi="Times New Roman"/>
          <w:sz w:val="18"/>
          <w:szCs w:val="18"/>
          <w:u w:val="single" w:color="auto"/>
          <w:color w:val="000000"/>
        </w:rPr>
        <w:t>Section 8.02</w:t>
      </w:r>
      <w:r>
        <w:rPr>
          <w:rFonts w:ascii="Times New Roman" w:cs="Times New Roman" w:eastAsia="Times New Roman" w:hAnsi="Times New Roman"/>
          <w:sz w:val="18"/>
          <w:szCs w:val="18"/>
          <w:color w:val="000000"/>
        </w:rPr>
        <w:t xml:space="preserve"> shall be accompanied by a statement of a Responsible Officer setting forth the details of the event or development requiring such notice and any action taken or proposed to be taken with respect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8.03 </w:t>
      </w:r>
      <w:r>
        <w:rPr>
          <w:rFonts w:ascii="Times New Roman" w:cs="Times New Roman" w:eastAsia="Times New Roman" w:hAnsi="Times New Roman"/>
          <w:sz w:val="18"/>
          <w:szCs w:val="18"/>
          <w:u w:val="single" w:color="auto"/>
          <w:color w:val="000000"/>
        </w:rPr>
        <w:t>Existence</w:t>
      </w:r>
      <w:r>
        <w:rPr>
          <w:rFonts w:ascii="Times New Roman" w:cs="Times New Roman" w:eastAsia="Times New Roman" w:hAnsi="Times New Roman"/>
          <w:sz w:val="18"/>
          <w:szCs w:val="18"/>
          <w:color w:val="000000"/>
        </w:rPr>
        <w:t>. The Parent Guarantor and the Borrower will, and will cause each Restricted Subsidiary to, do or cause to be done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things necessary to preserve, renew and keep in full force and effect its legal existence (except, with respect to the Restricted Subsidiaries, where failure to do so would not reasonably be expected to have a Material Adverse Effect);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prohibit any merger, consolidation, liquidation or dissolution not prohibited by </w:t>
      </w:r>
      <w:r>
        <w:rPr>
          <w:rFonts w:ascii="Times New Roman" w:cs="Times New Roman" w:eastAsia="Times New Roman" w:hAnsi="Times New Roman"/>
          <w:sz w:val="18"/>
          <w:szCs w:val="18"/>
          <w:u w:val="single" w:color="auto"/>
          <w:color w:val="000000"/>
        </w:rPr>
        <w:t>Section 9.05</w:t>
      </w:r>
      <w:r>
        <w:rPr>
          <w:rFonts w:ascii="Times New Roman" w:cs="Times New Roman" w:eastAsia="Times New Roman" w:hAnsi="Times New Roman"/>
          <w:sz w:val="18"/>
          <w:szCs w:val="18"/>
          <w:color w:val="000000"/>
        </w:rPr>
        <w:t>.</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8.04 </w:t>
      </w:r>
      <w:r>
        <w:rPr>
          <w:rFonts w:ascii="Times New Roman" w:cs="Times New Roman" w:eastAsia="Times New Roman" w:hAnsi="Times New Roman"/>
          <w:sz w:val="18"/>
          <w:szCs w:val="18"/>
          <w:u w:val="single" w:color="auto"/>
          <w:color w:val="010000"/>
        </w:rPr>
        <w:t>Payment of Taxes</w:t>
      </w:r>
      <w:r>
        <w:rPr>
          <w:rFonts w:ascii="Times New Roman" w:cs="Times New Roman" w:eastAsia="Times New Roman" w:hAnsi="Times New Roman"/>
          <w:sz w:val="18"/>
          <w:szCs w:val="18"/>
          <w:color w:val="010000"/>
        </w:rPr>
        <w:t>. The Parent Guarantor and the Borrower will, and will cause each of the Restricted Subsidiaries to, pay the Tax liabilities of the Parent Guarantor, the Borrower and all of the Restricted Subsidiaries before the same shall become delinquent or in default, except where (a) (1) the validity or amount thereof is being contested in good faith by appropriate proceedings and (2) the Parent Guarantor, the Borrower or such Restricted Subsidiaries has set aside on their books adequate reserves with respect thereto in accordance with GAAP or (b) the failure to make payment pending such contest would not reasonably be expected to result in a Material Adverse Effect.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8.05</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8.06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The Parent Guarantor and the Borrower will, and will cause each of the Material Subsidiaries to, maintain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creditworthy insurance companies or self-insure, insurance in such amounts and against such risks as are customarily maintained by other companies engaged in the same or similar businesses or consistent with the Parent Guarantor, the Borrower or such Material Subsidiary’s past practice.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8.07 </w:t>
      </w:r>
      <w:r>
        <w:rPr>
          <w:rFonts w:ascii="Times New Roman" w:cs="Times New Roman" w:eastAsia="Times New Roman" w:hAnsi="Times New Roman"/>
          <w:sz w:val="18"/>
          <w:szCs w:val="18"/>
          <w:u w:val="single" w:color="auto"/>
          <w:color w:val="000000"/>
        </w:rPr>
        <w:t>Books and Records</w:t>
      </w:r>
      <w:r>
        <w:rPr>
          <w:rFonts w:ascii="Times New Roman" w:cs="Times New Roman" w:eastAsia="Times New Roman" w:hAnsi="Times New Roman"/>
          <w:sz w:val="18"/>
          <w:szCs w:val="18"/>
          <w:color w:val="000000"/>
        </w:rPr>
        <w:t>. The Parent Guarantor and the Borrower will, and will cause each of the Restricted Subsidiaries to, keep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appropriate books of records in which entries are made of all dealings and transactions material to the Parent Guarantor and its Subsidiaries, taken as a whole, in relation to its business and activities. The Parent Guarantor and the Borrower will, and will cause each of the Restricted Subsidiaries to, subject to applicable law, permit any representatives of the Administrative Agent or, if an Event of Default has occurred and is continuing, of any Lender (in each case, which representatives shall be reasonably acceptable to the Parent Guarantor and at their own cost and expense, subject to the final sentence of this </w:t>
      </w:r>
      <w:r>
        <w:rPr>
          <w:rFonts w:ascii="Times New Roman" w:cs="Times New Roman" w:eastAsia="Times New Roman" w:hAnsi="Times New Roman"/>
          <w:sz w:val="18"/>
          <w:szCs w:val="18"/>
          <w:u w:val="single" w:color="auto"/>
          <w:color w:val="000000"/>
        </w:rPr>
        <w:t>Section 8.07</w:t>
      </w:r>
      <w:r>
        <w:rPr>
          <w:rFonts w:ascii="Times New Roman" w:cs="Times New Roman" w:eastAsia="Times New Roman" w:hAnsi="Times New Roman"/>
          <w:sz w:val="18"/>
          <w:szCs w:val="18"/>
          <w:color w:val="000000"/>
        </w:rPr>
        <w:t xml:space="preserve">), upon reasonable prior notice, to visit and inspect its Properties, to examine and make extracts from its books and records, and to discuss its business and affairs with its officers, all at such reasonable times (during normal business hours) (unless an Event of Default has occurred and is continuing) no more than once per fiscal year of the Parent Guarantor;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designated representatives agree to any reasonable confidentiality obligations proposed by the Parent Guarantor, including, but not limited to, confidentiality obligations agreed to by the Lenders under or in connection with this Agreement;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the rights of the Administrative Agent and Lenders under this Section 8.07 shall not extend to any information covered by attorney-client or other legal privilege or to the extent the exercise of such inspection rights would reasonably be expected to result in violation or other breach of any third-party confidentiality agreements. The Parent Guarantor or the Borrower shall indemnify each Lender and the Administrative Agent for such out-of-pocket costs and expenses that are reasonable and documented in connection with any exercise of rights under this </w:t>
      </w:r>
      <w:r>
        <w:rPr>
          <w:rFonts w:ascii="Times New Roman" w:cs="Times New Roman" w:eastAsia="Times New Roman" w:hAnsi="Times New Roman"/>
          <w:sz w:val="18"/>
          <w:szCs w:val="18"/>
          <w:u w:val="single" w:color="auto"/>
          <w:color w:val="000000"/>
        </w:rPr>
        <w:t>Section 8.07</w:t>
      </w:r>
      <w:r>
        <w:rPr>
          <w:rFonts w:ascii="Times New Roman" w:cs="Times New Roman" w:eastAsia="Times New Roman" w:hAnsi="Times New Roman"/>
          <w:sz w:val="18"/>
          <w:szCs w:val="18"/>
          <w:color w:val="000000"/>
        </w:rPr>
        <w:t xml:space="preserve"> if an Event of Default has occurred and is continuing.</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8.08 </w:t>
      </w:r>
      <w:r>
        <w:rPr>
          <w:rFonts w:ascii="Times New Roman" w:cs="Times New Roman" w:eastAsia="Times New Roman" w:hAnsi="Times New Roman"/>
          <w:sz w:val="18"/>
          <w:szCs w:val="18"/>
          <w:u w:val="single" w:color="auto"/>
          <w:color w:val="000000"/>
        </w:rPr>
        <w:t>Compliance With Laws</w:t>
      </w:r>
      <w:r>
        <w:rPr>
          <w:rFonts w:ascii="Times New Roman" w:cs="Times New Roman" w:eastAsia="Times New Roman" w:hAnsi="Times New Roman"/>
          <w:sz w:val="18"/>
          <w:szCs w:val="18"/>
          <w:color w:val="000000"/>
        </w:rPr>
        <w:t>. The Parent Guarantor and the Borrower will, and will cause each of the Restricted Subsidiaries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comply with all laws, rules, regulations and orders of any Governmental Authority applicable to them or their Property, except where the failure to do so, individually or in the aggregate, would not reasonably be expected to result in a Material Adverse Effect. The Borrower will maintain in effect such policies and procedures, if any, as it reasonably deems appropriate, in light of its business and international activities (if any), that are reasonably designed to ensure compliance by the Borrower, its Subsidiaries and each of their respective directors, officers, employees and agents acting in their respective capacity as such with applicable Anti-Corruption Laws, Anti-Money Laundering Laws, and applicable Sanctions.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8.09</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 Parent Guarantor and the Borrower shall each, at its sole expense, comply, and shall cause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and operations and each Restricted Subsidiary and each Restricted Subsidiary’s Properties and operations to comply, with all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the breach of which would be reasonably expected to have a Material Adverse Effect</w:t>
      </w:r>
      <w:r>
        <w:rPr>
          <w:rFonts w:ascii="Times New Roman" w:cs="Times New Roman" w:eastAsia="Times New Roman" w:hAnsi="Times New Roman"/>
          <w:sz w:val="18"/>
          <w:szCs w:val="18"/>
          <w:u w:val="single" w:color="auto"/>
          <w:color w:val="auto"/>
        </w:rPr>
        <w:t>.</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8.10</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8.11 </w:t>
      </w:r>
      <w:r>
        <w:rPr>
          <w:rFonts w:ascii="Times New Roman" w:cs="Times New Roman" w:eastAsia="Times New Roman" w:hAnsi="Times New Roman"/>
          <w:sz w:val="18"/>
          <w:szCs w:val="18"/>
          <w:u w:val="single" w:color="auto"/>
          <w:color w:val="000000"/>
        </w:rPr>
        <w:t>Unrestricted Subsidiaries</w:t>
      </w:r>
      <w:r>
        <w:rPr>
          <w:rFonts w:ascii="Times New Roman" w:cs="Times New Roman" w:eastAsia="Times New Roman" w:hAnsi="Times New Roman"/>
          <w:sz w:val="18"/>
          <w:szCs w:val="18"/>
          <w:color w:val="000000"/>
        </w:rPr>
        <w:t>. The Borrower and the Parent Guarantor will not permit any Unrestricted Subsidiary to hold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Equity Interest in, or any Debt of, the Parent Guarantor, the Borrower or any Restricted Subsidiary.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payable hereunder and all other amounts payable under the Loan Documents (other than expense reimbursement, indemnification, increased cost or tax gross up amounts for which no claim has been made) have been paid in full, each of the Parent Guarantor and the Borrower, covenants and agrees with the Lenders that: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9.01 </w:t>
      </w:r>
      <w:r>
        <w:rPr>
          <w:rFonts w:ascii="Times New Roman" w:cs="Times New Roman" w:eastAsia="Times New Roman" w:hAnsi="Times New Roman"/>
          <w:sz w:val="18"/>
          <w:szCs w:val="18"/>
          <w:u w:val="single" w:color="auto"/>
          <w:color w:val="000000"/>
        </w:rPr>
        <w:t>Financial Covenant</w:t>
      </w:r>
      <w:r>
        <w:rPr>
          <w:rFonts w:ascii="Times New Roman" w:cs="Times New Roman" w:eastAsia="Times New Roman" w:hAnsi="Times New Roman"/>
          <w:sz w:val="18"/>
          <w:szCs w:val="18"/>
          <w:color w:val="000000"/>
        </w:rPr>
        <w:t>. The Parent Guarantor will not permit the Total Net Debt to Capitalization Ratio, expressed as a percentage,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exceed 65% on the last day of any fiscal quarter.</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9.02</w:t>
      </w:r>
      <w:r>
        <w:rPr>
          <w:sz w:val="20"/>
          <w:szCs w:val="20"/>
          <w:color w:val="auto"/>
        </w:rPr>
        <w:tab/>
      </w:r>
      <w:r>
        <w:rPr>
          <w:rFonts w:ascii="Times New Roman" w:cs="Times New Roman" w:eastAsia="Times New Roman" w:hAnsi="Times New Roman"/>
          <w:sz w:val="18"/>
          <w:szCs w:val="18"/>
          <w:u w:val="single" w:color="auto"/>
          <w:color w:val="auto"/>
        </w:rPr>
        <w:t>Subsidiary Debt</w:t>
      </w:r>
      <w:r>
        <w:rPr>
          <w:rFonts w:ascii="Times New Roman" w:cs="Times New Roman" w:eastAsia="Times New Roman" w:hAnsi="Times New Roman"/>
          <w:sz w:val="18"/>
          <w:szCs w:val="18"/>
          <w:color w:val="auto"/>
        </w:rPr>
        <w:t>. The Parent Guarantor and the Borrower will not permit any Restricted Subsidiary that is not the Borrower 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Guarantor to incur, create, assume or suffer to exist any Debt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except:</w:t>
      </w:r>
    </w:p>
    <w:p>
      <w:pPr>
        <w:spacing w:after="0" w:line="207" w:lineRule="exact"/>
        <w:rPr>
          <w:sz w:val="20"/>
          <w:szCs w:val="20"/>
          <w:color w:val="auto"/>
        </w:rPr>
      </w:pPr>
    </w:p>
    <w:p>
      <w:pPr>
        <w:jc w:val="both"/>
        <w:ind w:firstLine="1304"/>
        <w:spacing w:after="0" w:line="266" w:lineRule="auto"/>
        <w:tabs>
          <w:tab w:leader="none" w:pos="1944"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intercompany Debt between the Parent Guarantor or the Borrower and a Restricted Subsidiary or between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not held, assigned, transferred, negotiated or pledged to any Person other than the Parent Guarantor, the Borrower or a Restricted Subsidiary;</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purchase money Debt to finance the acquisition, design, construction, installation, repair, alteration, replacement, expansion or improvement, or capital lease of assets (including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when incurred shall not exceed the purchase price and costs, as applicable, of acquisition, design, construction, installation, repair, alteration replacement, expansion or improvement of the asset(s) financed and all fees, costs, and expenses relating thereto;</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Debt of a Person who becomes a Restricted Subsidiary which Debt exists prior to the time such Person becomes a Restricted Subsidiary (including Debt at the time of the acquisition of the Equity Interests or Property of such Person or a merger with or consolidation with such Person by the Borrower or a Restricted Subsidiary) as long as such Debt was not created in anticipation thereof;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firstLine="1304"/>
        <w:spacing w:after="0" w:line="282" w:lineRule="auto"/>
        <w:tabs>
          <w:tab w:leader="none" w:pos="1944"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Debt (i) under unsecured overdraft lines of credit or for working capital purposes in foreign countries with financial institutions and (ii) arising from the honoring by a bank or other Person of a check, draft or similar instrument inadvertently drawing against insufficient funds;</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Debt outstanding on the Effective Date that immediately prior to such date was either (i) Debt of Energen at the time of the Energen Merger, (ii) Debt of QEP at the time of the QEP Merger and/or (iii) Debt of any Permitted Acquisition Target at the time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the foregoing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 Debt was not incurred in connection with such merger or acquisition, as applicable;</w:t>
      </w:r>
    </w:p>
    <w:p>
      <w:pPr>
        <w:spacing w:after="0" w:line="179"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Extensions, refinancing, renewals, replacements or refundings (and successive extensions, refinancing, renewals, replacements or refundings), in whole or in part, of the Debt permitted by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which, in the case of any such extension, refinancing, renewal, replacement or refunding, does not increase the principal amount of the Debt being extended, refinanced, renewed, replaced or refunded, other than amounts incurred to pay the underwriting discounts, costs, commissions and other reasonable amounts paid, and fees and expenses (including upfront fees, original issue discount or initial yield payments) incurred, in connection with such extension, refinancing, renewal, replacement or refunding and to pay interest and premium, if any, with respect to the Debt being extended, refinanced, renewed, replaced or refunded; and</w:t>
      </w:r>
    </w:p>
    <w:p>
      <w:pPr>
        <w:spacing w:after="0" w:line="187"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other Debt not otherwise permitted by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in a principal amount outstanding at the time of any incurrence thereof not to exceed fifteen percent (15.0%) of Consolidated Net Tangible Assets.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9.03 </w:t>
      </w:r>
      <w:r>
        <w:rPr>
          <w:rFonts w:ascii="Times New Roman" w:cs="Times New Roman" w:eastAsia="Times New Roman" w:hAnsi="Times New Roman"/>
          <w:sz w:val="18"/>
          <w:szCs w:val="18"/>
          <w:u w:val="single" w:color="auto"/>
          <w:color w:val="000000"/>
        </w:rPr>
        <w:t>Liens</w:t>
      </w:r>
      <w:r>
        <w:rPr>
          <w:rFonts w:ascii="Times New Roman" w:cs="Times New Roman" w:eastAsia="Times New Roman" w:hAnsi="Times New Roman"/>
          <w:sz w:val="18"/>
          <w:szCs w:val="18"/>
          <w:color w:val="000000"/>
        </w:rPr>
        <w:t>. The Parent Guarantor and the Borrower will not, and will not permit any of the Restricted Subsidiaries to, create, incur,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assume or permit to exist any Lien on any of their Properties (now owned or hereafter acquired), except:</w:t>
      </w:r>
    </w:p>
    <w:p>
      <w:pPr>
        <w:spacing w:after="0" w:line="162" w:lineRule="exact"/>
        <w:rPr>
          <w:sz w:val="20"/>
          <w:szCs w:val="20"/>
          <w:color w:val="auto"/>
        </w:rPr>
      </w:pPr>
    </w:p>
    <w:p>
      <w:pPr>
        <w:ind w:left="1960" w:hanging="656"/>
        <w:spacing w:after="0"/>
        <w:tabs>
          <w:tab w:leader="none" w:pos="1960"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securing the payment of any Indebtedness created pursuant to any Loan Documents.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Excepted Liens.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outstanding on the Investment Grade Changeover Date securing obligations that in the aggregate do not exceed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w:t>
      </w:r>
    </w:p>
    <w:p>
      <w:pPr>
        <w:spacing w:after="0" w:line="207" w:lineRule="exact"/>
        <w:rPr>
          <w:sz w:val="20"/>
          <w:szCs w:val="20"/>
          <w:color w:val="auto"/>
        </w:rPr>
      </w:pPr>
    </w:p>
    <w:p>
      <w:pPr>
        <w:jc w:val="both"/>
        <w:ind w:firstLine="1304"/>
        <w:spacing w:after="0" w:line="266" w:lineRule="auto"/>
        <w:tabs>
          <w:tab w:leader="none" w:pos="1944"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other Liens upon Property not otherwise permitted by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Debt secured thereby and outstanding at the time such Debt is incurred or such Lien is granted, shall not, at such time, exceed fifteen percent (15.0%) of Consolidated Net Tangible Assets and (ii) such Liens do not encumber or attach to any Equity Interest in a Restricted Subsidiary.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right="20" w:firstLine="1304"/>
        <w:spacing w:after="0" w:line="282" w:lineRule="auto"/>
        <w:tabs>
          <w:tab w:leader="none" w:pos="1944"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arising under an indenture in favor of the trustee thereunder for its own benefit and not for the benefit of the holders of Debt under such indenture.</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cash, cash equivalents and other property arising in connection with the defeasance, discharge or redemption of Debt.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Equity Interests in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shall not secure any Debt for which the Parent Guarantor, the Borrower, or any Restricted Subsidiary is liable, other than Customary Recourse Exceptions.</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assets of QEP at the time of the QEP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incurred in connection with such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merger.</w:t>
      </w:r>
    </w:p>
    <w:p>
      <w:pPr>
        <w:spacing w:after="0" w:line="206"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or purported Liens in favor of or for the benefit of a DrillCo Party to the extent that such Liens or purported Liens are only</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DrillCo Properties.</w:t>
      </w:r>
    </w:p>
    <w:p>
      <w:pPr>
        <w:spacing w:after="0" w:line="206"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Qualified Midstream Assets or on Equity Interests in Qualified Midstream Persons.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assets of Energen at the time of the Energen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incurred in connection with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merger.</w:t>
      </w:r>
    </w:p>
    <w:p>
      <w:pPr>
        <w:spacing w:after="0" w:line="206"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assets (or on improvements, repairs, additions attachments or accessions thereto, parts, replacements and substitutions therefor, and products and proceeds thereof) of any Permitted Acquisition Target at the time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incurred in connection with such acquisition.</w:t>
      </w:r>
    </w:p>
    <w:p>
      <w:pPr>
        <w:spacing w:after="0" w:line="175"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44"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that exist upon any Property that becomes Property of the Parent Guarantor, the Borrower or a Restricted Subsidiary (including Liens on Property of any Person at the time (x) such Person is re-designated a Restricted Subsidiary or (y) of the acquisition of the Equity Interests or Property of such Person or a merger with or consolidation with such Person by the Parent Guarantor, the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Liens shall attach solely to the Property so acquired (or of the Equity Interests of the Person so acquired, merged, or consolidated) and all improvements, repairs, additions, attachments and accessions thereto, parts, replacements and substitutions therefor, and products and proceeds thereof, and (ii) in the case of Liens securing Debt for borrowed money, the aggregate principal amount of all such Debt of Restricted Subsidiaries that are not Guarantors secured by such Liens shall be permitted by the limitations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44"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securing Debt of the Parent Guarantor, the Borrower or the Restricted Subsidiaries incurred to finance (including, to extend, refinance, renew or replace, in whole or in part) the acquisition, design, construction, installation, repair, alteration, replacement, expansion or improvement, or capital lease of Property (including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that such Debt is incurred or such Lien is granted, the amount of such Debt shall not exceed the purchase price and costs, as applicable, of acquisition, design, construction, installation, repair, alteration, replacement, expansion or improvement, or financing (including, extensions, refinancings, renewals and replacements, in whole or in part) of the Property financed and all fees, costs and expenses relating thereto, including attorney and legal, accounting, expert, and professional advisor fees and expenses, and, in the case of an extension, refinancing, renewal or replacement of Debt, all interest on and premium in respect of the extended, refinanced, renewed or replaced Debt.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9.04 </w:t>
      </w:r>
      <w:r>
        <w:rPr>
          <w:rFonts w:ascii="Times New Roman" w:cs="Times New Roman" w:eastAsia="Times New Roman" w:hAnsi="Times New Roman"/>
          <w:sz w:val="18"/>
          <w:szCs w:val="18"/>
          <w:u w:val="single" w:color="auto"/>
          <w:color w:val="000000"/>
        </w:rPr>
        <w:t>Proceeds of Loans</w:t>
      </w:r>
      <w:r>
        <w:rPr>
          <w:rFonts w:ascii="Times New Roman" w:cs="Times New Roman" w:eastAsia="Times New Roman" w:hAnsi="Times New Roman"/>
          <w:sz w:val="18"/>
          <w:szCs w:val="18"/>
          <w:color w:val="000000"/>
        </w:rPr>
        <w:t>. The Parent Guarantor and the Borrower will not permit the proceeds of the Loans to be used for any purpose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those permitted by Section 7.12. The Borrower will not request any Borrowing, and the Borrower shall not use, and shall procure that the Subsidiaries and its or their respective directors, officers, employees and agents acting in their respective capacities as such shall not use, the proceeds of any Borrowing (a) in furtherance of an offer, payment, promise to pay, or authorization of the payment or giving of money, or anything else of value, to any Person in violation of any applicable Anti-Corruption Laws or any Anti-Money Laundering Laws in any material respect, (b) for the purpose of funding, financing or facilitating any activities, business or transaction of or with any Sanctioned Person, or involving any Sanctioned Country in each case, in violation of Sanctions or (c) in any manner that would knowingly result in the violation of any Sanctions.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9.05 </w:t>
      </w:r>
      <w:r>
        <w:rPr>
          <w:rFonts w:ascii="Times New Roman" w:cs="Times New Roman" w:eastAsia="Times New Roman" w:hAnsi="Times New Roman"/>
          <w:sz w:val="18"/>
          <w:szCs w:val="18"/>
          <w:u w:val="single" w:color="auto"/>
          <w:color w:val="000000"/>
        </w:rPr>
        <w:t>Mergers,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Neither the Parent Guarantor nor the Borrower will merge into or with or consolidate with any other Person,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sell, lease or otherwise dispose of (whether in one transaction or in a series of transactions) all or substantially all of its Property to any other Person, except</w:t>
      </w:r>
    </w:p>
    <w:p>
      <w:pPr>
        <w:jc w:val="both"/>
        <w:ind w:firstLine="8"/>
        <w:spacing w:after="0" w:line="251" w:lineRule="auto"/>
        <w:tabs>
          <w:tab w:leader="none" w:pos="2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Guarantor may merge or consolidate with, or sell, lease or otherwise dispose of all or substantially all of its Property to the Borrower and the Borrower may merge or consolidate with, or sell, lease or otherwise dispose of all or substantially all of its Property to the Parent Guarantor and (b) mergers used to consummate Permitted Acquisitions shall be permitted, in each instance, if (i) in the case of a merger involving the Parent Guarantor, the Parent Guarantor is the surviving entity (or, if such merger involves the Borrower, as permitted under clause (b)(ii)) and (ii) in the case of a merger involving the Borrower, either (A) the Borrower is the surviving entity or (B) the Person formed by such consolidation or into which the Borrower is merged or the Person which acquires by sale, lease or other disposition, all or substantially all of the assets of the Borrower (1) shall be a Person (other than a natural person), (2) shall be organized and existing under the laws of the United States of America, any State thereof or the District of Columbia, (3) shall have Index Debt rated “investment grade” (i.e., an Index Debt rating from Moody’s of Baa3 or better, S&amp;P of BBB- or better, and/or Fitch of BBB- or better) by at least two of the three Rating Agencies, (4) shall expressly assume, by an agreement supplemental hereto, executed and delivered to the Administrative Agent, in form satisfactory to the Administrative Agent, the obligations of the Borrower hereunder, including the due and punctual payment of the principal of and interest on all the Loans (and other Indebtedness) and the performance of every covenant of this Agreement on the part of the Borrower to be performed or observed under this Agreement, the Guaranty Agreement, and the other Loan Documents (and thereafter, such Person shall succeed to, and be substituted for, the Borrower under this Agreement and the other Loan Documents), (5) the Borrower shall have provided at least ten (10) Business Days’ written notice prior to the effectiveness of such transaction contemplated by this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(6) the Borrower shall have provided to the Administrative Agent and each Lender all information and documentation reasonably requested by the Administrative Agent and such Lenders in connection with such transaction, including customary officers’ certificates, resolutions, legal opinions, and, with respect to such Person, for purposes of compliance with applicable “know your customer” requirements under the USA PATRIOT Act or other applicable Anti-Money Laundering Laws, and the Beneficial Ownership Regulation, and (7) no Default or Event of Default shall have occurred and be continuing.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010000"/>
        </w:rPr>
        <w:t>Section 9.06</w:t>
      </w:r>
      <w:r>
        <w:rPr>
          <w:sz w:val="20"/>
          <w:szCs w:val="20"/>
          <w:color w:val="auto"/>
        </w:rPr>
        <w:tab/>
      </w:r>
      <w:r>
        <w:rPr>
          <w:rFonts w:ascii="Times New Roman" w:cs="Times New Roman" w:eastAsia="Times New Roman" w:hAnsi="Times New Roman"/>
          <w:sz w:val="17"/>
          <w:szCs w:val="17"/>
          <w:u w:val="single" w:color="auto"/>
          <w:color w:val="auto"/>
        </w:rPr>
        <w:t>Designation of Restricted and Unrestricted Subsidiaries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right="20" w:firstLine="1304"/>
        <w:spacing w:after="0" w:line="282" w:lineRule="auto"/>
        <w:tabs>
          <w:tab w:leader="none" w:pos="1924"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Unless designated as an Unrestricted Subsidiary in compliance with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Person that becomes a Subsidiary of the Borrower or any of its Restricted Subsidiaries shall be classified as a Restricted Subsidiary.</w:t>
      </w:r>
    </w:p>
    <w:p>
      <w:pPr>
        <w:spacing w:after="0" w:line="161" w:lineRule="exact"/>
        <w:rPr>
          <w:rFonts w:ascii="Times New Roman" w:cs="Times New Roman" w:eastAsia="Times New Roman" w:hAnsi="Times New Roman"/>
          <w:sz w:val="18"/>
          <w:szCs w:val="18"/>
          <w:color w:val="010000"/>
        </w:rPr>
      </w:pPr>
    </w:p>
    <w:p>
      <w:pPr>
        <w:jc w:val="both"/>
        <w:ind w:left="-20" w:firstLine="1304"/>
        <w:spacing w:after="0" w:line="254" w:lineRule="auto"/>
        <w:tabs>
          <w:tab w:leader="none" w:pos="1924"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designate by written notification thereof to the Administrative Agent, any Restricted Subsidiary, including a newly or to be formed or newly or to be acquired Subsidiary, as an Unrestricted Subsidiary if (i) immediately after giving effect to such designation, (1) no Default or Event of Default would exist (and the Parent Guarantor shall be in compliance, on a pro forma basis, with the covenant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(2) the representations and warranties of each Loan Party contained in each of the Loan Documents (other the representations and warranties contained in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are true and correct in all material respects (or, if already qualified by materiality, Material Adverse Effect or a similar qualification, true and correct in all respects) as if made on and as of the date of such designation (or, if stated to have been made expressly as of an earlier date, were true and correct in all material respects (or, if already qualified by materiality, Material Adverse Effect or a similar qualification, true and correct in all respects) as of such earlier date), and (ii) such Person is not a restricted subsidiary under any other agreement evidencing Debt of the Borrower or any Guarantor. Except as provided in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no Restricted Subsidiary may be designated as an Unrestricted Subsidiary.</w:t>
      </w:r>
    </w:p>
    <w:p>
      <w:pPr>
        <w:spacing w:after="0" w:line="188" w:lineRule="exact"/>
        <w:rPr>
          <w:rFonts w:ascii="Times New Roman" w:cs="Times New Roman" w:eastAsia="Times New Roman" w:hAnsi="Times New Roman"/>
          <w:sz w:val="18"/>
          <w:szCs w:val="18"/>
          <w:color w:val="010000"/>
        </w:rPr>
      </w:pPr>
    </w:p>
    <w:p>
      <w:pPr>
        <w:jc w:val="both"/>
        <w:ind w:left="-20" w:firstLine="1304"/>
        <w:spacing w:after="0" w:line="258" w:lineRule="auto"/>
        <w:tabs>
          <w:tab w:leader="none" w:pos="1924"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designate any Unrestricted Subsidiary to be a Restricted Subsidiary if immediately after giving effect to such designation, (i) the representations and warranties of the Borrower and its Restricted Subsidiaries contained in each of the Loan Documents are true and correct in all material respects on and as of such date as if made on and as of the date of such redesignation (or, if stated to have been made expressly as of an earlier date, were true and correct in all material respects as of such date), (ii) no Default or Event of Default exists, (iii) the Borrower complies with the requirements of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(iv) the Borrower and/or one or more Restricted Subsidiaries owns all of the Equity Interests in such Subsidiary.</w:t>
      </w:r>
    </w:p>
    <w:p>
      <w:pPr>
        <w:spacing w:after="0" w:line="183" w:lineRule="exact"/>
        <w:rPr>
          <w:rFonts w:ascii="Times New Roman" w:cs="Times New Roman" w:eastAsia="Times New Roman" w:hAnsi="Times New Roman"/>
          <w:sz w:val="18"/>
          <w:szCs w:val="18"/>
          <w:color w:val="010000"/>
        </w:rPr>
      </w:pPr>
    </w:p>
    <w:p>
      <w:pPr>
        <w:ind w:left="1940" w:hanging="656"/>
        <w:spacing w:after="0"/>
        <w:tabs>
          <w:tab w:leader="none" w:pos="1940"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Subsidiary of an Unrestricted Subsidiary shall automatically be designated as an Unrestricted Subsidiary.</w:t>
      </w:r>
    </w:p>
    <w:p>
      <w:pPr>
        <w:spacing w:after="0" w:line="225" w:lineRule="exact"/>
        <w:rPr>
          <w:rFonts w:ascii="Times New Roman" w:cs="Times New Roman" w:eastAsia="Times New Roman" w:hAnsi="Times New Roman"/>
          <w:sz w:val="18"/>
          <w:szCs w:val="18"/>
          <w:color w:val="010000"/>
        </w:rPr>
      </w:pPr>
    </w:p>
    <w:p>
      <w:pPr>
        <w:ind w:left="-20" w:right="20" w:firstLine="1304"/>
        <w:spacing w:after="0" w:line="282" w:lineRule="auto"/>
        <w:tabs>
          <w:tab w:leader="none" w:pos="1924"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designation of a Restricted Subsidiary as an Unrestricted Subsidiary in compliance with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such Subsidiary shall be automatically released from all obligations, if any, under the Loan Documents, including the Guaranty Agreement.</w:t>
      </w:r>
    </w:p>
    <w:p>
      <w:pPr>
        <w:spacing w:after="0" w:line="161" w:lineRule="exact"/>
        <w:rPr>
          <w:rFonts w:ascii="Times New Roman" w:cs="Times New Roman" w:eastAsia="Times New Roman" w:hAnsi="Times New Roman"/>
          <w:sz w:val="18"/>
          <w:szCs w:val="18"/>
          <w:color w:val="010000"/>
        </w:rPr>
      </w:pPr>
    </w:p>
    <w:p>
      <w:pPr>
        <w:ind w:left="-20" w:firstLine="1304"/>
        <w:spacing w:after="0" w:line="282" w:lineRule="auto"/>
        <w:tabs>
          <w:tab w:leader="none" w:pos="1924"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Effective Date, each of the Rattler Entities and each of the Viper Entities has been designated by the Borrower as an Unrestricted Subsidiary in compliance with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constitutes an Unrestricted Subsidiary.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REMEDIES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10.01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One or more of the following events shall constitute an “Event of Default”:</w:t>
      </w:r>
    </w:p>
    <w:p>
      <w:pPr>
        <w:spacing w:after="0" w:line="225" w:lineRule="exact"/>
        <w:rPr>
          <w:sz w:val="20"/>
          <w:szCs w:val="20"/>
          <w:color w:val="auto"/>
        </w:rPr>
      </w:pPr>
    </w:p>
    <w:p>
      <w:pPr>
        <w:ind w:right="20" w:firstLine="1304"/>
        <w:spacing w:after="0" w:line="282"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fail to pay any principal of any Loan when and as the same shall become due and payable, whether at the due date thereof or at a date fixed for prepayment thereof, by acceleration or otherwise.</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payable under any Loan Document, when and as the same shall become due and payable, and such failure shall continue unremedied for a period of five Business Days.</w:t>
      </w:r>
    </w:p>
    <w:p>
      <w:pPr>
        <w:spacing w:after="0" w:line="17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representation or warranty made or deemed made by or on behalf of the Parent Guarantor, the Borrower or any Restricted Subsidiary in or in connection with any Loan Document or any amendment or modification of any Loan Document or waiver under such Loan Document, or in any report, certificate, financial statement or other document furnished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shall prove to have been materially incorrect when made or deemed made (or, if already qualified by materiality, Material Adverse Effect or a similar qualification, true and correct in all respects), unless, if such misstatement (and the effect thereof) is capable of being cured, such Person cures such misstatement (and any effect thereof) within thirty (30) days of such Person obtaining knowledge thereof.</w:t>
      </w:r>
    </w:p>
    <w:p>
      <w:pPr>
        <w:spacing w:after="0" w:line="187"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or any Restricted Subsidiary shall fail to observe or perform any covenant, condition or agreement contained in </w:t>
      </w:r>
      <w:r>
        <w:rPr>
          <w:rFonts w:ascii="Times New Roman" w:cs="Times New Roman" w:eastAsia="Times New Roman" w:hAnsi="Times New Roman"/>
          <w:sz w:val="18"/>
          <w:szCs w:val="18"/>
          <w:u w:val="single" w:color="auto"/>
          <w:color w:val="auto"/>
        </w:rPr>
        <w:t>Section 8.02, Section 8.03</w:t>
      </w:r>
      <w:r>
        <w:rPr>
          <w:rFonts w:ascii="Times New Roman" w:cs="Times New Roman" w:eastAsia="Times New Roman" w:hAnsi="Times New Roman"/>
          <w:sz w:val="18"/>
          <w:szCs w:val="18"/>
          <w:color w:val="auto"/>
        </w:rPr>
        <w:t xml:space="preserve"> (solely with respect to legal existence) or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or any other Guarantor shall fail to observe or perform any covenant, condition or agreement contained in this Agreement (other than those specified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10.01(d)</w:t>
      </w:r>
      <w:r>
        <w:rPr>
          <w:rFonts w:ascii="Times New Roman" w:cs="Times New Roman" w:eastAsia="Times New Roman" w:hAnsi="Times New Roman"/>
          <w:sz w:val="18"/>
          <w:szCs w:val="18"/>
          <w:color w:val="auto"/>
        </w:rPr>
        <w:t>) or any other Loan Document, and such failure shall continue unremedied for a period of 30 days after notice thereof from the Administrative Agent to the Borrower.</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the Borrower or any Restricted Subsidiary shall fail to make any payment (whether of principal or interest and regardless of amount) in respect of any Material Indebtedness when and as the same shall become due and payable and such failure shall continue after the applicable grace period, if any, specified in the agreement or instrument relating to such Material Indebtedness.</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event or condition occurs that results in any Material Indebtedness becoming due prior to its scheduled maturity (other than by a regularly scheduled or required prepayment).</w:t>
      </w:r>
    </w:p>
    <w:p>
      <w:pPr>
        <w:spacing w:after="0" w:line="16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Parent Guarantor, the Borrower or any other Guarantor or its debts, or of a substantial part of its assets, under any Federal, state or foreign bankruptcy, insolvency, receivership or similar law now or hereafter in effect or (ii) the appointment of a receiver, trustee, custodian, sequestrator, conservator or similar official for the Parent Guarantor, the Borrower or any other Guarantor or for a substantial part of its assets, and, in any such case, such proceeding or petition shall continue undismissed or unstayed for 60 days or an order or decree approving or ordering any of the foregoing shall be entered.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both"/>
        <w:ind w:firstLine="1304"/>
        <w:spacing w:after="0" w:line="256" w:lineRule="auto"/>
        <w:tabs>
          <w:tab w:leader="none" w:pos="19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or any other Guarantor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(iii) apply for or consent to the appointment of a receiver, trustee, custodian, sequestrator, conservator or similar official for the Borrower or any Guarantor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87"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the Borrower or any other Guarantor shall become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one or more judgments for the payment of money in an aggregate amount in excess of $250,000,000 (to the extent not covered by insurance or indemnities as to which the insurer or third party, as applicable, does not dispute coverage) shall be rendered against the Parent Guarantor, the Borrower, any Restricted Subsidiary or any combination thereof and the same shall remain undischarged for a period of 60 consecutive days during which execution shall not be effectively stayed, or any action shall be legally taken by a judgment creditor to attach or levy upon any assets of the Parent Guarantor, the Borrower or any Restricted Subsidiary to enforce any such judgment and such action shall not have been stayed.</w:t>
      </w:r>
    </w:p>
    <w:p>
      <w:pPr>
        <w:spacing w:after="0" w:line="18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Change in Control shall occur.</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10.02</w:t>
      </w:r>
      <w:r>
        <w:rPr>
          <w:sz w:val="20"/>
          <w:szCs w:val="20"/>
          <w:color w:val="auto"/>
        </w:rPr>
        <w:tab/>
      </w: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44"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in all cases to Section 6.03, (i) on or after the Funding Date, after giving effect to the Funding of the Loans on the Funding Date, in the case of any Event of Default other than one described in Section 10.01(h), Section 10.01(i) or Section 10.01(j), at any time thereafter during the continuance of such Event of Default, the Administrative Agent may, and at the request of the Majority Lenders, shall, by notice to the Borrower, take either or both of the following actions, at the same or different times: (A) terminate the Commitments, and thereupon the Commitments shall terminate immediately, and (B) declare the Notes and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Parent Guarantor, the Borrower and the other Guarantors accrued hereunder and under the Notes and the other Loan Documents, shall become due and payable immediately, without presentment, demand, protest, notice of intent to accelerate, notice of acceleration or other notice of any kind, all of which are hereby waived by the Parent Guarantor, the Borrower and each other Guarantor; and (ii) at any time,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in the case of an Event of Default described in Section 10.01(h), Section 10.01(i) or Section 10.01(j), the Commitments shall automatically terminate and the Notes and the principal of the Loans then outstanding, together with accrued interest thereon and all fees and the other obligations of the Parent Guarantor, the Borrower and the other Guarantors accrued hereunder and under the Notes and the other Loan Documents, shall automatically become due and payable, without presentment, demand, protest, notice of intent to accelerate, notice of acceleration or other notice of any kind, all of which are hereby waived by the Parent Guarantor, the Borrower and each other Guarantor.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ind w:right="20" w:firstLine="1304"/>
        <w:spacing w:after="0" w:line="282" w:lineRule="auto"/>
        <w:tabs>
          <w:tab w:leader="none" w:pos="1944"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the occurrence of an Event of Default, the Administrative Agent and the Lenders will have all other rights and remedies available at law and equity.</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proceeds received after maturity of the Notes and the Loans, whether by acceleration or otherwise, shall be applied:</w:t>
      </w:r>
    </w:p>
    <w:p>
      <w:pPr>
        <w:spacing w:after="0" w:line="223" w:lineRule="exact"/>
        <w:rPr>
          <w:rFonts w:ascii="Times New Roman" w:cs="Times New Roman" w:eastAsia="Times New Roman" w:hAnsi="Times New Roman"/>
          <w:sz w:val="18"/>
          <w:szCs w:val="18"/>
          <w:color w:val="010000"/>
        </w:rPr>
      </w:pPr>
    </w:p>
    <w:p>
      <w:pPr>
        <w:ind w:firstLine="1952"/>
        <w:spacing w:after="0" w:line="284" w:lineRule="auto"/>
        <w:tabs>
          <w:tab w:leader="none" w:pos="2592" w:val="left"/>
        </w:tabs>
        <w:numPr>
          <w:ilvl w:val="1"/>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or reimbursement of that portion of the Indebtedness constituting fees, expenses and indemnities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Administrative Agent in its capacity as such;</w:t>
      </w:r>
    </w:p>
    <w:p>
      <w:pPr>
        <w:spacing w:after="0" w:line="158"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pro rata to payment or reimbursement of that portion of the Indebtedness constituting fees, expenses and</w:t>
      </w:r>
    </w:p>
    <w:p>
      <w:pPr>
        <w:spacing w:after="0" w:line="29"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indemnities payable to the Lenders;</w:t>
      </w:r>
    </w:p>
    <w:p>
      <w:pPr>
        <w:spacing w:after="0" w:line="204"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pro rata to payment of accrued interest on the Loans;</w:t>
      </w:r>
    </w:p>
    <w:p>
      <w:pPr>
        <w:spacing w:after="0" w:line="22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fourth, </w:t>
      </w:r>
      <w:r>
        <w:rPr>
          <w:rFonts w:ascii="Times New Roman" w:cs="Times New Roman" w:eastAsia="Times New Roman" w:hAnsi="Times New Roman"/>
          <w:sz w:val="18"/>
          <w:szCs w:val="18"/>
          <w:color w:val="auto"/>
        </w:rPr>
        <w:t>pro rata to payment of principal outstanding on the Loans and Indebtedness referred 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p>
    <w:p>
      <w:pPr>
        <w:spacing w:after="0" w:line="29"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definition of Indebtedness;</w:t>
      </w:r>
    </w:p>
    <w:p>
      <w:pPr>
        <w:spacing w:after="0" w:line="204"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pro rata to any other Indebtedness; and</w:t>
      </w:r>
    </w:p>
    <w:p>
      <w:pPr>
        <w:spacing w:after="0" w:line="225" w:lineRule="exact"/>
        <w:rPr>
          <w:rFonts w:ascii="Times New Roman" w:cs="Times New Roman" w:eastAsia="Times New Roman" w:hAnsi="Times New Roman"/>
          <w:sz w:val="18"/>
          <w:szCs w:val="18"/>
          <w:color w:val="010000"/>
        </w:rPr>
      </w:pPr>
    </w:p>
    <w:p>
      <w:pPr>
        <w:ind w:firstLine="1952"/>
        <w:spacing w:after="0" w:line="284" w:lineRule="auto"/>
        <w:tabs>
          <w:tab w:leader="none" w:pos="2592" w:val="left"/>
        </w:tabs>
        <w:numPr>
          <w:ilvl w:val="1"/>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any excess, after all of the Indebtedness shall have been indefeasibly paid in full in cash, shall be paid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or as otherwise required by any Governmental Requirement.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amounts received from the Borrower or any Guarantor that is not an Eligible Contract Participant shall not be applied to any Excluded Swap Obligations (it being understood, that in the event that any amount is applied to Indebtedness other than Excluded Swap Obligations as a result of this clause, the Administrative Agent shall make such adjustments as it determines are appropriate to distributions pursuant to clause “fourth” above from amounts received from Eligible Contract Participants to ensure, as nearly as possible, that the proportional aggregate recoveries with respect to Excluded Swap Obligations described in such clause “fourth” are the same as the proportional aggregate recoveries with respect to other Indebtedness pursuant to such clause).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ind w:firstLine="1304"/>
        <w:spacing w:after="0" w:line="255" w:lineRule="auto"/>
        <w:tabs>
          <w:tab w:leader="none" w:pos="1944"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in this Agreement to the contrary, during the period from the Funding Date until the date that is 120 days after the Funding Date (the “</w:t>
      </w:r>
      <w:r>
        <w:rPr>
          <w:rFonts w:ascii="Times New Roman" w:cs="Times New Roman" w:eastAsia="Times New Roman" w:hAnsi="Times New Roman"/>
          <w:sz w:val="18"/>
          <w:szCs w:val="18"/>
          <w:u w:val="single" w:color="auto"/>
          <w:color w:val="auto"/>
        </w:rPr>
        <w:t>Clean-Up Period</w:t>
      </w:r>
      <w:r>
        <w:rPr>
          <w:rFonts w:ascii="Times New Roman" w:cs="Times New Roman" w:eastAsia="Times New Roman" w:hAnsi="Times New Roman"/>
          <w:sz w:val="18"/>
          <w:szCs w:val="18"/>
          <w:color w:val="auto"/>
        </w:rPr>
        <w:t>”), notwithstanding any other provision of any Loan Document, any representation or warranty (other than the Specified Credit Agreement Representations) made by Endeavor or any of its subsidiaries in connection with the Transactions and Endeavor Acquisition Transactions that would have been breached or inaccurate, or any other default by reason of any matter or circumstance relating to Endeavor or any of its subsidiaries with respect to the Transactions and Endeavor Acquisition Transactions (were it not for this provision), will be deemed not to constitute a breach of a representation or warranty or a Default or Event of Default for all purposes under the Loan Documentation if, and for so long as the circumstances giving rise thereto exist:</w:t>
      </w:r>
    </w:p>
    <w:p>
      <w:pPr>
        <w:spacing w:after="0" w:line="188"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is capable of being remedied and the Parent Guarantor or the Borrower or any of their respective Subsidiaries is taking appropriate steps to remedy such breach, inaccuracy or default;</w:t>
      </w:r>
    </w:p>
    <w:p>
      <w:pPr>
        <w:spacing w:after="0" w:line="161"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relates exclusively to Endeavor or any of its Subsidiaries (or any obligation to procure or ensure any action in relation to Endeavor or any of its Subsidiaries);</w:t>
      </w:r>
    </w:p>
    <w:p>
      <w:pPr>
        <w:spacing w:after="0" w:line="161"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has not been procured by or approved by the Parent Guarantor or the Borrower or any of their respective Subsidiaries (other than Endeavor or any of its subsidiaries); and</w:t>
      </w:r>
    </w:p>
    <w:p>
      <w:pPr>
        <w:spacing w:after="0" w:line="161"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92" w:val="left"/>
        </w:tabs>
        <w:numPr>
          <w:ilvl w:val="1"/>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does not have a material adverse effect on the operations or financial condition of the Parent Guarantor and its Subsidiaries (including Endeavor and its subsidiaries), taken as a whole, such that the Parent Guarantor and its Subsidiaries (including Endeavor and its subsidiaries), taken as a whole, would be unable to perform its payment obligations under the Term Loan Facility.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Without duplication of any applicable cure period set forth in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 if the relevant circumstances are continuing after the expiration of the Clean-Up Period, there shall be a breach of representation or warranty or Event of Default, as the case may be, notwithstanding the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11.01 </w:t>
      </w:r>
      <w:r>
        <w:rPr>
          <w:rFonts w:ascii="Times New Roman" w:cs="Times New Roman" w:eastAsia="Times New Roman" w:hAnsi="Times New Roman"/>
          <w:sz w:val="18"/>
          <w:szCs w:val="18"/>
          <w:u w:val="single" w:color="auto"/>
          <w:color w:val="000000"/>
        </w:rPr>
        <w:t>Appointment; Powers</w:t>
      </w:r>
      <w:r>
        <w:rPr>
          <w:rFonts w:ascii="Times New Roman" w:cs="Times New Roman" w:eastAsia="Times New Roman" w:hAnsi="Times New Roman"/>
          <w:sz w:val="18"/>
          <w:szCs w:val="18"/>
          <w:color w:val="000000"/>
        </w:rPr>
        <w:t>. Each of the Lenders hereby irrevocably appoints the Administrative Agent as its agent and authorizes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to take such actions on its behalf and to exercise such powers as are delegated to the Administrative Agent by the terms hereof and the other Loan Documents, together with such actions and powers as are reasonably incidental thereto.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11.02 </w:t>
      </w:r>
      <w:r>
        <w:rPr>
          <w:rFonts w:ascii="Times New Roman" w:cs="Times New Roman" w:eastAsia="Times New Roman" w:hAnsi="Times New Roman"/>
          <w:sz w:val="18"/>
          <w:szCs w:val="18"/>
          <w:u w:val="single" w:color="auto"/>
          <w:color w:val="000000"/>
        </w:rPr>
        <w:t>Duties and Obligations of Administrative Agent</w:t>
      </w:r>
      <w:r>
        <w:rPr>
          <w:rFonts w:ascii="Times New Roman" w:cs="Times New Roman" w:eastAsia="Times New Roman" w:hAnsi="Times New Roman"/>
          <w:sz w:val="18"/>
          <w:szCs w:val="18"/>
          <w:color w:val="000000"/>
        </w:rPr>
        <w:t>. The Administrative Agent shall not have any duties or obligations except those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expressly set forth in the Loan Documents, and its duties thereunder shall be administrative in nature. The motivations of the Administrative Agent are commercial in nature and not to invest in the general performance or operations of the Parent Guarantor, the Borrower and their Subsidiaries. Without limiting the generality of the foregoing, (a) the Administrative Agent shall not be subject to any fiduciary or other implied duties, regardless of whether a Default or an Event of Default has occurred and is continuing (the use of the term “</w:t>
      </w:r>
      <w:r>
        <w:rPr>
          <w:rFonts w:ascii="Times New Roman" w:cs="Times New Roman" w:eastAsia="Times New Roman" w:hAnsi="Times New Roman"/>
          <w:sz w:val="18"/>
          <w:szCs w:val="18"/>
          <w:u w:val="single" w:color="auto"/>
          <w:color w:val="000000"/>
        </w:rPr>
        <w:t>agent</w:t>
      </w:r>
      <w:r>
        <w:rPr>
          <w:rFonts w:ascii="Times New Roman" w:cs="Times New Roman" w:eastAsia="Times New Roman" w:hAnsi="Times New Roman"/>
          <w:sz w:val="18"/>
          <w:szCs w:val="18"/>
          <w:color w:val="000000"/>
        </w:rPr>
        <w:t xml:space="preserve">” herein and in the other Loan Documents with reference to the Administrative Agent is not intended to connote any fiduciary or other implied (or express) obligations arising under agency doctrine of any applicable law; rather, such term is used merely as a matter of market custom, and is intended to create or reflect only an administrative relationship between independent contracting parties), (b) the Administrative Agent shall have no duty to take any discretionary action or exercise any discretionary powers, except as provided in </w:t>
      </w:r>
      <w:r>
        <w:rPr>
          <w:rFonts w:ascii="Times New Roman" w:cs="Times New Roman" w:eastAsia="Times New Roman" w:hAnsi="Times New Roman"/>
          <w:sz w:val="18"/>
          <w:szCs w:val="18"/>
          <w:u w:val="single" w:color="auto"/>
          <w:color w:val="000000"/>
        </w:rPr>
        <w:t>Section 11.03</w:t>
      </w:r>
      <w:r>
        <w:rPr>
          <w:rFonts w:ascii="Times New Roman" w:cs="Times New Roman" w:eastAsia="Times New Roman" w:hAnsi="Times New Roman"/>
          <w:sz w:val="18"/>
          <w:szCs w:val="18"/>
          <w:color w:val="000000"/>
        </w:rPr>
        <w:t xml:space="preserve">, and (c) except as expressly set forth herein, the Administrative Agent shall not have any duty to disclose, and shall not be liable for the failure to disclose, any information relating to the Parent Guarantor, the Borrower or any of their Subsidiaries that is communicated to or obtained by the bank serving as Administrative Agent or any of its Affiliates in any capacity. The Administrative Agent shall be deemed not to have knowledge of any Default or Event of Default unless and until written notice thereof is given to the Administrative Agent by the Parent Guarantor, the Borrower or a Lender, and shall not be responsible for or have any duty to ascertain or inquire into (i) any statement, warranty or representation made in or in connection with this Agreement or any other Loan Document, (ii) the contents of any certificate, report or other document delivered hereunder or under any other Loan Document or in connection herewith or therewith, (iii) the performance or observance of any of the covenants, agreements or other terms or conditions set forth herein or in any other Loan Document or the occurrence of any Default, (iv) the sufficiency, validity, enforceability, effectiveness or genuineness of this Agreement, any other Loan Document or any other agreement, instrument or document, (v) the satisfaction of any condition set forth in </w:t>
      </w:r>
      <w:r>
        <w:rPr>
          <w:rFonts w:ascii="Times New Roman" w:cs="Times New Roman" w:eastAsia="Times New Roman" w:hAnsi="Times New Roman"/>
          <w:sz w:val="18"/>
          <w:szCs w:val="18"/>
          <w:u w:val="single" w:color="auto"/>
          <w:color w:val="000000"/>
        </w:rPr>
        <w:t>Article VI</w:t>
      </w:r>
      <w:r>
        <w:rPr>
          <w:rFonts w:ascii="Times New Roman" w:cs="Times New Roman" w:eastAsia="Times New Roman" w:hAnsi="Times New Roman"/>
          <w:sz w:val="18"/>
          <w:szCs w:val="18"/>
          <w:color w:val="000000"/>
        </w:rPr>
        <w:t xml:space="preserve"> or elsewhere herein, other than to confirm receipt of items expressly required to be delivered to the Administrative Agent or as to those conditions precedent that expressly refer to the matters described therein being acceptable or satisfactory to the Administrative Agent. For purposes of determining compliance with the conditions specified in </w:t>
      </w:r>
      <w:r>
        <w:rPr>
          <w:rFonts w:ascii="Times New Roman" w:cs="Times New Roman" w:eastAsia="Times New Roman" w:hAnsi="Times New Roman"/>
          <w:sz w:val="18"/>
          <w:szCs w:val="18"/>
          <w:u w:val="single" w:color="auto"/>
          <w:color w:val="000000"/>
        </w:rPr>
        <w:t>Article VI</w:t>
      </w:r>
      <w:r>
        <w:rPr>
          <w:rFonts w:ascii="Times New Roman" w:cs="Times New Roman" w:eastAsia="Times New Roman" w:hAnsi="Times New Roman"/>
          <w:sz w:val="18"/>
          <w:szCs w:val="18"/>
          <w:color w:val="000000"/>
        </w:rPr>
        <w:t>, each Lender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11.03 </w:t>
      </w:r>
      <w:r>
        <w:rPr>
          <w:rFonts w:ascii="Times New Roman" w:cs="Times New Roman" w:eastAsia="Times New Roman" w:hAnsi="Times New Roman"/>
          <w:sz w:val="18"/>
          <w:szCs w:val="18"/>
          <w:u w:val="single" w:color="auto"/>
          <w:color w:val="000000"/>
        </w:rPr>
        <w:t>Action by Administrative Agent</w:t>
      </w:r>
      <w:r>
        <w:rPr>
          <w:rFonts w:ascii="Times New Roman" w:cs="Times New Roman" w:eastAsia="Times New Roman" w:hAnsi="Times New Roman"/>
          <w:sz w:val="18"/>
          <w:szCs w:val="18"/>
          <w:color w:val="000000"/>
        </w:rPr>
        <w:t>. The Administrative Agent shall have no duty to take any discretionary action or exercise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discretionary powers, except discretionary rights and powers expressly contemplated hereby or by the other Loan Documents that the Administrative Agent is required to exercise in writing as directed by the Majority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 xml:space="preserve">) and in all cases the Administrative Agent shall be fully justified in failing or refusing to act hereunder or under any other Loan Documents unless it shall (a) receive written instructions from the Majority Lenders or the Lenders, as applicable,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 xml:space="preserve">) specifying the action to be taken and (b) be indemnified to its satisfaction by the Lenders against any and all liability and expenses which may be incurred by it by reason of taking or continuing to take any such action. The instructions as aforesaid and any action taken or failure to act pursuant thereto by the Administrative Agent shall be binding on all of the Lenders. If a Default has occurred and is continuing, then the Administrative Agent shall take such action with respect to such Default as shall be directed by the requisite Lenders in the written instructions (with indemnities) described in this </w:t>
      </w:r>
      <w:r>
        <w:rPr>
          <w:rFonts w:ascii="Times New Roman" w:cs="Times New Roman" w:eastAsia="Times New Roman" w:hAnsi="Times New Roman"/>
          <w:sz w:val="18"/>
          <w:szCs w:val="18"/>
          <w:u w:val="single" w:color="auto"/>
          <w:color w:val="000000"/>
        </w:rPr>
        <w:t>Section 11.03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unless and until the Administrative Agent shall have received such directions, the Administrative Agent may (but shall not be obligated to) take such action, or refrain from taking such action, with respect to such Default as it shall deem advisable in the best interests of the Lenders. In no event, however, shall the Administrative Agent be required to take any action which exposes the Administrative Agent to personal liability or which is contrary to this Agreement, the Loan Documents or applicable law. If a Default has occurred and is continuing, no Syndication Agent shall have any obligation to perform any act in respect thereof. The Administrative Agent shall not be liable for any action taken or not taken by it with the consent or at the request of the Majority Lenders or the Lenders (or such other number or percentage of the Lenders as shall be necessary, or as the Administrative Agent shall believe in good faith to be necessary, under the circumstances as provided in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 and otherwise the Administrative Agent shall not be liable for any action taken or not taken by it hereunder or under any other Loan Document or under any other document or instrument referred to or provided for herein or therein or in connection herewith or therewith INCLUDING ITS OWN ORDINARY NEGLIGENCE, except for its own gross negligence or willful misconduct.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11.04 </w:t>
      </w:r>
      <w:r>
        <w:rPr>
          <w:rFonts w:ascii="Times New Roman" w:cs="Times New Roman" w:eastAsia="Times New Roman" w:hAnsi="Times New Roman"/>
          <w:sz w:val="18"/>
          <w:szCs w:val="18"/>
          <w:u w:val="single" w:color="auto"/>
          <w:color w:val="000000"/>
        </w:rPr>
        <w:t>Reliance by Administrative Agent</w:t>
      </w:r>
      <w:r>
        <w:rPr>
          <w:rFonts w:ascii="Times New Roman" w:cs="Times New Roman" w:eastAsia="Times New Roman" w:hAnsi="Times New Roman"/>
          <w:sz w:val="18"/>
          <w:szCs w:val="18"/>
          <w:color w:val="000000"/>
        </w:rPr>
        <w:t>. The Administrative Agent shall be entitled to rely upon, and shall not incur any liability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relying upon, any notice, request, certificate, consent, statement, instrument, document or other writing (including any electronic message, Internet or intranet website posting or other distribution) believed by it to be genuine and to have been signed (or otherwise authenticated) or sent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maker thereof), and shall not incur any liability for relying thereon and each of the Parent Guarantor, the Borrower and the Lenders hereby waives the right to dispute the Administrative Agent’s record of such statement, except in the case of gross negligence or willful misconduct by the Administrative Agent. The Administrative Agent may consult with legal counsel (who may be counsel for the Parent Guarantor and the Borrower), independent accountants and other experts selected by it, and shall not be liable for any action taken or not taken by it in accordance with the advice of any such counsel, accountants or experts. The Administrative Agent may deem and treat the payee of any Note as the holder thereof for all purposes hereof unless and until a written notice of the assignment or transfer thereof permitted hereunder shall have been filed with the Administrative Agent.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Section 11.05 </w:t>
      </w:r>
      <w:r>
        <w:rPr>
          <w:rFonts w:ascii="Times New Roman" w:cs="Times New Roman" w:eastAsia="Times New Roman" w:hAnsi="Times New Roman"/>
          <w:sz w:val="18"/>
          <w:szCs w:val="18"/>
          <w:u w:val="single" w:color="auto"/>
          <w:color w:val="000000"/>
        </w:rPr>
        <w:t>Subagents</w:t>
      </w:r>
      <w:r>
        <w:rPr>
          <w:rFonts w:ascii="Times New Roman" w:cs="Times New Roman" w:eastAsia="Times New Roman" w:hAnsi="Times New Roman"/>
          <w:sz w:val="18"/>
          <w:szCs w:val="18"/>
          <w:color w:val="000000"/>
        </w:rPr>
        <w:t>. The Administrative Agent may perform any and all its duties hereunder or under any other Loan Document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Sections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11.06 </w:t>
      </w:r>
      <w:r>
        <w:rPr>
          <w:rFonts w:ascii="Times New Roman" w:cs="Times New Roman" w:eastAsia="Times New Roman" w:hAnsi="Times New Roman"/>
          <w:sz w:val="18"/>
          <w:szCs w:val="18"/>
          <w:u w:val="single" w:color="auto"/>
          <w:color w:val="000000"/>
        </w:rPr>
        <w:t>Resignation of the Administrative Agent</w:t>
      </w:r>
      <w:r>
        <w:rPr>
          <w:rFonts w:ascii="Times New Roman" w:cs="Times New Roman" w:eastAsia="Times New Roman" w:hAnsi="Times New Roman"/>
          <w:sz w:val="18"/>
          <w:szCs w:val="18"/>
          <w:color w:val="000000"/>
        </w:rPr>
        <w:t>. Subject to the appointment and acceptance of a successor Administrative Agent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in this </w:t>
      </w:r>
      <w:r>
        <w:rPr>
          <w:rFonts w:ascii="Times New Roman" w:cs="Times New Roman" w:eastAsia="Times New Roman" w:hAnsi="Times New Roman"/>
          <w:sz w:val="18"/>
          <w:szCs w:val="18"/>
          <w:u w:val="single" w:color="auto"/>
          <w:color w:val="000000"/>
        </w:rPr>
        <w:t>Section 11.06</w:t>
      </w:r>
      <w:r>
        <w:rPr>
          <w:rFonts w:ascii="Times New Roman" w:cs="Times New Roman" w:eastAsia="Times New Roman" w:hAnsi="Times New Roman"/>
          <w:sz w:val="18"/>
          <w:szCs w:val="18"/>
          <w:color w:val="000000"/>
        </w:rPr>
        <w:t xml:space="preserve">, the Administrative Agent may resign at any time by notifying the Lenders and the Borrower. Upon any such resignation, the Majority Lenders shall have the right, in consultation with the Borrower, to appoint a successor; provided that no such consultation with the Borrower shall be required if an Event of Default has occurred and is continuing. If no successor shall have been so appointed by the Majority Lenders and shall have accepted such appointment within 30 days after the retiring Administrative Agent gives notice of its resignation, then the retiring Administrative Agent may, on behalf of the Lenders, appoint a successor Administrative Agent, which shall be a commercial bank organized under the laws of the United States or any State thereof with an office in New York, New York.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under the Loan Documents. The fees payable by the Borrower to a successor Administrative Agent shall be the same as those payable to its predecessor unless otherwise agreed between the Borrower and such successor. After the Administrative Agent’s resignation hereunder, the provisions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12.03</w:t>
      </w:r>
      <w:r>
        <w:rPr>
          <w:rFonts w:ascii="Times New Roman" w:cs="Times New Roman" w:eastAsia="Times New Roman" w:hAnsi="Times New Roman"/>
          <w:sz w:val="18"/>
          <w:szCs w:val="18"/>
          <w:color w:val="000000"/>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11.07 </w:t>
      </w:r>
      <w:r>
        <w:rPr>
          <w:rFonts w:ascii="Times New Roman" w:cs="Times New Roman" w:eastAsia="Times New Roman" w:hAnsi="Times New Roman"/>
          <w:sz w:val="18"/>
          <w:szCs w:val="18"/>
          <w:u w:val="single" w:color="auto"/>
          <w:color w:val="000000"/>
        </w:rPr>
        <w:t>Agents as Lenders</w:t>
      </w:r>
      <w:r>
        <w:rPr>
          <w:rFonts w:ascii="Times New Roman" w:cs="Times New Roman" w:eastAsia="Times New Roman" w:hAnsi="Times New Roman"/>
          <w:sz w:val="18"/>
          <w:szCs w:val="18"/>
          <w:color w:val="000000"/>
        </w:rPr>
        <w:t>. Each bank serving as an Agent hereunder shall have the same rights and powers in its capacity as a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any other Lender and may exercise the same as though it were not an Agent, and such bank and its Affiliates may accept deposits from, lend money to and generally engage in any kind of business with the Parent Guarantor, the Borrower or any of their Subsidiaries or other Affiliate thereof as if it were not an Agent hereunder.</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11.08</w:t>
      </w:r>
      <w:r>
        <w:rPr>
          <w:sz w:val="20"/>
          <w:szCs w:val="20"/>
          <w:color w:val="auto"/>
        </w:rPr>
        <w:tab/>
      </w:r>
      <w:r>
        <w:rPr>
          <w:rFonts w:ascii="Times New Roman" w:cs="Times New Roman" w:eastAsia="Times New Roman" w:hAnsi="Times New Roman"/>
          <w:sz w:val="17"/>
          <w:szCs w:val="17"/>
          <w:u w:val="single" w:color="auto"/>
          <w:color w:val="auto"/>
        </w:rPr>
        <w:t>No Reliance</w:t>
      </w:r>
      <w:r>
        <w:rPr>
          <w:rFonts w:ascii="Times New Roman" w:cs="Times New Roman" w:eastAsia="Times New Roman" w:hAnsi="Times New Roman"/>
          <w:sz w:val="17"/>
          <w:szCs w:val="17"/>
          <w:color w:val="auto"/>
        </w:rPr>
        <w:t>. Each Lender acknowledges and agrees that (a) this Agreement sets forth the terms of a commercial lending facility,</w:t>
      </w:r>
    </w:p>
    <w:p>
      <w:pPr>
        <w:spacing w:after="0" w:line="27" w:lineRule="exact"/>
        <w:rPr>
          <w:sz w:val="20"/>
          <w:szCs w:val="20"/>
          <w:color w:val="auto"/>
        </w:rPr>
      </w:pPr>
    </w:p>
    <w:p>
      <w:pPr>
        <w:jc w:val="both"/>
        <w:ind w:firstLine="8"/>
        <w:spacing w:after="0" w:line="250" w:lineRule="auto"/>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participating as a Lender, it is engaged in making, acquiring or holding commercial loans and in providing other facilities set forth herein as may be applicable to such Lender in the ordinary course of business, and not for the purpose of investing in the general performance or operations of the Parent Guarantor, the Borrower or their Subsidiaries, or for the purpose of purchasing, acquiring or holding any other type of financial instrument such as a security and each Lender agrees not to assert a claim in contravention of the foregoing, such as a claim under the federal or state securities law, (c) it has, independently and without reliance upon the Administrative Agent, any other Agent, any Arranger or any other Lender or any of the Related Parties of any of the foregoing, and based on such documents and information as it has deemed appropriate, made its own credit analysis and decision to enter into this Agreement and each other Loan Document to which it is a party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other Agent or any other Lender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 The Agents shall not be required to keep themselves informed as to the performance or observance by the Parent Guarantor, the Borrower or any of their Subsidiaries of this Agreement, the Loan Documents or any other document referred to or provided for herein or to inspect the Properties or books of the Parent Guarantor, the Borrower or any of their Subsidiaries. Except for notices, reports and other documents and information expressly required to be furnished to the Lenders by the Administrative Agent hereunder, none of the Agents nor any Arranger shall have any duty or responsibility to provide any Lender with any credit or other information concerning the affairs, financial condition or business of the Parent Guarantor or the Borrower (or any of their Affiliates) which may come into the possession of the Administrative Agent or any of its Affiliates. In this regard, each Lender acknowledges that Cravath, Swaine &amp; Moore LLP is acting in this transaction as special counsel to the Administrative Agent only, except to the extent otherwise expressly stated in any legal opinion or any Loan Document. Each other party hereto will consult with its own legal counsel to the extent that it deems necessary in connection with the Loan Documents and the matters contemplated therein.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11.09 </w:t>
      </w:r>
      <w:r>
        <w:rPr>
          <w:rFonts w:ascii="Times New Roman" w:cs="Times New Roman" w:eastAsia="Times New Roman" w:hAnsi="Times New Roman"/>
          <w:sz w:val="18"/>
          <w:szCs w:val="18"/>
          <w:u w:val="single" w:color="auto"/>
          <w:color w:val="000000"/>
        </w:rPr>
        <w:t>Administrative Agent May File Proofs of Claim</w:t>
      </w:r>
      <w:r>
        <w:rPr>
          <w:rFonts w:ascii="Times New Roman" w:cs="Times New Roman" w:eastAsia="Times New Roman" w:hAnsi="Times New Roman"/>
          <w:sz w:val="18"/>
          <w:szCs w:val="18"/>
          <w:color w:val="000000"/>
        </w:rPr>
        <w:t>. In case of the pendency of any receivership, insolvency, liquidation,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bankruptcy, reorganization, arrangement, adjustment, composition or other judicial proceeding relative to the Parent Guarantor, the Borrower or any of their Subsidiaries,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3" w:lineRule="exact"/>
        <w:rPr>
          <w:sz w:val="20"/>
          <w:szCs w:val="20"/>
          <w:color w:val="auto"/>
        </w:rPr>
      </w:pPr>
    </w:p>
    <w:p>
      <w:pPr>
        <w:jc w:val="both"/>
        <w:ind w:firstLine="1304"/>
        <w:spacing w:after="0" w:line="258" w:lineRule="auto"/>
        <w:tabs>
          <w:tab w:leader="none" w:pos="1944"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11.10 </w:t>
      </w:r>
      <w:r>
        <w:rPr>
          <w:rFonts w:ascii="Times New Roman" w:cs="Times New Roman" w:eastAsia="Times New Roman" w:hAnsi="Times New Roman"/>
          <w:sz w:val="18"/>
          <w:szCs w:val="18"/>
          <w:u w:val="single" w:color="auto"/>
          <w:color w:val="000000"/>
        </w:rPr>
        <w:t>Authority of Administrative Agent to Release Guarantors</w:t>
      </w:r>
      <w:r>
        <w:rPr>
          <w:rFonts w:ascii="Times New Roman" w:cs="Times New Roman" w:eastAsia="Times New Roman" w:hAnsi="Times New Roman"/>
          <w:sz w:val="18"/>
          <w:szCs w:val="18"/>
          <w:color w:val="000000"/>
        </w:rPr>
        <w:t>. Each Lender hereby authorizes the Administrative Agent to, and upon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request of the Borrower, the Administrative Agent, at the Borrower’s expense, shall, release any Guarantor from the Guaranty Agreement pursuant to the terms hereof or thereof. Each Lender hereby authorizes the Administrative Agent to execute and deliver to the Borrower, at the Borrower’s sole cost and expense, any and all releases of guarantees or other documents reasonably requested by the Borrower in connection with (A) the events described in the preceding sentence and (B) any designation of a Restricted Subsidiary as an Unrestricted Subsidiary in compliance with </w:t>
      </w:r>
      <w:r>
        <w:rPr>
          <w:rFonts w:ascii="Times New Roman" w:cs="Times New Roman" w:eastAsia="Times New Roman" w:hAnsi="Times New Roman"/>
          <w:sz w:val="18"/>
          <w:szCs w:val="18"/>
          <w:u w:val="single" w:color="auto"/>
          <w:color w:val="000000"/>
        </w:rPr>
        <w:t>Section 9.06</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11.11 </w:t>
      </w:r>
      <w:r>
        <w:rPr>
          <w:rFonts w:ascii="Times New Roman" w:cs="Times New Roman" w:eastAsia="Times New Roman" w:hAnsi="Times New Roman"/>
          <w:sz w:val="18"/>
          <w:szCs w:val="18"/>
          <w:u w:val="single" w:color="auto"/>
          <w:color w:val="000000"/>
        </w:rPr>
        <w:t>The Arrangers and the Syndication Agents</w:t>
      </w:r>
      <w:r>
        <w:rPr>
          <w:rFonts w:ascii="Times New Roman" w:cs="Times New Roman" w:eastAsia="Times New Roman" w:hAnsi="Times New Roman"/>
          <w:sz w:val="18"/>
          <w:szCs w:val="18"/>
          <w:color w:val="000000"/>
        </w:rPr>
        <w:t>. The Arrangers and the Syndication Agents shall have no duties, responsibilities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liabilities under this Agreement and the other Loan Documents other than their duties, responsibilities and liabilities in their respective capacities as Lenders hereunder.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11.12</w:t>
      </w:r>
      <w:r>
        <w:rPr>
          <w:sz w:val="20"/>
          <w:szCs w:val="20"/>
          <w:color w:val="auto"/>
        </w:rPr>
        <w:tab/>
      </w:r>
      <w:r>
        <w:rPr>
          <w:rFonts w:ascii="Times New Roman" w:cs="Times New Roman" w:eastAsia="Times New Roman" w:hAnsi="Times New Roman"/>
          <w:sz w:val="17"/>
          <w:szCs w:val="17"/>
          <w:u w:val="single" w:color="auto"/>
          <w:color w:val="auto"/>
        </w:rPr>
        <w:t>Erroneous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44"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Administrative Agent (x) notifies a Lender or any Person who has received funds on behalf of a Lender (any such Lender or other recipient (but excluding the Parent Guarantor and its Subsidiaries),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1304"/>
        <w:spacing w:after="0" w:line="255" w:lineRule="auto"/>
        <w:tabs>
          <w:tab w:leader="none" w:pos="1944"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or any Person who has received funds on behalf of a Lender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88"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92"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it acknowledges and agrees that (A)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5" w:lineRule="exact"/>
        <w:rPr>
          <w:rFonts w:ascii="Times New Roman" w:cs="Times New Roman" w:eastAsia="Times New Roman" w:hAnsi="Times New Roman"/>
          <w:sz w:val="18"/>
          <w:szCs w:val="18"/>
          <w:color w:val="010000"/>
        </w:rPr>
      </w:pPr>
    </w:p>
    <w:p>
      <w:pPr>
        <w:jc w:val="both"/>
        <w:ind w:firstLine="1952"/>
        <w:spacing w:after="0" w:line="261" w:lineRule="auto"/>
        <w:tabs>
          <w:tab w:leader="none" w:pos="2592"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such Lender shall use commercially reasonable efforts to (and shall use commercially reasonable efforts to cause any other recipient that receives funds on its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11.12(b)</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11.12(b)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xml:space="preserve"> or on whether or not an Erroneous Payment has been made.</w:t>
      </w:r>
    </w:p>
    <w:p>
      <w:pPr>
        <w:spacing w:after="0" w:line="162" w:lineRule="exact"/>
        <w:rPr>
          <w:sz w:val="20"/>
          <w:szCs w:val="20"/>
          <w:color w:val="auto"/>
        </w:rPr>
      </w:pPr>
    </w:p>
    <w:p>
      <w:pPr>
        <w:jc w:val="both"/>
        <w:ind w:firstLine="1304"/>
        <w:spacing w:after="0" w:line="261" w:lineRule="auto"/>
        <w:tabs>
          <w:tab w:leader="none" w:pos="1944"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944"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In the event that an Erroneous Payment (or portion thereof) is not recovered by the Administrative Agent for any reason, after demand therefor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firstLine="1952"/>
        <w:spacing w:after="0" w:line="254" w:lineRule="auto"/>
        <w:tabs>
          <w:tab w:leader="none" w:pos="25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Indebtedness under the Loan Documents in respect of the Erroneous Payment Subrogation Rights shall not be duplicative of such Indebtedness in respect of Loans that have been assigned to the Administrative Agent under an Erroneous Payment Deficiency Assignment) and (y) an Erroneous Payment shall not pay, prepay, repay, discharge or otherwise satisfy any Indebtedness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Indebtedness of the Loan Parties relative to the amount (and/or timing for payment) of the Indebtedness that would have been payable had such Erroneous Payment not been made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the avoidance of doubt,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both"/>
        <w:ind w:firstLine="1304"/>
        <w:spacing w:after="0" w:line="261" w:lineRule="auto"/>
        <w:tabs>
          <w:tab w:leader="none" w:pos="1944"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the termination of the Commitments and/or the repayment, satisfaction or discharge of all Indebtedness (or any portion thereof) under any Loan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12.01</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44"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 all notices and other communications provided for herein shall be in writing and shall be delivered by hand or overnight courier service, mailed by certified or registered mail or sent by telecopy, as follows:</w:t>
      </w:r>
    </w:p>
    <w:p>
      <w:pPr>
        <w:spacing w:after="0" w:line="17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the Borrower, to it at:</w:t>
      </w:r>
    </w:p>
    <w:p>
      <w:pPr>
        <w:spacing w:after="0" w:line="225" w:lineRule="exact"/>
        <w:rPr>
          <w:rFonts w:ascii="Times New Roman" w:cs="Times New Roman" w:eastAsia="Times New Roman" w:hAnsi="Times New Roman"/>
          <w:sz w:val="18"/>
          <w:szCs w:val="18"/>
          <w:color w:val="010000"/>
        </w:rPr>
      </w:pPr>
    </w:p>
    <w:p>
      <w:pPr>
        <w:ind w:left="26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Diamondback E&amp;P LLC</w:t>
      </w:r>
    </w:p>
    <w:p>
      <w:pPr>
        <w:spacing w:after="0" w:line="27" w:lineRule="exact"/>
        <w:rPr>
          <w:rFonts w:ascii="Times New Roman" w:cs="Times New Roman" w:eastAsia="Times New Roman" w:hAnsi="Times New Roman"/>
          <w:sz w:val="18"/>
          <w:szCs w:val="18"/>
          <w:color w:val="010000"/>
        </w:rPr>
      </w:pPr>
    </w:p>
    <w:p>
      <w:pPr>
        <w:ind w:left="2600" w:right="6260"/>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500 West Texas Ave., Suite 1200 Midland, Texas 79701 Attention: Kaes Van’t Hof, CFO Telecopy: 432-245-6007</w:t>
      </w:r>
    </w:p>
    <w:p>
      <w:pPr>
        <w:spacing w:after="0" w:line="1" w:lineRule="exact"/>
        <w:rPr>
          <w:rFonts w:ascii="Times New Roman" w:cs="Times New Roman" w:eastAsia="Times New Roman" w:hAnsi="Times New Roman"/>
          <w:sz w:val="18"/>
          <w:szCs w:val="18"/>
          <w:color w:val="010000"/>
        </w:rPr>
      </w:pPr>
    </w:p>
    <w:p>
      <w:pPr>
        <w:ind w:left="26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email: kvanthof@diamondbackenergy.com</w:t>
      </w:r>
    </w:p>
    <w:p>
      <w:pPr>
        <w:spacing w:after="0" w:line="206"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the Administrative Agent to it at:</w:t>
      </w:r>
    </w:p>
    <w:p>
      <w:pPr>
        <w:spacing w:after="0" w:line="225" w:lineRule="exact"/>
        <w:rPr>
          <w:rFonts w:ascii="Times New Roman" w:cs="Times New Roman" w:eastAsia="Times New Roman" w:hAnsi="Times New Roman"/>
          <w:sz w:val="18"/>
          <w:szCs w:val="18"/>
          <w:color w:val="010000"/>
        </w:rPr>
      </w:pPr>
    </w:p>
    <w:p>
      <w:pPr>
        <w:ind w:left="2600" w:right="7280"/>
        <w:spacing w:after="0" w:line="259"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Notices: Citibank, N.A. Citibank Delaware 1 Penns Way OPS 2</w:t>
      </w:r>
    </w:p>
    <w:p>
      <w:pPr>
        <w:spacing w:after="0" w:line="204" w:lineRule="exact"/>
        <w:rPr>
          <w:rFonts w:ascii="Times New Roman" w:cs="Times New Roman" w:eastAsia="Times New Roman" w:hAnsi="Times New Roman"/>
          <w:sz w:val="18"/>
          <w:szCs w:val="18"/>
          <w:color w:val="010000"/>
        </w:rPr>
      </w:pPr>
    </w:p>
    <w:p>
      <w:pPr>
        <w:ind w:left="2600" w:right="6420"/>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Castle, DE 19720 Attention: Agency Operations Telephone: 302-894-6010</w:t>
      </w:r>
    </w:p>
    <w:p>
      <w:pPr>
        <w:spacing w:after="0" w:line="1" w:lineRule="exact"/>
        <w:rPr>
          <w:rFonts w:ascii="Times New Roman" w:cs="Times New Roman" w:eastAsia="Times New Roman" w:hAnsi="Times New Roman"/>
          <w:sz w:val="18"/>
          <w:szCs w:val="18"/>
          <w:color w:val="010000"/>
        </w:rPr>
      </w:pPr>
    </w:p>
    <w:p>
      <w:pPr>
        <w:ind w:left="2600" w:right="6000"/>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e-mail: agencyabtfsupport@citi.com Disclosures:</w:t>
      </w:r>
    </w:p>
    <w:p>
      <w:pPr>
        <w:ind w:left="2600" w:right="5400"/>
        <w:spacing w:after="0" w:line="26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Disclosure Team Mail (Financial Reporting): oploanswebadmin@citi.com</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left="2600" w:hanging="648"/>
        <w:spacing w:after="0"/>
        <w:tabs>
          <w:tab w:leader="none" w:pos="2600" w:val="left"/>
        </w:tabs>
        <w:numPr>
          <w:ilvl w:val="1"/>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any other Lender, to it at its address (or telecopy number) set forth in its Administrative Questionnaire.</w:t>
      </w:r>
    </w:p>
    <w:p>
      <w:pPr>
        <w:spacing w:after="0" w:line="22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(including internet and intranet websites and the Platform)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party hereto may change its address, email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44"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 xml:space="preserve">No failure on the part of the Administrative Agent, any other Agent or any Lender to exercise and no delay in exercising, and no course of dealing with respect to, any right, power or privilege, or any abandonment or discontinuance of steps to enforce such right, power or privilege, under any of the Loan Documents shall operate as a waiver thereof, nor shall any single or partial exercise of any right, power or privilege under any of the Loan Documents preclude any other or further exercise thereof or the exercise of any other right, power or privilege. The rights and remedies of the Administrative Agent, each other Agent and the Lenders hereunder and under the other Loan Documents are cumulative and are not exclusive of any rights or remedies that they would otherwise have. No waiver of any provision of this Agreement or any other Loan Document or consent to any departure by the Parent Guarantor, the Borrower or any of the Restricted Subsidiaries therefrom shall in any event be effective unless the same shall be permitted by </w:t>
      </w:r>
      <w:r>
        <w:rPr>
          <w:rFonts w:ascii="Times New Roman" w:cs="Times New Roman" w:eastAsia="Times New Roman" w:hAnsi="Times New Roman"/>
          <w:sz w:val="18"/>
          <w:szCs w:val="18"/>
          <w:u w:val="single" w:color="auto"/>
          <w:color w:val="010000"/>
        </w:rPr>
        <w:t>Section 12.02(b)</w:t>
      </w:r>
      <w:r>
        <w:rPr>
          <w:rFonts w:ascii="Times New Roman" w:cs="Times New Roman" w:eastAsia="Times New Roman" w:hAnsi="Times New Roman"/>
          <w:sz w:val="18"/>
          <w:szCs w:val="18"/>
          <w:color w:val="010000"/>
        </w:rPr>
        <w:t>,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other Agent or any Lender may have had notice or knowledge of such Default at the time.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ind w:firstLine="1304"/>
        <w:spacing w:after="0" w:line="251" w:lineRule="auto"/>
        <w:tabs>
          <w:tab w:leader="none" w:pos="1944"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with respect to the implementation of a Benchmark Replacement, neither this Agreement nor any provision hereof nor the Guaranty Agreement nor any provision thereof may be waived, amended or modified except pursuant to an agreement or agreements in writing entered into by the Parent Guarantor, the Borrower and the Majority Lenders or by the Parent Guarantor, the Borrower and the Administrative Agent with the consent of the Majority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or extend the Commitment of any Lender without the written consent of such Lender, (ii) reduce the principal amount of any Loan or reduce the rate of interest thereon, or reduce any fees payable hereunder, without the written consent of each Lender affected thereby, (iii) (A) postpone the scheduled date of payment or prepayment of the principal amount of any Loan, or any interest thereon, or any fees payable hereunder, or reduce the amount of, waive or excuse any such payment or postpone or extend the Termination Date or any Maturity Date or (B) change Section 2.01, Section 2.06(b) or Section 3.04(b) in a manner that would alter the requirement that Loans be borrowed, Commitments be reduced or terminated and prepayments be applied ratably as between the Classes of Commitments, in each case under this clause (iii) without the written consent of each Lender affected thereby, (iv) (A) change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in a manner that would alter the pro rata reduction of the total Commitments or pro rata sharing of payments, as applicable, required thereby, (B) subordinate any of the Indebtedness owed to the Lenders in right of payment to any other Debt or otherwise adversely affect the priority of payment of any of such Indebtedness in any material respect or (C) if at any time the Indebtedness owed to the Lenders under the Loan Documents is secured by Liens, subordinate any such Liens (excluding any Liens that the Administrative Agent is authorized to release or subordinate pursuant to the express terms of the Loan Documents) to Liens securing any other Debt, in each case under this clause (iv) without the written consent of each Lender; (v) waive or amend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without the written consent of each Lender; (vi) release the Parent Guarantor without the written consent of each Lender (provided, however, that for the avoidance of doubt, the release of any Guarantor (other than the Parent Guarantor) pursuant to the definition of “Guarantor” shall not require notice to, or vote or consent of, any Lender, Lender Swap Party, Cash Management Provider, or any other holder of Indebtedness), (vii) change any of the provisions of this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 xml:space="preserve"> or the definitions of “Majority Lenders” or any other provision hereof specifying the number or percentage of Lenders (or Lenders of any Class) required to waive, amend or modify any rights hereunder or under any other Loan Documents or make any determination or grant any consent hereunder or any other Loan Documents, without the written consent of each Lender (or each Lender of such Class, as the case may be), (viii) amend or extend the “Certain Funds Period” without the consent of each Lender or (ix) change any provisions of this Agreement in a manner that affects the rights or duties of the Lenders of any Class differently than such rights of the Lenders of any other Class, or involves the termination or reduction of the Commitments of the Lenders of one Class but not the other, without the written consent of Lenders representing a Majority in Interest of the differently affected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or any other Agent hereunder or under any other Loan Document without the prior written consent of the Administrative Agent or such other Agent, as the case may be. Notwithstanding the foregoing, (I) joinders and modifications contemplated by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require the consent of any Person other than the Borrower and the Administrative Agent, (II) no Defaulting Lender shall have any right to approve or disapprove any amendment, waiver or consent hereunder, except that the Commitment of such Lender may not be increased or extended or amounts owed to such Lender reduced, or the final maturity thereof extended without the consent of such Lender, and any amendment to further restrict the voting rights of Defaulting Lenders shall require the consent of all Lenders, (III) any amendment, waiver or other modification of this Agreement that by its terms affects the rights and duties under this Agreement of Lenders of one Class (but not the Lenders of the other Class) may be effected by an agreement or agreements in writing entered into by the Borrower, the Administrative Agent and the requisite number or percentage in interest of Lenders of the affected Class that would be required to consent thereto under Section 12.02(b) if such Class of Lenders were the only Class of Lenders hereunder at the time (and no consent of any other Lender shall be required) and (IV) any provision of this Agreement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written notice from the Majority Lenders stating that the Majority Lenders object to such amendment.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44"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pay, whether or not the Funding Date occurs, (i) all reasonable and documented out-of-pocket expenses incurred by the Administrative Agent and its Affiliates, including, without limitation, the reasonable fees, charges and disbursements of counsel (in the case of fees, disbursements and other charges of counsel, limited to the reasonable and documented fees, disbursements and other charges of one counsel to the Administrative Agent and, if reasonably necessary, of one local counsel in any relevant jurisdiction) and other outside consultants for the Administrative Agent, the reasonable travel, photocopy, mailing, courier, telephone and other similar expenses, in connection with the syndication of the credit facilities provided for herein, the preparation, negotiation, execution, delivery and administration (both before and after the execution hereof and including advice of counsel to the Administrative Agent as to the rights and duties of the Administrative Agent and the Lenders with respect thereto) of this Agreement and the other Loan Documents and any amendments, modifications or waivers of or consents related to the provisions hereof or thereof (whether or not the transactions contemplated hereby or thereby shall be consummated) and (ii) all reasonable and documented out-of-pocket expenses incurred by any Agent or any Lender, including the fees, charges and disbursements of any counsel for any Agent or any Lender, in connection with the enforcement or protection of its rights in connection with this Agreement or any other Loan Document, including its rights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or in connection with the Loans made hereunder, including, without limitation, all such out-of-pocket expenses incurred during any workout, restructuring or negotiations in respect of such Loans.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1304"/>
        <w:spacing w:after="0" w:line="267" w:lineRule="auto"/>
        <w:tabs>
          <w:tab w:leader="none" w:pos="1944" w:val="left"/>
        </w:tabs>
        <w:numPr>
          <w:ilvl w:val="1"/>
          <w:numId w:val="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BORROWER SHALL INDEMNIFY EACH AGENT, THE ARRANGER AND EACH LENDER,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DEFEND AND HOLD EACH INDEMNITEE HARMLESS FROM, ANY AND ALL LOSSES, CLAIMS, DAMAGES, LIABILITIES AND RELATED EXPENSES, INCLUDING THE REASONABLE FEES, CHARGES AND DISBURSEMENTS OF ANY COUNSEL FOR ANY INDEMNITEE (IN THE CASE OF FEES, DISBURSEMENTS AND CHARGES OF COUNSEL, LIMITED TO THE REASONABLE AND DOCUMENTED FEES, DISBURSEMENTS AND OTHER CHARGES OF ONE COUNSEL TO ALL INDEMNITEES, TAKEN TOGETHER (AND, IF REASONABLY NECESSARY, ONE LOCAL COUNSEL IN ANY RELEVANT JURISDICTION AND, SOLELY IN THE CASE OF AN ACTUAL OR POTENTIAL CONFLICT OF INTEREST, OF ONE ADDITIONAL COUNSEL (AND, IF REASONABLY NECESSARY, ONE ADDITIONAL LOCAL COUNSEL IN ANY RELEVANT JURISDICTION) FOR ALL AFFECTED INDEMNITEES TAKEN TOGETHER)), INCURRED BY OR ASSERTED AGAINST ANY INDEMNITEE ARISING OUT OF, IN CONNECTION WITH, OR AS A RESULT OF (i) THE EXECUTION OR DELIVERY OF THIS AGREEMENT OR ANY OTHER LOAN DOCUMENT OR ANY AGREEMENT OR INSTRUMENT CONTEMPLATED HEREBY OR THEREBY, THE PERFORMANCE BY THE PARTIES HERETO OR THE PARTIES TO ANY OTHER LOAN DOCUMENT OF THEIR RESPECTIVE OBLIGATIONS HEREUNDER OR THEREUNDER OR THE CONSUMMATION OF THE TRANSACTIONS CONTEMPLATED HEREBY OR BY ANY OTHER LOAN DOCUMENT, (ii) THE FAILURE OF THE PARENT GUARANTOR, THE BORROWER OR ANY OF THE RESTRICTED SUBSIDIARIES TO COMPLY WITH THE TERMS OF ANY LOAN DOCUMENT, INCLUDING THIS AGREEMENT, OR WITH ANY GOVERNMENTAL REQUIREMENT, (iii) ANY INACCURACY OF ANY REPRESENTATION OR ANY BREACH OF ANY WARRANTY OR COVENANT OF THE PARENT GUARANTOR, THE BORROWER OR ANY OTHER GUARANTOR SET FORTH IN ANY OF THE LOAN DOCUMENTS OR ANY INSTRUMENTS, DOCUMENTS OR CERTIFICATIONS DELIVERED IN CONNECTION THEREWITH, (iv) ANY LOAN OR THE USE OF THE PROCEEDS THEREFROM, (v) ANY OTHER ASPECT OF THE LOAN DOCUMENTS, (vi) THE OPERATIONS OF THE BUSINESS OF THE PARENT GUARANTOR, THE BORROWER AND THE RESTRICTED SUBSIDIARIES BY THE PARENT GUARANTOR, THE BORROWER AND THE RESTRICTED SUBSIDIARIES, (vii) THE TRANSACTIONS, (viii) VIOLATION OF ANY ENVIRONMENTAL LAW APPLICABLE TO THE PARENT GUARANTOR, THE BORROWER OR ANY RESTRICTED SUBSIDIARY OR ANY OF THEIR PROPERTIES OR OPERATIONS, INCLUDING THE PRESENCE, GENERATION, STORAGE, RELEASE, THREATENED RELEASE, USE, TRANSPORT, DISPOSAL, ARRANGEMENT OF DISPOSAL OR TREATMENT OF HAZARDOUS MATERIALS ON OR AT ANY OF THEIR PROPERTIES, (ix) [RESERVED],</w:t>
      </w:r>
    </w:p>
    <w:p>
      <w:pPr>
        <w:spacing w:after="0" w:line="200" w:lineRule="exact"/>
        <w:rPr>
          <w:rFonts w:ascii="Times New Roman" w:cs="Times New Roman" w:eastAsia="Times New Roman" w:hAnsi="Times New Roman"/>
          <w:sz w:val="17"/>
          <w:szCs w:val="17"/>
          <w:color w:val="010000"/>
        </w:rPr>
      </w:pPr>
    </w:p>
    <w:p>
      <w:pPr>
        <w:jc w:val="both"/>
        <w:ind w:firstLine="8"/>
        <w:spacing w:after="0" w:line="265" w:lineRule="auto"/>
        <w:tabs>
          <w:tab w:leader="none" w:pos="30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[RESERVED], (xi) THE PRESENCE, USE, RELEASE, STORAGE, TREATMENT, DISPOSAL, GENERATION, THREATENED RELEASE, TRANSPORT, ARRANGEMENT FOR TRANSPORT OR ARRANGEMENT FOR DISPOSAL HAZARDOUS MATERIALS ON OR AT ANY OF THE PROPERTIES OWNED OR OPERATED BY THE PARENT GUARANTOR, THE BORROWER OR ANY RESTRICTED SUBSIDIARY OR ANY ACTUAL OR ALLEGED PRESENCE OR RELEASE OF HAZARDOUS MATERIALS ON OR FROM ANY PROPERTY OWNED OR OPERATED BY THE PARENT GUARANTOR, THE BORROWER OR ANY RESTRICTED SUBSIDIARY, (xii) ANY ENVIRONMENTAL LIABILITY RELATED IN ANY WAY TO THE PARENT GUARANTOR, THE BORROWER OR ANY RESTRICTED SUBSIDIARY, OR (xiii) [RESERVED], OR (xiv) ANY ACTUAL OR PROSPECTIVE CLAIM, LITIGATION, INVESTIGATION OR PROCEEDING RELATING TO ANY OF THE FOREGOING, WHETHER BASED ON CONTRACT, TORT OR ANY OTHER THEORY AND REGARDLESS OF WHETHER ANY INDEMNITEE IS A PARTY THERETO, AND SUCH INDEMNITY SHALL EXTEND TO EACH INDEMNITEE NOTWITHSTANDING THE SOLE OR CONCURRENT NEGLIGENCE OF EVERY KIND OR CHARACTER WHATSOEVER, WHETHER ACTIVE OR PASSIVE, WHETHER AN AFFIRMATIVE ACT OR AN OMISSION, INCLUDING WITHOUT LIMITATION, ALL TYPES OF NEGLIGENT CONDUCT IDENTIFIED IN THE RESTATEMENT (SECOND) OF TORTS OF ONE OR MORE OF THE INDEMNITEES OR BY REASON OF STRICT LIABILITY IMPOSED WITHOUT FAULT ON ANY ONE OR MORE OF THE INDEMNITEES;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(i) BAD FAITH, GROSS NEGLIGENCE OR WILLFUL MISCONDUCT OF SUCH INDEMNITEE OR ANY OF ITS RELATED PARTIES, (ii) THE MATERIAL BREACH BY SUCH INDEMNITEE OR ANY OF ITS RELATED PARTIES OF ITS OBLIGATIONS UNDER THE LOAN DOCUMENTS OR</w:t>
      </w:r>
    </w:p>
    <w:p>
      <w:pPr>
        <w:spacing w:after="0" w:line="2" w:lineRule="exact"/>
        <w:rPr>
          <w:rFonts w:ascii="Times New Roman" w:cs="Times New Roman" w:eastAsia="Times New Roman" w:hAnsi="Times New Roman"/>
          <w:sz w:val="17"/>
          <w:szCs w:val="17"/>
          <w:color w:val="auto"/>
        </w:rPr>
      </w:pPr>
    </w:p>
    <w:p>
      <w:pPr>
        <w:jc w:val="both"/>
        <w:ind w:firstLine="8"/>
        <w:spacing w:after="0" w:line="251" w:lineRule="auto"/>
        <w:tabs>
          <w:tab w:leader="none" w:pos="3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SOLELY AMONG INDEMNITEES (NOT ARISING AS A RESULT OF ANY ACT OR OMISSION BY THE PARENT GUARANTOR, THE BORROWER OR ANY OF THEIR SUBSIDIARIES) OTHER THAN CLAIMS AGAINST AN INDEMNITEE IN ITS CAPACITY OR AS A RESULT OF FULFILLING ITS ROLE AS AN AGENT, BOOKRUNNER, ARRANGER OR ANY OTHER SIMILAR ROLE HEREUNDER. IN THE CASE OF AN INVESTIGATION, LITIGATION OR PROCEEDING TO WHICH THE INDEMNITY IN THIS PARAGRAPH APPLIES, SUCH INDEMNITY SHALL BE EFFECTIVE WHETHER OR NOT SUCH INVESTIGATION, LITIGATION OR PROCEEDING IS BROUGHT BY THE PARENT GUARANTOR OR THE BORROWER OR THEIR RESPECTIVE EQUITYHOLDERS OR CREDITORS, ENDEAVOR, ITS SUBSIDIARIES OR ANY OTHER THIRD PARTY OR AN INDEMNITEE, WHETHER OR NOT AN INDEMNITEE IS OTHERWISE A PARTY THERETO AND WHETHER OR NOT THE TRANSACTIONS ARE CONSUMMATED.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left="-20" w:firstLine="1304"/>
        <w:spacing w:after="0" w:line="259" w:lineRule="auto"/>
        <w:tabs>
          <w:tab w:leader="none" w:pos="1924"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the extent that the Borrower fails to pay any amount required to be paid by it to any Agent or any Arranger under </w:t>
      </w:r>
      <w:r>
        <w:rPr>
          <w:rFonts w:ascii="Times New Roman" w:cs="Times New Roman" w:eastAsia="Times New Roman" w:hAnsi="Times New Roman"/>
          <w:sz w:val="18"/>
          <w:szCs w:val="18"/>
          <w:u w:val="single" w:color="auto"/>
          <w:color w:val="auto"/>
        </w:rPr>
        <w:t>Section 12.03(a)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each Lender severally agrees to pay to such Agent or Arranger, as the case may be, such Lender’s ratable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such Agent or Arranger in its capacity as such.</w:t>
      </w:r>
    </w:p>
    <w:p>
      <w:pPr>
        <w:spacing w:after="0" w:line="200" w:lineRule="exact"/>
        <w:rPr>
          <w:rFonts w:ascii="Times New Roman" w:cs="Times New Roman" w:eastAsia="Times New Roman" w:hAnsi="Times New Roman"/>
          <w:sz w:val="18"/>
          <w:szCs w:val="18"/>
          <w:color w:val="010000"/>
        </w:rPr>
      </w:pPr>
    </w:p>
    <w:p>
      <w:pPr>
        <w:spacing w:after="0" w:line="202" w:lineRule="exact"/>
        <w:rPr>
          <w:rFonts w:ascii="Times New Roman" w:cs="Times New Roman" w:eastAsia="Times New Roman" w:hAnsi="Times New Roman"/>
          <w:sz w:val="18"/>
          <w:szCs w:val="18"/>
          <w:color w:val="010000"/>
        </w:rPr>
      </w:pPr>
    </w:p>
    <w:p>
      <w:pPr>
        <w:jc w:val="both"/>
        <w:ind w:left="-20" w:firstLine="1304"/>
        <w:spacing w:after="0" w:line="258" w:lineRule="auto"/>
        <w:tabs>
          <w:tab w:leader="none" w:pos="1924"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permitted by applicable law, each of the Borrower, the Parent Guarantor and their Subsidiaries shall not assert, and hereby waives, any claim against the Administrative Agent, any other Agent, any Arranger and any Lender, and any Related Party of any of the foregoing Persons, on any theory of liability (whether direct or indirect, in contract or tort or otherwise),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w:t>
      </w:r>
    </w:p>
    <w:p>
      <w:pPr>
        <w:spacing w:after="0" w:line="183" w:lineRule="exact"/>
        <w:rPr>
          <w:rFonts w:ascii="Times New Roman" w:cs="Times New Roman" w:eastAsia="Times New Roman" w:hAnsi="Times New Roman"/>
          <w:sz w:val="18"/>
          <w:szCs w:val="18"/>
          <w:color w:val="010000"/>
        </w:rPr>
      </w:pPr>
    </w:p>
    <w:p>
      <w:pPr>
        <w:ind w:left="1940" w:hanging="656"/>
        <w:spacing w:after="0"/>
        <w:tabs>
          <w:tab w:leader="none" w:pos="194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payable not later than three days after written demand therefor.</w:t>
      </w:r>
    </w:p>
    <w:p>
      <w:pPr>
        <w:spacing w:after="0" w:line="225" w:lineRule="exact"/>
        <w:rPr>
          <w:rFonts w:ascii="Times New Roman" w:cs="Times New Roman" w:eastAsia="Times New Roman" w:hAnsi="Times New Roman"/>
          <w:sz w:val="18"/>
          <w:szCs w:val="18"/>
          <w:color w:val="010000"/>
        </w:rPr>
      </w:pPr>
    </w:p>
    <w:p>
      <w:pPr>
        <w:jc w:val="both"/>
        <w:ind w:left="-20" w:firstLine="1304"/>
        <w:spacing w:after="0" w:line="266" w:lineRule="auto"/>
        <w:tabs>
          <w:tab w:leader="none" w:pos="1924"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hereby acknowledges that notices, materials and/or information to the Lenders provided by or on behalf of the Borrower hereunder (collectively, the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may be delivered by electronic communication, including by e-mail or by posting the Borrower Materials on IntraLinks/IntraAgency, SyndTrak, Debt Domain or another website or other information platform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93" w:name="page94"/>
    <w:bookmarkEnd w:id="93"/>
    <w:p>
      <w:pPr>
        <w:jc w:val="both"/>
        <w:ind w:firstLine="1304"/>
        <w:spacing w:after="0" w:line="252" w:lineRule="auto"/>
        <w:tabs>
          <w:tab w:leader="none" w:pos="1944"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the Borrower, any Lender or any other Person for liabilities or expenses of any kind (whether in tort, contract or otherwise) arising out of the Borrower’s or the Administrative Agent’s transmission of the Borrower Materials through the internet, except to the extent that such Liabilities or expenses are determined by a court of competent jurisdiction by a final and nonappealable judgment to have resulted from the negligence or willful misconduct of such Agent Party or breach of its material obligations under any Loan Document by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the Borrower, any Lender or any other Person for indirect, special, incidental, consequential or punitive damages (as opposed to direct or actual damages). Each Lender agrees that the Administrative Agent or the Arrangers may, but shall not be obligated to, store any Borrower Materials on the Platform in accordance with its customary document retention procedures and policies.</w:t>
      </w:r>
    </w:p>
    <w:p>
      <w:pPr>
        <w:spacing w:after="0" w:line="19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12.04</w:t>
      </w:r>
      <w:r>
        <w:rPr>
          <w:sz w:val="20"/>
          <w:szCs w:val="20"/>
          <w:color w:val="auto"/>
        </w:rPr>
        <w:tab/>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44"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except that, other than in connection with a transaction permitted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(i) the Parent Guarantor and the Borrower may not assign or otherwise transfer any of their rights or obligations hereunder without the prior written consent of each Lender, such consent not to be unreasonably withheld (and any attempted assignment or transfer by the Parent Guarantor or the Borrower in violation of this </w:t>
      </w:r>
      <w:r>
        <w:rPr>
          <w:rFonts w:ascii="Times New Roman" w:cs="Times New Roman" w:eastAsia="Times New Roman" w:hAnsi="Times New Roman"/>
          <w:sz w:val="18"/>
          <w:szCs w:val="18"/>
          <w:u w:val="single" w:color="auto"/>
          <w:color w:val="auto"/>
        </w:rPr>
        <w:t>Section 12.04(a)(i)</w:t>
      </w:r>
      <w:r>
        <w:rPr>
          <w:rFonts w:ascii="Times New Roman" w:cs="Times New Roman" w:eastAsia="Times New Roman" w:hAnsi="Times New Roman"/>
          <w:sz w:val="18"/>
          <w:szCs w:val="18"/>
          <w:color w:val="auto"/>
        </w:rPr>
        <w:t xml:space="preserve"> shall be null and void) and (ii)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and, to the extent expressly contemplated hereby, the Related Parties of each of the Administrative Agent and the Lenders) any legal or equitable right, remedy or claim under or by reason of this Agreement.</w:t>
      </w:r>
    </w:p>
    <w:p>
      <w:pPr>
        <w:spacing w:after="0" w:line="200" w:lineRule="exact"/>
        <w:rPr>
          <w:rFonts w:ascii="Times New Roman" w:cs="Times New Roman" w:eastAsia="Times New Roman" w:hAnsi="Times New Roman"/>
          <w:sz w:val="18"/>
          <w:szCs w:val="18"/>
          <w:color w:val="010000"/>
        </w:rPr>
      </w:pPr>
    </w:p>
    <w:p>
      <w:pPr>
        <w:spacing w:after="0" w:line="20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Subject to the conditions set forth in </w:t>
      </w:r>
      <w:r>
        <w:rPr>
          <w:rFonts w:ascii="Times New Roman" w:cs="Times New Roman" w:eastAsia="Times New Roman" w:hAnsi="Times New Roman"/>
          <w:sz w:val="18"/>
          <w:szCs w:val="18"/>
          <w:u w:val="single" w:color="auto"/>
          <w:color w:val="auto"/>
        </w:rPr>
        <w:t>Section 12.04(b)(ii)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12.04(f)</w:t>
      </w:r>
      <w:r>
        <w:rPr>
          <w:rFonts w:ascii="Times New Roman" w:cs="Times New Roman" w:eastAsia="Times New Roman" w:hAnsi="Times New Roman"/>
          <w:sz w:val="18"/>
          <w:szCs w:val="18"/>
          <w:color w:val="auto"/>
        </w:rPr>
        <w:t>, any Lender may assign to one or more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75" w:lineRule="exact"/>
        <w:rPr>
          <w:rFonts w:ascii="Times New Roman" w:cs="Times New Roman" w:eastAsia="Times New Roman" w:hAnsi="Times New Roman"/>
          <w:sz w:val="18"/>
          <w:szCs w:val="18"/>
          <w:color w:val="010000"/>
        </w:rPr>
      </w:pPr>
    </w:p>
    <w:p>
      <w:pPr>
        <w:jc w:val="both"/>
        <w:ind w:left="1300" w:firstLine="1300"/>
        <w:spacing w:after="0" w:line="261" w:lineRule="auto"/>
        <w:tabs>
          <w:tab w:leader="none" w:pos="3406" w:val="left"/>
        </w:tabs>
        <w:numPr>
          <w:ilvl w:val="1"/>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if such assignment is to a Lender or, an Affiliate of a Lender, or, if an Event of Default has occurred and is continuing, is to any other assignee; provided further, if at the end of fifteen (15) calendar days after the Borrower has received a request for such approval, the Borrower has not communicated its approval or disapproval in writing to the Administrative Agent, such silence shall be deemed to be an approval of such assignment; and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left="1300" w:firstLine="1300"/>
        <w:spacing w:after="0" w:line="266" w:lineRule="auto"/>
        <w:tabs>
          <w:tab w:leader="none" w:pos="3406" w:val="left"/>
        </w:tabs>
        <w:numPr>
          <w:ilvl w:val="1"/>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any Commitment to an assignee that is a Lender (or an Affiliate of a Lender) with a Commitment immediately prior to giving effect to such assignment.</w:t>
      </w:r>
    </w:p>
    <w:p>
      <w:pPr>
        <w:spacing w:after="0" w:line="17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010000"/>
        </w:rPr>
      </w:pPr>
    </w:p>
    <w:p>
      <w:pPr>
        <w:jc w:val="both"/>
        <w:ind w:left="1300" w:firstLine="1300"/>
        <w:spacing w:after="0" w:line="258" w:lineRule="auto"/>
        <w:tabs>
          <w:tab w:leader="none" w:pos="3406"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in the case of an assignment to a Lender or an Affiliate of a Lender or an assignment of the entire remaining amount of the assigning Lender’s Commitment or Loans of any Class, the amount of the Commitment or Loans of any Class of the assigning Lender subject to each such assignment (determined as of the date the Assignment and Assumption with respect to such assignment is delivered to the Administrative Agent) shall not be less than $5,000,000 unless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183" w:lineRule="exact"/>
        <w:rPr>
          <w:rFonts w:ascii="Times New Roman" w:cs="Times New Roman" w:eastAsia="Times New Roman" w:hAnsi="Times New Roman"/>
          <w:sz w:val="18"/>
          <w:szCs w:val="18"/>
          <w:color w:val="010000"/>
        </w:rPr>
      </w:pPr>
    </w:p>
    <w:p>
      <w:pPr>
        <w:jc w:val="both"/>
        <w:ind w:left="1300" w:firstLine="1300"/>
        <w:spacing w:after="0" w:line="266" w:lineRule="auto"/>
        <w:tabs>
          <w:tab w:leader="none" w:pos="3406"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partial assignment of a Lender’s Commitment or Loans of any Class shall be made as an assignment of a proportionate part of all the assigning Lender’s rights and obligations in respect of its Commitment or Loans of such Class under this Agreement;</w:t>
      </w:r>
    </w:p>
    <w:p>
      <w:pPr>
        <w:spacing w:after="0" w:line="175" w:lineRule="exact"/>
        <w:rPr>
          <w:rFonts w:ascii="Times New Roman" w:cs="Times New Roman" w:eastAsia="Times New Roman" w:hAnsi="Times New Roman"/>
          <w:sz w:val="18"/>
          <w:szCs w:val="18"/>
          <w:color w:val="010000"/>
        </w:rPr>
      </w:pPr>
    </w:p>
    <w:p>
      <w:pPr>
        <w:ind w:left="1300" w:firstLine="1300"/>
        <w:spacing w:after="0" w:line="282" w:lineRule="auto"/>
        <w:tabs>
          <w:tab w:leader="none" w:pos="3406"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w:t>
      </w:r>
    </w:p>
    <w:p>
      <w:pPr>
        <w:spacing w:after="0" w:line="161" w:lineRule="exact"/>
        <w:rPr>
          <w:rFonts w:ascii="Times New Roman" w:cs="Times New Roman" w:eastAsia="Times New Roman" w:hAnsi="Times New Roman"/>
          <w:sz w:val="18"/>
          <w:szCs w:val="18"/>
          <w:color w:val="010000"/>
        </w:rPr>
      </w:pPr>
    </w:p>
    <w:p>
      <w:pPr>
        <w:ind w:left="3420" w:hanging="820"/>
        <w:spacing w:after="0"/>
        <w:tabs>
          <w:tab w:leader="none" w:pos="3420"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assignee, if it shall not be a Lender, shall deliver to the Administrative Agent an Administrative</w:t>
      </w:r>
    </w:p>
    <w:p>
      <w:pPr>
        <w:spacing w:after="0" w:line="2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Questionnaire; and</w:t>
      </w:r>
    </w:p>
    <w:p>
      <w:pPr>
        <w:spacing w:after="0" w:line="206" w:lineRule="exact"/>
        <w:rPr>
          <w:rFonts w:ascii="Times New Roman" w:cs="Times New Roman" w:eastAsia="Times New Roman" w:hAnsi="Times New Roman"/>
          <w:sz w:val="18"/>
          <w:szCs w:val="18"/>
          <w:color w:val="010000"/>
        </w:rPr>
      </w:pPr>
    </w:p>
    <w:p>
      <w:pPr>
        <w:jc w:val="both"/>
        <w:ind w:left="1300" w:firstLine="1300"/>
        <w:spacing w:after="0" w:line="261" w:lineRule="auto"/>
        <w:tabs>
          <w:tab w:leader="none" w:pos="3406"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assignment shall be made to (I) the Borrower or any of the Borrower’s Subsidiaries or Affiliates, (II)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(III) any natural Person (or any holding company, investment vehicle or trust for, or owned and operated for the primary benefit of, a natural person).</w:t>
      </w:r>
    </w:p>
    <w:p>
      <w:pPr>
        <w:spacing w:after="0" w:line="179"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592"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 xml:space="preserve"> and the acceptance and recording thereof,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1952"/>
        <w:spacing w:after="0" w:line="254" w:lineRule="auto"/>
        <w:tabs>
          <w:tab w:leader="none" w:pos="2592" w:val="left"/>
        </w:tabs>
        <w:numPr>
          <w:ilvl w:val="1"/>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entries in the Register shall be conclusive absent manifest error, and the Parent Guarantor,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In connection with any changes to the Register, if necessary, the Administrative Agent will reflect the revisions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forward a copy of such revised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the Borrower and each Lender.</w:t>
      </w:r>
    </w:p>
    <w:p>
      <w:pPr>
        <w:spacing w:after="0" w:line="191" w:lineRule="exact"/>
        <w:rPr>
          <w:rFonts w:ascii="Times New Roman" w:cs="Times New Roman" w:eastAsia="Times New Roman" w:hAnsi="Times New Roman"/>
          <w:sz w:val="18"/>
          <w:szCs w:val="18"/>
          <w:color w:val="010000"/>
        </w:rPr>
      </w:pPr>
    </w:p>
    <w:p>
      <w:pPr>
        <w:jc w:val="both"/>
        <w:ind w:firstLine="1952"/>
        <w:spacing w:after="0" w:line="258" w:lineRule="auto"/>
        <w:tabs>
          <w:tab w:leader="none" w:pos="2592" w:val="left"/>
        </w:tabs>
        <w:numPr>
          <w:ilvl w:val="1"/>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944"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Lender may, without the consent of, or notice to, the Parent Guarantor, the Borrower or the Administrative Agent, sell participations to one or more banks or other entities (other than (x) any Defaulting Lender, (y) any natural person (or a holding company, investment vehicle or trust for, or owned and operated for the primary benefit of, a natural person) or (z) the Borrower or any of its Affiliates)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Parent Guarantor,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proviso to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that affects such Participant. In addition such agreement must provide that the Participant be bound by the provisions of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12.04(c)(ii)</w:t>
      </w:r>
      <w:r>
        <w:rPr>
          <w:rFonts w:ascii="Times New Roman" w:cs="Times New Roman" w:eastAsia="Times New Roman" w:hAnsi="Times New Roman"/>
          <w:sz w:val="18"/>
          <w:szCs w:val="18"/>
          <w:color w:val="auto"/>
        </w:rPr>
        <w:t xml:space="preserve">, the Parent Guarantor and the Borrower agree that each Participant shall be entitled to the benefits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as though it were a Lender.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firstLine="1952"/>
        <w:spacing w:after="0" w:line="258" w:lineRule="auto"/>
        <w:tabs>
          <w:tab w:leader="none" w:pos="2592" w:val="left"/>
        </w:tabs>
        <w:numPr>
          <w:ilvl w:val="1"/>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as though it were a Lender.</w:t>
      </w:r>
    </w:p>
    <w:p>
      <w:pPr>
        <w:spacing w:after="0" w:line="183"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592" w:val="left"/>
        </w:tabs>
        <w:numPr>
          <w:ilvl w:val="1"/>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4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and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4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no transfer or assignment of the interests or obligations of any Lender or any grant of participations therein shall be permitted if such transfer, assignment or grant would require the Parent Guarantor, the Borrower or any of the Restricted Subsidiaries to file a registration statement with the SEC or to qualify the Loans under the “Blue Sky” laws of any state.</w:t>
      </w:r>
    </w:p>
    <w:p>
      <w:pPr>
        <w:spacing w:after="0" w:line="175"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4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(i) the written consent of Borrower (such consent to be provided in the Borrower’s sole discretion) shall be required for any assignment or participation (other than assignments by a Lender to any of its Affiliates) prior to the expiration of the Certain Funds Period and (ii) except in the case of any assignments among Goldman Sachs Bank USA and Goldman Sachs Lending Partners LLC, in connection with any assignment of Commitments prior to the expiration of the Certain Funds Period by a Lender to any of its Affiliates in accordance with clause (i) of this paragraph, the assigning Lender shall not be relieved of its obligations (as in effect immediately prior to giving effect to such assignment) to fund Loans in respect of its Commitments pursuant to this Agreement without the prior written consent of Borrower (such consent to be provided in the Borrower’s sole discretion).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12.05</w:t>
      </w:r>
      <w:r>
        <w:rPr>
          <w:sz w:val="20"/>
          <w:szCs w:val="20"/>
          <w:color w:val="auto"/>
        </w:rPr>
        <w:tab/>
      </w:r>
      <w:r>
        <w:rPr>
          <w:rFonts w:ascii="Times New Roman" w:cs="Times New Roman" w:eastAsia="Times New Roman" w:hAnsi="Times New Roman"/>
          <w:sz w:val="17"/>
          <w:szCs w:val="17"/>
          <w:u w:val="single" w:color="auto"/>
          <w:color w:val="auto"/>
        </w:rPr>
        <w:t>Survival; Revival; Reinstatement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44"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covenants, agreements, representations and warranties made by the Parent Guarantor, the Borrower and the other Guarantors herein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any other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Commitments or the termination of this Agreement, any other Loan Document or any provision hereof or thereof.</w:t>
      </w:r>
    </w:p>
    <w:p>
      <w:pPr>
        <w:spacing w:after="0" w:line="194"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4"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that any payments on the Indebtedness or proceeds of any collateral are subsequently invalidated, declared to be fraudulent or preferential, set aside or required to be repaid to a trustee, debtor in possession, receiver or other Person under any bankruptcy law, common law or equitable cause, then to such extent, the Indebtedness so satisfied shall be revived and continue as if such payment or proceeds had not been received and the Administrative Agent’s and the Lenders’ Liens, security interests, rights, powers and remedies under this Agreement and each Loan Document shall continue in full force and effect. In such event, each Loan Document shall be automatically reinstated and the Parent Guarantor and the Borrower shall take such action as may be reasonably requested by the Administrative Agent and the Lenders to effect such reinstatement.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12.06</w:t>
      </w:r>
      <w:r>
        <w:rPr>
          <w:sz w:val="20"/>
          <w:szCs w:val="20"/>
          <w:color w:val="auto"/>
        </w:rPr>
        <w:tab/>
      </w:r>
      <w:r>
        <w:rPr>
          <w:rFonts w:ascii="Times New Roman" w:cs="Times New Roman" w:eastAsia="Times New Roman" w:hAnsi="Times New Roman"/>
          <w:sz w:val="17"/>
          <w:szCs w:val="17"/>
          <w:u w:val="single" w:color="auto"/>
          <w:color w:val="auto"/>
        </w:rPr>
        <w:t>Counterparts; Integration; Effectiveness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44"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w:t>
      </w:r>
    </w:p>
    <w:p>
      <w:pPr>
        <w:spacing w:after="0" w:line="161" w:lineRule="exact"/>
        <w:rPr>
          <w:rFonts w:ascii="Times New Roman" w:cs="Times New Roman" w:eastAsia="Times New Roman" w:hAnsi="Times New Roman"/>
          <w:sz w:val="18"/>
          <w:szCs w:val="18"/>
          <w:color w:val="010000"/>
        </w:rPr>
      </w:pPr>
    </w:p>
    <w:p>
      <w:pPr>
        <w:jc w:val="both"/>
        <w:ind w:firstLine="1304"/>
        <w:spacing w:after="0" w:line="257" w:lineRule="auto"/>
        <w:tabs>
          <w:tab w:leader="none" w:pos="1944"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w:t>
      </w:r>
      <w:r>
        <w:rPr>
          <w:rFonts w:ascii="Times New Roman" w:cs="Times New Roman" w:eastAsia="Times New Roman" w:hAnsi="Times New Roman"/>
          <w:sz w:val="18"/>
          <w:szCs w:val="18"/>
          <w:b w:val="1"/>
          <w:bCs w:val="1"/>
          <w:color w:val="auto"/>
        </w:rPr>
        <w:t>THIS AGREEMENT AND THE OTHER LOAN</w:t>
      </w:r>
    </w:p>
    <w:p>
      <w:pPr>
        <w:spacing w:after="0" w:line="1" w:lineRule="exact"/>
        <w:rPr>
          <w:rFonts w:ascii="Times New Roman" w:cs="Times New Roman" w:eastAsia="Times New Roman" w:hAnsi="Times New Roman"/>
          <w:sz w:val="18"/>
          <w:szCs w:val="18"/>
          <w:color w:val="010000"/>
        </w:rPr>
      </w:pPr>
    </w:p>
    <w:p>
      <w:pPr>
        <w:jc w:val="both"/>
        <w:spacing w:after="0" w:line="255"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DOCUMENTS REPRESENT THE FINAL AGREEMENT AMONG THE PARTIES HERETO AND THERETO AND MAY NOT BE CONTRADICTED BY EVIDENCE OF PRIOR, CONTEMPORANEOUS OR SUBSEQUENT ORAL AGREEMENTS OF THE PARTIES. THERE ARE NO UNWRITTEN ORAL AGREEMENTS BETWEEN THE PARTIES</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firstLine="1304"/>
        <w:spacing w:after="0" w:line="258" w:lineRule="auto"/>
        <w:tabs>
          <w:tab w:leader="none" w:pos="1944"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facsimile or other electronic means shall be effective as delivery of a manually executed counterpart of this Agreement.</w:t>
      </w:r>
    </w:p>
    <w:p>
      <w:pPr>
        <w:spacing w:after="0" w:line="183"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44"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words “execution”, “signed”, “signature”, “delivery” and words of like import in or relating to any document to be signed in connection with this Agreement and/or any other Loan Document shall be deemed to include Electronic Signatures, electronic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12.07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Any provision of this Agreement or any other Loan Document held to be invalid, illegal or unenforceable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12.08 </w:t>
      </w:r>
      <w:r>
        <w:rPr>
          <w:rFonts w:ascii="Times New Roman" w:cs="Times New Roman" w:eastAsia="Times New Roman" w:hAnsi="Times New Roman"/>
          <w:sz w:val="18"/>
          <w:szCs w:val="18"/>
          <w:u w:val="single" w:color="auto"/>
          <w:color w:val="000000"/>
        </w:rPr>
        <w:t>Right of Setoff</w:t>
      </w:r>
      <w:r>
        <w:rPr>
          <w:rFonts w:ascii="Times New Roman" w:cs="Times New Roman" w:eastAsia="Times New Roman" w:hAnsi="Times New Roman"/>
          <w:sz w:val="18"/>
          <w:szCs w:val="18"/>
          <w:color w:val="000000"/>
        </w:rPr>
        <w:t>. If an Event of Default shall have occurred and be continuing, each Lender and each of its Affiliates is 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authorized at any time and from time to time, to the fullest extent permitted by law, to set off and apply any and all deposits (general or special, time or demand, provisional or final) at any time held and other obligations (of whatsoever kind, including, without limitations obligations under Swap Agreements) at any time owing by such Lender or Affiliate to or for the credit or the account of the Parent Guarantor, the Borrower or any of the Restricted Subsidiaries against any of and all the obligations of the Parent Guarantor, the Borrower or any of the Restricted Subsidiaries owed to such Lender now or hereafter existing under this Agreement or any other Loan Document, irrespective of whether or not such Lender shall have made any demand under this Agreement or any other Loan Document and although such obligations may be unmatured. The rights of each Lender under this </w:t>
      </w:r>
      <w:r>
        <w:rPr>
          <w:rFonts w:ascii="Times New Roman" w:cs="Times New Roman" w:eastAsia="Times New Roman" w:hAnsi="Times New Roman"/>
          <w:sz w:val="18"/>
          <w:szCs w:val="18"/>
          <w:u w:val="single" w:color="auto"/>
          <w:color w:val="000000"/>
        </w:rPr>
        <w:t>Section 12.08</w:t>
      </w:r>
      <w:r>
        <w:rPr>
          <w:rFonts w:ascii="Times New Roman" w:cs="Times New Roman" w:eastAsia="Times New Roman" w:hAnsi="Times New Roman"/>
          <w:sz w:val="18"/>
          <w:szCs w:val="18"/>
          <w:color w:val="000000"/>
        </w:rPr>
        <w:t xml:space="preserve"> are in addition to other rights and remedies (including other rights of setoff) which such Lender or its Affiliates may have;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000000"/>
        </w:rPr>
        <w:t>Section 10.02(c)</w:t>
      </w:r>
      <w:r>
        <w:rPr>
          <w:rFonts w:ascii="Times New Roman" w:cs="Times New Roman" w:eastAsia="Times New Roman" w:hAnsi="Times New Roman"/>
          <w:sz w:val="18"/>
          <w:szCs w:val="18"/>
          <w:color w:val="00000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Indebtedness owing to such Defaulting Lender as to which it exercised such right of setoff. Each Lender agrees to notify the Parent Guarantor, the Borrower and the Administrative Agent promptly after any such setoff and application;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failure to give such notice shall not affect the validity of such setoff and application.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44"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AGREEMENT AND THE NOTES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TO THE CONTRARY, IT IS UNDERSTOOD AND AGREED THAT ANY DETERMINATIONS AS TO (X) THE ACCURACY OF ANY REPRESENTATIONS AND WARRANTIES MADE BY OR ON BEHALF OF ENDEAVOR AND ITS SUBSIDIARIES IN THE ENDEAVOR MERGER AGREEMENT AND WHETHER AS A RESULT OF ANY INACCURACY THEREOF THE PARENT GUARANTOR (OR ITS SUBSIDIARY OR AFFILIATE) HAS THE RIGHT TO TERMINATE ITS OBLIGATIONS UNDER THE ENDEAVOR MERGER AGREEMENT, OR DECLINE TO CONSUMMATE THE ENDEAVOR ACQUISITION, AS A RESULT OF A BREACH OF SUCH REPRESENTATIONS AND WARRANTIES IN THE ENDEAVOR MERGER AGREEMENT, (Y) THE DETERMINATION OF WHETHER THE ENDEAVOR ACQUISITION HAS BEEN CONSUMMATED IN ACCORDANCE WITH THE TERMS OF THE ENDEAVOR MERGER AGREEMENT AND (Z) THE INTERPRETATION OF THE DEFINITION OF COMPANY MATERIAL ADVERSE EFFECT (AS DEFINED IN THE ENDEAVOR MERGER AGREEMENT) AND WHETHER A COMPANY MATERIAL ADVERSE EFFECT (AS DEFINED IN THE ENDEAVOR MERGER AGREEMENT) HAS OCCURRED AND IS CONTINUING SHALL, IN EACH CASE, BE GOVERNED BY, AND CONSTRUED IN ACCORDANCE WITH, THE INTERNAL LAWS (AS DEFINED IN THE ENDEAVOR MERGER AGREEMENT AS IN EFFECT ON THE ENDEAVOR SIGNING DATE) OF THE STATE OF DELAWARE, WITHOUT REGARD TO THE LAWS (AS DEFINED IN THE ENDEAVOR MERGER AGREEMENT AS IN EFFECT ON THE ENDEAVOR SIGNING DATE) OF ANY OTHER JURISDICTION THAT MIGHT BE APPLIED BECAUSE OF THE CONFLICTS OF LAWS PRINCIPLES OF THE STATE OF DELAWARE.</w:t>
      </w:r>
    </w:p>
    <w:p>
      <w:pPr>
        <w:spacing w:after="0" w:line="193"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44"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LEGAL ACTION OR PROCEEDING WITH RESPECT TO THE LOAN DOCUMENTS SHALL BE BROUGHT IN THE COURTS OF THE STATE OF NEW YORK SITTING IN THE BOROUGH OF MANHATTAN OR OF THE UNITED STATES OF AMERICA FOR THE SOUTHERN DISTRICT OF NEW YORK SITTING IN THE BOROUGH OF MANHATTAN, AND, BY EXECUTION AND DELIVERY OF THIS AGREEMENT, EACH PARTY HEREBY ACCEPTS FOR ITSELF AND (TO THE EXTENT PERMITTED BY LAW) IN RESPECT OF ITS PROPERTY, GENERALLY AND UNCONDITIONALLY, THE JURISDICTION OF THE AFORESAID COURTS. EACH PARTY HEREBY IRREVOCABLY WAIVES ANY OBJECTION, INCLUDING, WITHOUT LIMITATION, ANY OBJECTION TO THE LAYING OF VENUE OR BASED ON THE GROUNDS OF FORUM NON CONVENIENS, WHICH IT MAY NOW OR HEREAFTER HAVE TO THE BRINGING OF ANY SUCH ACTION OR PROCEEDING IN SUCH RESPECTIVE JURISDICTIONS.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both"/>
        <w:ind w:firstLine="1304"/>
        <w:spacing w:after="0" w:line="255" w:lineRule="auto"/>
        <w:tabs>
          <w:tab w:leader="none" w:pos="1944"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SUCH OTHER ADDRESS AS IS SPECIFIED PURSUANT TO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ITS ASSIGNMENT AND ASSUMPTION), SUCH SERVICE TO BECOME EFFECTIVE THIRTY (30) DAYS AFTER SUCH MAILING. NOTHING HEREIN SHALL AFFECT THE RIGHT OF A PARTY OR ANY HOLDER OF A NOTE TO SERVE PROCESS IN ANY OTHER MANNER PERMITTED BY LAW OR TO COMMENCE LEGAL PROCEEDINGS OR OTHERWISE PROCEED AGAINST ANOTHER PARTY IN ANY OTHER JURISDICTION.</w:t>
      </w:r>
    </w:p>
    <w:p>
      <w:pPr>
        <w:spacing w:after="0" w:line="188"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44"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HEREBY (i) IRREVOCABLY AND UNCONDITIONALLY WAIVES, TO THE FULLEST EXTENT PERMITTED BY LAW, TRIAL BY JURY IN ANY LEGAL ACTION OR PROCEEDING RELATING TO THIS AGREEMENT OR ANY OTHER LOAN DOCUMENT AND FOR ANY COUNTERCLAIM THEREIN; (ii) IRREVOCABLY WAIVES, TO THE MAXIMUM EXTENT NOT PROHIBITED BY LAW, ANY RIGHT IT MAY HAVE TO CLAIM OR RECOVER IN ANY SUCH LITIGATION ANY SPECIAL, EXEMPLARY, PUNITIVE OR CONSEQUENTIAL DAMAGES, OR DAMAGES OTHER THAN, OR IN ADDITION TO, ACTUAL DAMAGES EXCEPT FOR ANY SUCH SPECIAL, EXEMPLARY, PUNITIVE, CONSEQUENTIAL OR OTHER DAMAGES FOR WHICH THE BORROWER HAS INDEMNIFIED AN INDEMNITEE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(iii) CERTIFIES THAT NO PARTY HERETO NOR ANY REPRESENTATIVE OR AGENT OF COUNSEL FOR ANY PARTY HERETO HAS REPRESENTED, EXPRESSLY OR OTHERWISE, OR IMPLIED THAT SUCH PARTY WOULD NOT, IN THE EVENT OF LITIGATION, SEEK TO ENFORCE THE FOREGOING WAIVERS, AND (iv) ACKNOWLEDGES THAT IT HAS BEEN INDUCED TO ENTER INTO THIS AGREEMENT, THE LOAN DOCUMENTS AND THE TRANSACTIONS CONTEMPLATED HEREBY AND THEREBY BY, AMONG OTHER THINGS, THE MUTUAL WAIVERS AND CERTIFICATIONS CONTAINED IN THIS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12.10 </w:t>
      </w:r>
      <w:r>
        <w:rPr>
          <w:rFonts w:ascii="Times New Roman" w:cs="Times New Roman" w:eastAsia="Times New Roman" w:hAnsi="Times New Roman"/>
          <w:sz w:val="18"/>
          <w:szCs w:val="18"/>
          <w:u w:val="single" w:color="auto"/>
          <w:color w:val="000000"/>
        </w:rPr>
        <w:t>Headings</w:t>
      </w:r>
      <w:r>
        <w:rPr>
          <w:rFonts w:ascii="Times New Roman" w:cs="Times New Roman" w:eastAsia="Times New Roman" w:hAnsi="Times New Roman"/>
          <w:sz w:val="18"/>
          <w:szCs w:val="18"/>
          <w:color w:val="000000"/>
        </w:rPr>
        <w:t>. Article and Section headings and the Table of Contents used herein are for convenience of reference only, are not part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this Agreement and shall not affect the construction of, or be taken into consideration in interpreting, this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12.11 </w:t>
      </w:r>
      <w:r>
        <w:rPr>
          <w:rFonts w:ascii="Times New Roman" w:cs="Times New Roman" w:eastAsia="Times New Roman" w:hAnsi="Times New Roman"/>
          <w:sz w:val="18"/>
          <w:szCs w:val="18"/>
          <w:u w:val="single" w:color="auto"/>
          <w:color w:val="000000"/>
        </w:rPr>
        <w:t>Confidentiality</w:t>
      </w:r>
      <w:r>
        <w:rPr>
          <w:rFonts w:ascii="Times New Roman" w:cs="Times New Roman" w:eastAsia="Times New Roman" w:hAnsi="Times New Roman"/>
          <w:sz w:val="18"/>
          <w:szCs w:val="18"/>
          <w:color w:val="000000"/>
        </w:rPr>
        <w:t>. Each of the Administrative Agent and each Lender agrees to maintain the confidentiality of the Information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to (i) any assignee of or Participant in, or any prospective assignee of or Participant in, any of its rights or obligations under this Agreement or (ii) any actual or prospective counterparty (or its advisors) to any Swap Agreement relating to the Borrower and its obligations, (g) with the consent of the Borrower, (h) to the extent such Information (i) becomes publicly available other than as a result of a breach of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or (ii) becomes available to the Administrative Agent or any Lender on a nonconfidential basis from a source other than the Parent Guarantor, the Borrower or any of their Subsidiaries, (i) on a confidential basis to (i) any rating agency in connection with rating Parent Guarantor or its Subsidiaries or the Term Loan Facility or (ii) the CUSIP Service Bureau or any similar agency in connection with the issuance and monitoring of CUSIP numbers with respect to the Term Loan Facility, or (j)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For the purposes of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“Information” means all information received from the Parent Guarantor, the Borrower or any of their Subsidiaries relating to the Parent Guarantor’s, the Borrower’s or any of their Subsidiaries’ businesses, other than any such information that is available to the Administrative Agent or any Lender on a nonconfidential basis prior to disclosure by the Parent Guarantor, the Borrower or any of their Subsidiaries;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case of information received from the Parent Guarantor, the Borrower or any of their Subsidiaries after the date hereof, such information is hereby deemed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12.12 </w:t>
      </w:r>
      <w:r>
        <w:rPr>
          <w:rFonts w:ascii="Times New Roman" w:cs="Times New Roman" w:eastAsia="Times New Roman" w:hAnsi="Times New Roman"/>
          <w:sz w:val="18"/>
          <w:szCs w:val="18"/>
          <w:u w:val="single" w:color="auto"/>
          <w:color w:val="000000"/>
        </w:rPr>
        <w:t>Interest Rate Limitation</w:t>
      </w:r>
      <w:r>
        <w:rPr>
          <w:rFonts w:ascii="Times New Roman" w:cs="Times New Roman" w:eastAsia="Times New Roman" w:hAnsi="Times New Roman"/>
          <w:sz w:val="18"/>
          <w:szCs w:val="18"/>
          <w:color w:val="000000"/>
        </w:rPr>
        <w:t>. It is the intention of the parties hereto that each Lender shall conform strictly to usury laws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to it. Accordingly, if the transactions contemplated hereby would be usurious as to any Lender under laws applicable to it (including the laws of the United States of America and the State of Texas or any other jurisdiction whose laws may be mandatorily applicable to such Lender notwithstanding the other provisions of this Agreement), then, in that event, notwithstanding anything to the contrary in any of the Loan Documents or any agreement entered into in connection with or as security for the Notes, it is agreed as follows: (a) the aggregate of all consideration which constitutes interest under law applicable to any Lender that is contracted for, taken, reserved, charged or received by such Lender under any of the Loan Documents or agreements or otherwise in connection with the Notes shall under no circumstances exceed the maximum amount allowed by such applicable law, and any excess shall be canceled automatically and if theretofore paid shall be credited by such Lender on the principal amount of the Indebtedness (or, to the extent that the principal amount of the Indebtedness shall have been or would thereby be paid in full, refunded by such Lender to the Borrower); and (b) in the event that the maturity of the Notes is accelerated by reason of an election of the holder thereof resulting from any Event of Default under this Agreement or otherwise, or in the event of any required or permitted prepayment, then such consideration that constitutes interest under law applicable to any Lender may never include more than the maximum amount allowed by such applicable law, and excess interest, if any, provided for in this Agreement or otherwise shall be canceled automatically by such Lender as of the date of such acceleration or prepayment and, if theretofore paid, shall be credited by such Lender on the principal amount of the Indebtedness (or, to the extent that the principal amount of the Indebtedness shall have been or would thereby be paid in full, refunded by such Lender to the Borrower). All sums paid or agreed to be paid to any Lender for the use, forbearance or detention of sums due hereunder shall, to the extent permitted by law applicable to such Lender, be amortized, prorated, allocated and spread throughout the stated term of the Loans evidenced by the Notes until payment in full so that the rate or amount of interest on account of any Loans hereunder does not exceed the maximum amount allowed by such applicable law. If at any time and from time to time (i) the amount of interest payable to any Lender on any date shall be computed at the Highest Lawful Rate applicable to such Lender pursuant to this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xml:space="preserve"> and (ii) in respect of any subsequent interest computation period the amount of interest otherwise payable to such Lender would be less than the amount of interest payable to such Lender computed at the Highest Lawful Rate applicable to such Lender, then the amount of interest payable to such Lender in respect of such subsequent interest computation period shall continue to be computed at the Highest Lawful Rate applicable to such Lender until the total amount of interest payable to such Lender shall equal the total amount of interest which would have been payable to such Lender if the total amount of interest had been computed without giving effect to this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To the extent that Chapter 303 of the Texas Finance Code is relevant for the purpose of determining the Highest Lawful Rate applicable to a Lender, such Lender elects to determine the applicable rate ceiling under such Chapter by the weekly ceiling from time to time in effect. Chapter 346 of the Texas Finance Code does not apply to the Borrower’s obligations hereunder.</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12.13 </w:t>
      </w:r>
      <w:r>
        <w:rPr>
          <w:rFonts w:ascii="Times New Roman" w:cs="Times New Roman" w:eastAsia="Times New Roman" w:hAnsi="Times New Roman"/>
          <w:sz w:val="18"/>
          <w:szCs w:val="18"/>
          <w:u w:val="single" w:color="auto"/>
          <w:color w:val="000000"/>
        </w:rPr>
        <w:t>EXCULPATION PROVISIONS</w:t>
      </w:r>
      <w:r>
        <w:rPr>
          <w:rFonts w:ascii="Times New Roman" w:cs="Times New Roman" w:eastAsia="Times New Roman" w:hAnsi="Times New Roman"/>
          <w:sz w:val="18"/>
          <w:szCs w:val="18"/>
          <w:color w:val="000000"/>
        </w:rPr>
        <w:t>. EACH OF THE PARTIES HERETO SPECIFICALLY AGREES THAT IT HAS A DUTY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12.14 </w:t>
      </w:r>
      <w:r>
        <w:rPr>
          <w:rFonts w:ascii="Times New Roman" w:cs="Times New Roman" w:eastAsia="Times New Roman" w:hAnsi="Times New Roman"/>
          <w:sz w:val="18"/>
          <w:szCs w:val="18"/>
          <w:u w:val="single" w:color="auto"/>
          <w:color w:val="000000"/>
        </w:rPr>
        <w:t>Swap Agreements</w:t>
      </w:r>
      <w:r>
        <w:rPr>
          <w:rFonts w:ascii="Times New Roman" w:cs="Times New Roman" w:eastAsia="Times New Roman" w:hAnsi="Times New Roman"/>
          <w:sz w:val="18"/>
          <w:szCs w:val="18"/>
          <w:color w:val="000000"/>
        </w:rPr>
        <w:t>. The Borrower hereby guarantees the payment and performance of all Indebtedness of each other Loan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and absolutely, unconditionally and irrevocably undertakes to provide such funds or other support as may be needed from time to time by each Benefiting Guarantor in order for such Benefiting Guarantor to honor its obligations under the Guaranty Agreement, including obligations with respect to Swap Agreements (provided, however, that the Borrower shall only be liable under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or otherwise under this Agreement or any other Loan Document, as it relates to such Benefiting Guarantor, voidable under applicable law relating to fraudulent conveyance or fraudulent transfer, and not for any greater amount). The obligations of Borrower under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shall remain in full force and effect until all Indebtedness is paid in full, and all of the Lenders’ Commitments are terminated. The Borrower intends that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constitute, and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shall be deemed to constitute, a “keepwell, support, or other agreement” for the benefit of each Benefiting Guarantor for all purposes of Section 1a(18)(A)(v)(II) of the Commodity Exchange Act.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12.15 </w:t>
      </w:r>
      <w:r>
        <w:rPr>
          <w:rFonts w:ascii="Times New Roman" w:cs="Times New Roman" w:eastAsia="Times New Roman" w:hAnsi="Times New Roman"/>
          <w:sz w:val="18"/>
          <w:szCs w:val="18"/>
          <w:u w:val="single" w:color="auto"/>
          <w:color w:val="000000"/>
        </w:rPr>
        <w:t>No Third Party Beneficiaries</w:t>
      </w:r>
      <w:r>
        <w:rPr>
          <w:rFonts w:ascii="Times New Roman" w:cs="Times New Roman" w:eastAsia="Times New Roman" w:hAnsi="Times New Roman"/>
          <w:sz w:val="18"/>
          <w:szCs w:val="18"/>
          <w:color w:val="000000"/>
        </w:rPr>
        <w:t>. This Agreement, the other Loan Documents, and the agreement of the Lenders to make Loans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hereunder are solely for the benefit of the Borrower, and no other Person (including, without limitation, the Parent Guarantor, any Subsidiary of the Borrower, any obligor, contractor, subcontractor, supplier or materialsman) shall have any rights, claims, remedies or privileges hereunder or under any other Loan Document against the Administrative Agent, any other Agent or any Lender for any reason whatsoever. There are no third party beneficiaries.</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12.16 </w:t>
      </w:r>
      <w:r>
        <w:rPr>
          <w:rFonts w:ascii="Times New Roman" w:cs="Times New Roman" w:eastAsia="Times New Roman" w:hAnsi="Times New Roman"/>
          <w:sz w:val="18"/>
          <w:szCs w:val="18"/>
          <w:u w:val="single" w:color="auto"/>
          <w:color w:val="000000"/>
        </w:rPr>
        <w:t>USA PATRIOT Act Notice</w:t>
      </w:r>
      <w:r>
        <w:rPr>
          <w:rFonts w:ascii="Times New Roman" w:cs="Times New Roman" w:eastAsia="Times New Roman" w:hAnsi="Times New Roman"/>
          <w:sz w:val="18"/>
          <w:szCs w:val="18"/>
          <w:color w:val="000000"/>
        </w:rPr>
        <w:t>. Each Lender hereby notifies the Parent Guarantor and the Borrower that pursuant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requirements of the USA PATRIOT Act and/or any other applicable Anti-Money Laundering Laws, it is required to obtain, verify and record information that identifies the Parent Guarantor, the Borrower, and each Restricted Subsidiary, which information includes the name, tax identification number and address of the Parent Guarantor and the Borrower and other information that will allow such Lender to identify the Parent Guarantor and the Borrower in accordance with the USA PATRIOT Act or such Anti-Money Laundering Laws.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12.17</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12.18 </w:t>
      </w:r>
      <w:r>
        <w:rPr>
          <w:rFonts w:ascii="Times New Roman" w:cs="Times New Roman" w:eastAsia="Times New Roman" w:hAnsi="Times New Roman"/>
          <w:sz w:val="18"/>
          <w:szCs w:val="18"/>
          <w:u w:val="single" w:color="auto"/>
          <w:color w:val="000000"/>
        </w:rPr>
        <w:t>Acknowledgement and Consent to Bail-In of Affected Financial Institutions</w:t>
      </w:r>
      <w:r>
        <w:rPr>
          <w:rFonts w:ascii="Times New Roman" w:cs="Times New Roman" w:eastAsia="Times New Roman" w:hAnsi="Times New Roman"/>
          <w:sz w:val="18"/>
          <w:szCs w:val="18"/>
          <w:color w:val="000000"/>
        </w:rPr>
        <w:t>. Notwithstanding anything to the contrary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20" w:firstLine="1304"/>
        <w:spacing w:after="0" w:line="282" w:lineRule="auto"/>
        <w:tabs>
          <w:tab w:leader="none" w:pos="1944"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92" w:val="left"/>
        </w:tabs>
        <w:numPr>
          <w:ilvl w:val="1"/>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010000"/>
        </w:rPr>
        <w:t>Section 12.19</w:t>
      </w:r>
      <w:r>
        <w:rPr>
          <w:sz w:val="20"/>
          <w:szCs w:val="20"/>
          <w:color w:val="auto"/>
        </w:rPr>
        <w:tab/>
      </w:r>
      <w:r>
        <w:rPr>
          <w:rFonts w:ascii="Times New Roman" w:cs="Times New Roman" w:eastAsia="Times New Roman" w:hAnsi="Times New Roman"/>
          <w:sz w:val="17"/>
          <w:szCs w:val="17"/>
          <w:u w:val="single" w:color="auto"/>
          <w:color w:val="auto"/>
        </w:rPr>
        <w:t>Certain ERISA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44"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any other Agent and their respective Affiliates,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Loans, the Commitments or this Agreement;</w:t>
      </w:r>
    </w:p>
    <w:p>
      <w:pPr>
        <w:spacing w:after="0" w:line="161"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592"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or</w:t>
      </w:r>
    </w:p>
    <w:p>
      <w:pPr>
        <w:spacing w:after="0" w:line="187"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592"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such Lender is an investment fund managed by a “</w:t>
      </w:r>
      <w:r>
        <w:rPr>
          <w:rFonts w:ascii="Times New Roman" w:cs="Times New Roman" w:eastAsia="Times New Roman" w:hAnsi="Times New Roman"/>
          <w:sz w:val="18"/>
          <w:szCs w:val="18"/>
          <w:u w:val="single" w:color="auto"/>
          <w:color w:val="auto"/>
        </w:rPr>
        <w:t>Qualified Professional Asset Manager</w:t>
      </w:r>
      <w:r>
        <w:rPr>
          <w:rFonts w:ascii="Times New Roman" w:cs="Times New Roman" w:eastAsia="Times New Roman" w:hAnsi="Times New Roman"/>
          <w:sz w:val="18"/>
          <w:szCs w:val="18"/>
          <w:color w:val="auto"/>
        </w:rPr>
        <w:t>”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2600" w:hanging="648"/>
        <w:spacing w:after="0"/>
        <w:tabs>
          <w:tab w:leader="none" w:pos="260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representation, warranty and covenant as may be agreed in writing between the Administrative Agent, in its</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sole discretion, and such Lender.</w:t>
      </w:r>
    </w:p>
    <w:p>
      <w:pPr>
        <w:spacing w:after="0" w:line="206"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44"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addition, unless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such Lender has provided another representation, warranty and covenant as provided in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 (x) represents and warrants, as of the date such Person became a Lender party hereto, and (y) covenants, from the date such Person became a Lender party hereto to the date such Person ceases being a Lender party hereto, for the benefit of, the Administrative Agent, any other Agent and their respective Affiliates, and not, for the avoidance of doubt, to or for the benefit of the Borrower or any other Loan Party, that neither the Administrative Agent, any other Agent nor any of their respective Affiliates is a fiduciary with respect to the assets of such Lender involved in such Lender’s entrance into, participation in, or administration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12.20 </w:t>
      </w:r>
      <w:r>
        <w:rPr>
          <w:rFonts w:ascii="Times New Roman" w:cs="Times New Roman" w:eastAsia="Times New Roman" w:hAnsi="Times New Roman"/>
          <w:sz w:val="18"/>
          <w:szCs w:val="18"/>
          <w:u w:val="single" w:color="auto"/>
          <w:color w:val="000000"/>
        </w:rPr>
        <w:t>Acknowledgment Regarding Any Supported QFCs</w:t>
      </w:r>
      <w:r>
        <w:rPr>
          <w:rFonts w:ascii="Times New Roman" w:cs="Times New Roman" w:eastAsia="Times New Roman" w:hAnsi="Times New Roman"/>
          <w:sz w:val="18"/>
          <w:szCs w:val="18"/>
          <w:color w:val="000000"/>
        </w:rPr>
        <w:t>. To the extent that the Loan Documents provide support, through a guarantee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otherwise, for any Swap Agreement or any other agreement or instrument that is a QFC (such support, “</w:t>
      </w:r>
      <w:r>
        <w:rPr>
          <w:rFonts w:ascii="Times New Roman" w:cs="Times New Roman" w:eastAsia="Times New Roman" w:hAnsi="Times New Roman"/>
          <w:sz w:val="18"/>
          <w:szCs w:val="18"/>
          <w:u w:val="single" w:color="auto"/>
          <w:color w:val="000000"/>
        </w:rPr>
        <w:t>QFC Credit Support</w:t>
      </w:r>
      <w:r>
        <w:rPr>
          <w:rFonts w:ascii="Times New Roman" w:cs="Times New Roman" w:eastAsia="Times New Roman" w:hAnsi="Times New Roman"/>
          <w:sz w:val="18"/>
          <w:szCs w:val="18"/>
          <w:color w:val="000000"/>
        </w:rPr>
        <w:t>”, and each such QFC, a “</w:t>
      </w:r>
      <w:r>
        <w:rPr>
          <w:rFonts w:ascii="Times New Roman" w:cs="Times New Roman" w:eastAsia="Times New Roman" w:hAnsi="Times New Roman"/>
          <w:sz w:val="18"/>
          <w:szCs w:val="18"/>
          <w:u w:val="single" w:color="auto"/>
          <w:color w:val="000000"/>
        </w:rPr>
        <w:t>Supported QFC</w:t>
      </w:r>
      <w:r>
        <w:rPr>
          <w:rFonts w:ascii="Times New Roman" w:cs="Times New Roman" w:eastAsia="Times New Roman" w:hAnsi="Times New Roman"/>
          <w:sz w:val="18"/>
          <w:szCs w:val="18"/>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000000"/>
        </w:rPr>
        <w:t>U.S. Special Resolution Regimes</w:t>
      </w:r>
      <w:r>
        <w:rPr>
          <w:rFonts w:ascii="Times New Roman" w:cs="Times New Roman" w:eastAsia="Times New Roman" w:hAnsi="Times New Roman"/>
          <w:sz w:val="18"/>
          <w:szCs w:val="18"/>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304"/>
        <w:spacing w:after="0" w:line="253" w:lineRule="auto"/>
        <w:tabs>
          <w:tab w:leader="none" w:pos="1944"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left="1960" w:hanging="656"/>
        <w:spacing w:after="0"/>
        <w:tabs>
          <w:tab w:leader="none" w:pos="1960"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 the following terms have the following meanings:</w:t>
      </w:r>
    </w:p>
    <w:p>
      <w:pPr>
        <w:spacing w:after="0" w:line="225"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12 U.S.C. 1841(k)) of such party.</w:t>
      </w:r>
    </w:p>
    <w:p>
      <w:pPr>
        <w:spacing w:after="0" w:line="206"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92" w:val="left"/>
        </w:tabs>
        <w:numPr>
          <w:ilvl w:val="1"/>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rFonts w:ascii="Times New Roman" w:cs="Times New Roman" w:eastAsia="Times New Roman" w:hAnsi="Times New Roman"/>
          <w:sz w:val="18"/>
          <w:szCs w:val="18"/>
          <w:color w:val="010000"/>
        </w:rPr>
      </w:pPr>
    </w:p>
    <w:p>
      <w:pPr>
        <w:ind w:firstLine="1952"/>
        <w:spacing w:after="0" w:line="282" w:lineRule="auto"/>
        <w:tabs>
          <w:tab w:leader="none" w:pos="2592" w:val="left"/>
        </w:tabs>
        <w:numPr>
          <w:ilvl w:val="1"/>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1"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12 U.S.C. 5390(c)(8)(D).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BEGIN NEXT PAGE]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DIAMONDBACK E&amp;P LLC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DIAMONDBACK ENERGY, INC.</w:t>
      </w:r>
      <w:r>
        <w:rPr>
          <w:rFonts w:ascii="Times New Roman" w:cs="Times New Roman" w:eastAsia="Times New Roman" w:hAnsi="Times New Roman"/>
          <w:sz w:val="18"/>
          <w:szCs w:val="18"/>
          <w:color w:val="auto"/>
        </w:rPr>
        <w:t>, as the Parent Guarantor</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Loan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ind w:left="4520"/>
        <w:spacing w:after="0"/>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 individually as a Lender and as the Administrative Agent,</w:t>
      </w:r>
    </w:p>
    <w:p>
      <w:pPr>
        <w:spacing w:after="0" w:line="241"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Loan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09" w:name="page110"/>
    <w:bookmarkEnd w:id="109"/>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 Smothers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18"/>
          <w:szCs w:val="18"/>
          <w:color w:val="auto"/>
        </w:rPr>
        <w:t>Name: Greg Smothers</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0" w:name="page111"/>
    <w:bookmarkEnd w:id="110"/>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TORONTO-DOMINION BANK, NEW YORK BRANCH </w:t>
      </w:r>
      <w:r>
        <w:rPr>
          <w:rFonts w:ascii="Times New Roman" w:cs="Times New Roman" w:eastAsia="Times New Roman" w:hAnsi="Times New Roman"/>
          <w:sz w:val="18"/>
          <w:szCs w:val="18"/>
          <w:color w:val="auto"/>
        </w:rPr>
        <w:t>as a Lender:</w:t>
      </w:r>
    </w:p>
    <w:p>
      <w:pPr>
        <w:spacing w:after="0" w:line="159"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Evans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Evans Swann</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Loan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440" w:top="117" w:right="1079" w:bottom="1440" w:gutter="0" w:footer="0" w:header="0"/>
        </w:sectPr>
      </w:pPr>
    </w:p>
    <w:bookmarkStart w:id="111" w:name="page112"/>
    <w:bookmarkEnd w:id="111"/>
    <w:p>
      <w:pPr>
        <w:ind w:left="4520"/>
        <w:spacing w:after="0"/>
        <w:rPr>
          <w:sz w:val="20"/>
          <w:szCs w:val="20"/>
          <w:color w:val="auto"/>
        </w:rPr>
      </w:pPr>
      <w:r>
        <w:rPr>
          <w:rFonts w:ascii="Times New Roman" w:cs="Times New Roman" w:eastAsia="Times New Roman" w:hAnsi="Times New Roman"/>
          <w:sz w:val="17"/>
          <w:szCs w:val="17"/>
          <w:b w:val="1"/>
          <w:bCs w:val="1"/>
          <w:color w:val="auto"/>
        </w:rPr>
        <w:t>GOLDMAN SACHS BANK USA,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Charles Johnston</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ind w:left="4520"/>
        <w:spacing w:after="0"/>
        <w:rPr>
          <w:sz w:val="20"/>
          <w:szCs w:val="20"/>
          <w:color w:val="auto"/>
        </w:rPr>
      </w:pPr>
      <w:r>
        <w:rPr>
          <w:rFonts w:ascii="Times New Roman" w:cs="Times New Roman" w:eastAsia="Times New Roman" w:hAnsi="Times New Roman"/>
          <w:sz w:val="17"/>
          <w:szCs w:val="17"/>
          <w:b w:val="1"/>
          <w:bCs w:val="1"/>
          <w:color w:val="auto"/>
        </w:rPr>
        <w:t>MORGAN STANLEY BANK, N.A.,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3" w:name="page114"/>
    <w:bookmarkEnd w:id="113"/>
    <w:p>
      <w:pPr>
        <w:ind w:left="4520"/>
        <w:spacing w:after="0"/>
        <w:rPr>
          <w:sz w:val="20"/>
          <w:szCs w:val="20"/>
          <w:color w:val="auto"/>
        </w:rPr>
      </w:pPr>
      <w:r>
        <w:rPr>
          <w:rFonts w:ascii="Times New Roman" w:cs="Times New Roman" w:eastAsia="Times New Roman" w:hAnsi="Times New Roman"/>
          <w:sz w:val="17"/>
          <w:szCs w:val="17"/>
          <w:b w:val="1"/>
          <w:bCs w:val="1"/>
          <w:color w:val="auto"/>
        </w:rPr>
        <w:t>WELLS FARGO BANK, N.A.,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Michael Real</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4" w:name="page115"/>
    <w:bookmarkEnd w:id="114"/>
    <w:p>
      <w:pPr>
        <w:ind w:left="4520"/>
        <w:spacing w:after="0"/>
        <w:rPr>
          <w:sz w:val="20"/>
          <w:szCs w:val="20"/>
          <w:color w:val="auto"/>
        </w:rPr>
      </w:pPr>
      <w:r>
        <w:rPr>
          <w:rFonts w:ascii="Times New Roman" w:cs="Times New Roman" w:eastAsia="Times New Roman" w:hAnsi="Times New Roman"/>
          <w:sz w:val="17"/>
          <w:szCs w:val="17"/>
          <w:b w:val="1"/>
          <w:bCs w:val="1"/>
          <w:color w:val="auto"/>
        </w:rPr>
        <w:t>BARCLAYS BANK PLC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5" w:name="page116"/>
    <w:bookmarkEnd w:id="115"/>
    <w:p>
      <w:pPr>
        <w:ind w:left="4520"/>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Groll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Jason Groll</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6" w:name="page117"/>
    <w:bookmarkEnd w:id="116"/>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Kyle Gruen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Kyle Gruen</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7" w:name="page118"/>
    <w:bookmarkEnd w:id="117"/>
    <w:p>
      <w:pPr>
        <w:ind w:left="45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Brittany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Brittany Lehr</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8" w:name="page119"/>
    <w:bookmarkEnd w:id="118"/>
    <w:p>
      <w:pPr>
        <w:ind w:left="452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 J. McKinnerney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color w:val="auto"/>
        </w:rPr>
        <w:t>Name: Don J. McKinnerney</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9" w:name="page120"/>
    <w:bookmarkEnd w:id="119"/>
    <w:p>
      <w:pPr>
        <w:ind w:left="4520"/>
        <w:spacing w:after="0"/>
        <w:rPr>
          <w:sz w:val="20"/>
          <w:szCs w:val="20"/>
          <w:color w:val="auto"/>
        </w:rPr>
      </w:pPr>
      <w:r>
        <w:rPr>
          <w:rFonts w:ascii="Times New Roman" w:cs="Times New Roman" w:eastAsia="Times New Roman" w:hAnsi="Times New Roman"/>
          <w:sz w:val="17"/>
          <w:szCs w:val="17"/>
          <w:b w:val="1"/>
          <w:bCs w:val="1"/>
          <w:color w:val="auto"/>
        </w:rPr>
        <w:t>THE BANK OF NOVA SCOTIA, HOUSTON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Sam Cutler</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 Krablin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8"/>
          <w:szCs w:val="18"/>
          <w:color w:val="auto"/>
        </w:rPr>
        <w:t>Name: Greg Krablin</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1" w:name="page122"/>
    <w:bookmarkEnd w:id="121"/>
    <w:p>
      <w:pPr>
        <w:ind w:left="45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Bruce Hernandez</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any Lender requiring a second signature block:</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2" w:name="page123"/>
    <w:bookmarkEnd w:id="122"/>
    <w:p>
      <w:pPr>
        <w:ind w:left="4520"/>
        <w:spacing w:after="0"/>
        <w:rPr>
          <w:sz w:val="20"/>
          <w:szCs w:val="20"/>
          <w:color w:val="auto"/>
        </w:rPr>
      </w:pPr>
      <w:r>
        <w:rPr>
          <w:rFonts w:ascii="Times New Roman" w:cs="Times New Roman" w:eastAsia="Times New Roman" w:hAnsi="Times New Roman"/>
          <w:sz w:val="18"/>
          <w:szCs w:val="18"/>
          <w:b w:val="1"/>
          <w:bCs w:val="1"/>
          <w:color w:val="auto"/>
        </w:rPr>
        <w:t>Comerica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Cassandra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Cassandra Lucas</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3" w:name="page124"/>
    <w:bookmarkEnd w:id="123"/>
    <w:p>
      <w:pPr>
        <w:ind w:left="4520"/>
        <w:spacing w:after="0"/>
        <w:rPr>
          <w:sz w:val="20"/>
          <w:szCs w:val="20"/>
          <w:color w:val="auto"/>
        </w:rPr>
      </w:pPr>
      <w:r>
        <w:rPr>
          <w:rFonts w:ascii="Times New Roman" w:cs="Times New Roman" w:eastAsia="Times New Roman" w:hAnsi="Times New Roman"/>
          <w:sz w:val="17"/>
          <w:szCs w:val="17"/>
          <w:b w:val="1"/>
          <w:bCs w:val="1"/>
          <w:color w:val="auto"/>
        </w:rPr>
        <w:t>BOKF, NA dba Bank of Oklahoma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Krenger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John Krenger</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Term Loan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010000"/>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880" w:type="dxa"/>
            <w:vAlign w:val="bottom"/>
            <w:tcBorders>
              <w:top w:val="single" w:sz="8" w:color="auto"/>
              <w:left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Name of Lender</w:t>
            </w:r>
          </w:p>
        </w:tc>
        <w:tc>
          <w:tcPr>
            <w:tcW w:w="2680" w:type="dxa"/>
            <w:vAlign w:val="bottom"/>
            <w:tcBorders>
              <w:top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Tranche A</w:t>
            </w:r>
          </w:p>
        </w:tc>
        <w:tc>
          <w:tcPr>
            <w:tcW w:w="2680" w:type="dxa"/>
            <w:vAlign w:val="bottom"/>
            <w:tcBorders>
              <w:top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Tranche B</w:t>
            </w:r>
          </w:p>
        </w:tc>
      </w:tr>
      <w:tr>
        <w:trPr>
          <w:trHeight w:val="210"/>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Citibank, N.A.</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$42,500,000</w:t>
            </w:r>
          </w:p>
        </w:tc>
      </w:tr>
      <w:tr>
        <w:trPr>
          <w:trHeight w:val="209"/>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Bank of America, N.A.</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$40,000,000</w:t>
            </w:r>
          </w:p>
        </w:tc>
      </w:tr>
      <w:tr>
        <w:trPr>
          <w:trHeight w:val="209"/>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$40,000,000</w:t>
            </w:r>
          </w:p>
        </w:tc>
      </w:tr>
      <w:tr>
        <w:trPr>
          <w:trHeight w:val="210"/>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Goldman Sachs Bank USA</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$37,500,000</w:t>
            </w:r>
          </w:p>
        </w:tc>
      </w:tr>
      <w:tr>
        <w:trPr>
          <w:trHeight w:val="209"/>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Morgan Stanley Bank, N.A.</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$37,500,000</w:t>
            </w:r>
          </w:p>
        </w:tc>
      </w:tr>
      <w:tr>
        <w:trPr>
          <w:trHeight w:val="209"/>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$37,500,000</w:t>
            </w:r>
          </w:p>
        </w:tc>
      </w:tr>
      <w:tr>
        <w:trPr>
          <w:trHeight w:val="210"/>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Barclays Bank PLC</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09"/>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Capital One, National Association</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10"/>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JPMorgan Chase Bank, N.A.</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09"/>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09"/>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 Bank of Canada</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10"/>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Bank of Nova Scotia</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09"/>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Truist Bank</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09"/>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r>
      <w:tr>
        <w:trPr>
          <w:trHeight w:val="210"/>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Comerica Bank</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$12,500,000</w:t>
            </w:r>
          </w:p>
        </w:tc>
      </w:tr>
      <w:tr>
        <w:trPr>
          <w:trHeight w:val="209"/>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BOKF, NA dba Bank of Oklahoma</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$12,500,000</w:t>
            </w:r>
          </w:p>
        </w:tc>
      </w:tr>
      <w:tr>
        <w:trPr>
          <w:trHeight w:val="210"/>
        </w:trPr>
        <w:tc>
          <w:tcPr>
            <w:tcW w:w="58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$1,000,000,000</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$500,000,000</w:t>
            </w:r>
          </w:p>
        </w:tc>
      </w:tr>
      <w:tr>
        <w:trPr>
          <w:trHeight w:val="176"/>
        </w:trPr>
        <w:tc>
          <w:tcPr>
            <w:tcW w:w="58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010000"/>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spacing w:after="0"/>
        <w:tabs>
          <w:tab w:leader="none" w:pos="580" w:val="left"/>
          <w:tab w:leader="none" w:pos="10120" w:val="left"/>
          <w:tab w:leader="none" w:pos="10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20[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the principal office of CITIBANK, N.A.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principal sum of [ ] dollars ($[ ]) (or such lesser amount as shall equal the aggregate unpaid principal amount of the Loans made by the Lender to the Borrower under the Credit Agreement, as hereinafter defined), in lawful money of the United States of America and in immediately available funds, on the dates and in the principal amounts provided in the Credit Agreement, and to pay interest on the unpaid principal amount of each such Loan, at such office, in like money and funds, for the period commencing on the date of such Loan until such Loan shall be paid in full, at the rates per annum and on the dates provided in the Credit Agreement.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date, amount, Type, interest rate, Interest Period and maturity of each Loan made by the Lender to the Borrower, and each payment made on account of the principal thereof, shall be recorded by the Lender on its books and, prior to any transfer of this Note, may be endorsed by the Lender on the schedules attached hereto or any continuation thereof or on any separate record maintained by the Lender. Failure to make any such notation or to attach a schedule shall not affect any Lender’s or the Borrower’s rights or obligations in respect of such Loans or affect the validity of such transfer by any Lender of this Note.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Note is one of the Notes referred to in the Term Loan Credit Agreement dated as of February 29, 2024 among the Parent Guarantor, the Borrower, the Administrative Agent and the other agents and lenders signatory thereto (including the Lender), and evidences Loans made by the Lender thereunder (such Credit Agreement as the same may be amended, supplemented 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in this Note have the respective meanings assigned to them in the Credit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Note is issued pursuant to, and is subject to the terms and conditions set forth in, the Credit Agreement and is entitled to the benefits provided for in the Credit Agreement and the other Loan Documents. The Credit Agreement provides for the acceleration of the maturity of this Note upon the occurrence of certain events, for prepayments of Loans upon the terms and conditions specified therein and other provisions relevant to this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9" w:lineRule="exact"/>
        <w:rPr>
          <w:sz w:val="20"/>
          <w:szCs w:val="20"/>
          <w:color w:val="auto"/>
        </w:rPr>
      </w:pPr>
    </w:p>
    <w:p>
      <w:pPr>
        <w:ind w:left="5820" w:hanging="923"/>
        <w:spacing w:after="0"/>
        <w:tabs>
          <w:tab w:leader="none" w:pos="5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 ]</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 Term Loan Credit Agreement dated as of February 29, 2024 (together with all amendments, restatements, supplements or other modifications thereto,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Diamondback Energy, Inc.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the Borrower, Citibank, N.A., as Administrative Agent and the other agents and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which are or become parties thereto (unless otherwise defined herein, each capitalized term used herein is defined in the Credit Agreement), hereby requests a Borrowing as follows:</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010000"/>
        </w:rPr>
        <w:t>(i)</w:t>
      </w:r>
      <w:r>
        <w:rPr>
          <w:sz w:val="20"/>
          <w:szCs w:val="20"/>
          <w:color w:val="auto"/>
        </w:rPr>
        <w:tab/>
      </w:r>
      <w:r>
        <w:rPr>
          <w:rFonts w:ascii="Times New Roman" w:cs="Times New Roman" w:eastAsia="Times New Roman" w:hAnsi="Times New Roman"/>
          <w:sz w:val="18"/>
          <w:szCs w:val="18"/>
          <w:color w:val="auto"/>
        </w:rPr>
        <w:t>Aggregate amount of the requested Borrowing is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2" w:lineRule="exact"/>
        <w:rPr>
          <w:sz w:val="20"/>
          <w:szCs w:val="20"/>
          <w:color w:val="auto"/>
        </w:rPr>
      </w:pPr>
    </w:p>
    <w:p>
      <w:pPr>
        <w:sectPr>
          <w:pgSz w:w="11900" w:h="16838" w:orient="portrait"/>
          <w:cols w:equalWidth="0" w:num="2">
            <w:col w:w="5160" w:space="720"/>
            <w:col w:w="5360"/>
          </w:cols>
          <w:pgMar w:left="320" w:top="117" w:right="339" w:bottom="1440" w:gutter="0" w:footer="0" w:header="0"/>
          <w:type w:val="continuous"/>
        </w:sectPr>
      </w:pPr>
    </w:p>
    <w:p>
      <w:pPr>
        <w:spacing w:after="0" w:line="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010000"/>
        </w:rPr>
        <w:t>(ii)</w:t>
      </w:r>
      <w:r>
        <w:rPr>
          <w:sz w:val="20"/>
          <w:szCs w:val="20"/>
          <w:color w:val="auto"/>
        </w:rPr>
        <w:tab/>
      </w:r>
      <w:r>
        <w:rPr>
          <w:rFonts w:ascii="Times New Roman" w:cs="Times New Roman" w:eastAsia="Times New Roman" w:hAnsi="Times New Roman"/>
          <w:sz w:val="17"/>
          <w:szCs w:val="17"/>
          <w:color w:val="auto"/>
        </w:rPr>
        <w:t>Date of such Borrowing is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3">
            <w:col w:w="3440" w:space="720"/>
            <w:col w:w="400" w:space="260"/>
            <w:col w:w="6420"/>
          </w:cols>
          <w:pgMar w:left="320" w:top="117" w:right="339" w:bottom="1440" w:gutter="0" w:footer="0" w:header="0"/>
          <w:type w:val="continuous"/>
        </w:sectPr>
      </w:pPr>
    </w:p>
    <w:p>
      <w:pPr>
        <w:spacing w:after="0" w:line="25"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Requested Borrowing is to be [an ABR Borrowing] [a SOFR Borrowing];</w:t>
      </w:r>
    </w:p>
    <w:p>
      <w:pPr>
        <w:spacing w:after="0" w:line="225" w:lineRule="exact"/>
        <w:rPr>
          <w:sz w:val="20"/>
          <w:szCs w:val="20"/>
          <w:color w:val="auto"/>
        </w:rPr>
      </w:pPr>
    </w:p>
    <w:p>
      <w:pPr>
        <w:ind w:left="660"/>
        <w:spacing w:after="0"/>
        <w:tabs>
          <w:tab w:leader="none" w:pos="1280" w:val="left"/>
          <w:tab w:leader="none" w:pos="8020" w:val="left"/>
        </w:tabs>
        <w:rPr>
          <w:sz w:val="20"/>
          <w:szCs w:val="20"/>
          <w:color w:val="auto"/>
        </w:rPr>
      </w:pPr>
      <w:r>
        <w:rPr>
          <w:rFonts w:ascii="Times New Roman" w:cs="Times New Roman" w:eastAsia="Times New Roman" w:hAnsi="Times New Roman"/>
          <w:sz w:val="18"/>
          <w:szCs w:val="18"/>
          <w:color w:val="010000"/>
        </w:rPr>
        <w:t>(iv)</w:t>
      </w:r>
      <w:r>
        <w:rPr>
          <w:sz w:val="20"/>
          <w:szCs w:val="20"/>
          <w:color w:val="auto"/>
        </w:rPr>
        <w:tab/>
      </w:r>
      <w:r>
        <w:rPr>
          <w:rFonts w:ascii="Times New Roman" w:cs="Times New Roman" w:eastAsia="Times New Roman" w:hAnsi="Times New Roman"/>
          <w:sz w:val="18"/>
          <w:szCs w:val="18"/>
          <w:color w:val="auto"/>
        </w:rPr>
        <w:t>In the case of a SOFR Borrowing, the initial Interest Period applicable thereto is [</w:t>
      </w:r>
      <w:r>
        <w:rPr>
          <w:sz w:val="20"/>
          <w:szCs w:val="20"/>
          <w:color w:val="auto"/>
        </w:rPr>
        <w:tab/>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Location and number of the Borrower’s account to which funds are to be disbursed is as follows:</w:t>
      </w:r>
    </w:p>
    <w:p>
      <w:pPr>
        <w:spacing w:after="0" w:line="22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170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1709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1709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170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1709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[(vi) the Borrowing is conditioned upon the occurrence of [ ]. This Borrowing Request shall be automatically revoked if [ ] does not occur on or about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certifies that he/she is the _______________ of the Borrower, and that as such he/she is authorized to execute this Borrowing Request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Borrower,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7" w:name="page128"/>
    <w:bookmarkEnd w:id="127"/>
    <w:p>
      <w:pPr>
        <w:ind w:left="4520"/>
        <w:spacing w:after="0"/>
        <w:rPr>
          <w:sz w:val="20"/>
          <w:szCs w:val="20"/>
          <w:color w:val="auto"/>
        </w:rPr>
      </w:pPr>
      <w:r>
        <w:rPr>
          <w:rFonts w:ascii="Times New Roman" w:cs="Times New Roman" w:eastAsia="Times New Roman" w:hAnsi="Times New Roman"/>
          <w:sz w:val="17"/>
          <w:szCs w:val="17"/>
          <w:color w:val="auto"/>
        </w:rPr>
        <w:t>DIAMONDBACK E&amp;P LLC</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124460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INTEREST ELECTION REQUEST</w:t>
      </w:r>
    </w:p>
    <w:p>
      <w:pPr>
        <w:spacing w:after="0" w:line="229" w:lineRule="exact"/>
        <w:rPr>
          <w:sz w:val="20"/>
          <w:szCs w:val="20"/>
          <w:color w:val="auto"/>
        </w:rPr>
      </w:pPr>
    </w:p>
    <w:p>
      <w:pPr>
        <w:ind w:left="5740" w:hanging="776"/>
        <w:spacing w:after="0"/>
        <w:tabs>
          <w:tab w:leader="none" w:pos="57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 ]</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the Term Loan Credit Agreement dated as of February 29, 2024 (together with all amendments, restatements, supplements or other modifications thereto,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Diamondback Energy, Inc.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the Borrower, Citibank, N.A., as Administrative Agent and the other agents and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which are or become parties thereto (unless otherwise defined herein, each capitalized term used herein is defined in the Credit Agreement), hereby makes an Interest Election Request as follows:</w:t>
      </w:r>
    </w:p>
    <w:p>
      <w:pPr>
        <w:spacing w:after="0" w:line="183"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Borrowing to which this Interest Election Request applies, and if different options are being elected with respect to different portions</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thereof, the portions thereof to be allocated to each resulting Borrowing (in which case the information specified pursuant to (iii) and (iv) below shall be</w:t>
      </w:r>
    </w:p>
    <w:p>
      <w:pPr>
        <w:spacing w:after="0" w:line="225"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specified for each resulting Borrowing) is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010000"/>
        </w:rPr>
        <w:t>(ii)</w:t>
      </w:r>
      <w:r>
        <w:rPr>
          <w:sz w:val="20"/>
          <w:szCs w:val="20"/>
          <w:color w:val="auto"/>
        </w:rPr>
        <w:tab/>
      </w:r>
      <w:r>
        <w:rPr>
          <w:rFonts w:ascii="Times New Roman" w:cs="Times New Roman" w:eastAsia="Times New Roman" w:hAnsi="Times New Roman"/>
          <w:sz w:val="17"/>
          <w:szCs w:val="17"/>
          <w:color w:val="auto"/>
        </w:rPr>
        <w:t>The effective date of the election made pursuant to this Interest Election Request is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 ];[and]</w:t>
      </w:r>
    </w:p>
    <w:p>
      <w:pPr>
        <w:spacing w:after="0" w:line="200" w:lineRule="exact"/>
        <w:rPr>
          <w:sz w:val="20"/>
          <w:szCs w:val="20"/>
          <w:color w:val="auto"/>
        </w:rPr>
      </w:pPr>
    </w:p>
    <w:p>
      <w:pPr>
        <w:sectPr>
          <w:pgSz w:w="11900" w:h="16838" w:orient="portrait"/>
          <w:cols w:equalWidth="0" w:num="2">
            <w:col w:w="7380" w:space="720"/>
            <w:col w:w="3140"/>
          </w:cols>
          <w:pgMar w:left="320" w:top="117" w:right="339" w:bottom="1440" w:gutter="0" w:footer="0" w:header="0"/>
          <w:type w:val="continuous"/>
        </w:sectPr>
      </w:pPr>
    </w:p>
    <w:p>
      <w:pPr>
        <w:spacing w:after="0" w:line="25"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resulting Borrowing is to be [an ABR Borrowing] [a SOFR Borrowing][; and]</w:t>
      </w:r>
    </w:p>
    <w:p>
      <w:pPr>
        <w:spacing w:after="0" w:line="225" w:lineRule="exact"/>
        <w:rPr>
          <w:sz w:val="20"/>
          <w:szCs w:val="20"/>
          <w:color w:val="auto"/>
        </w:rPr>
      </w:pPr>
    </w:p>
    <w:p>
      <w:pPr>
        <w:ind w:left="1220" w:hanging="564"/>
        <w:spacing w:after="0"/>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SOFR Borrowing] The Interest Period applicable to the resulting Borrowing after giving effect to such</w:t>
      </w:r>
    </w:p>
    <w:p>
      <w:pPr>
        <w:spacing w:after="0" w:line="2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election is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certifies that he/she is the [______________] of the Parent Guarantor and the [______________] of the Borrower, and that as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he/she is authorized to execute this certificate on behalf of the Parent Guarantor and the Borrower, as applicable. The undersigned further certifies, represents and warrants on behalf of the Parent Guarantor and the Borrower, as applicable, that the Borrower is entitled to receive the requested continuation or conversion under the terms and conditions of the Credit Agreement.</w:t>
      </w:r>
    </w:p>
    <w:p>
      <w:pPr>
        <w:spacing w:after="0" w:line="1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[_____________], 20[_]</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he/she is the [ ] of Diamondback Energy, Inc., a Delaware limited liability company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the [_____________] of 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that as such he/she is</w:t>
      </w:r>
    </w:p>
    <w:p>
      <w:pPr>
        <w:jc w:val="both"/>
        <w:spacing w:after="0" w:line="253" w:lineRule="auto"/>
        <w:rPr>
          <w:sz w:val="20"/>
          <w:szCs w:val="20"/>
          <w:color w:val="auto"/>
        </w:rPr>
      </w:pPr>
      <w:r>
        <w:rPr>
          <w:rFonts w:ascii="Times New Roman" w:cs="Times New Roman" w:eastAsia="Times New Roman" w:hAnsi="Times New Roman"/>
          <w:sz w:val="18"/>
          <w:szCs w:val="18"/>
          <w:color w:val="auto"/>
        </w:rPr>
        <w:t>authorized to execute this certificate on behalf of the Parent Guarantor and the Borrower. With reference to the Term Loan Credit Agreement dated as of February 29, 2024 (together with all amendments, restatements, supplements or other modifications thereto being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Parent Guarantor, the Borrower, Citibank, N.A., as Administrative Agent, and the other agents and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which are or become a party thereto, the undersigned represents and warrants as follows (each capitalized term used herein having the same meaning given to it in the Agreement unless otherwise specified):</w:t>
      </w:r>
    </w:p>
    <w:p>
      <w:pPr>
        <w:spacing w:after="0" w:line="187" w:lineRule="exact"/>
        <w:rPr>
          <w:sz w:val="20"/>
          <w:szCs w:val="20"/>
          <w:color w:val="auto"/>
        </w:rPr>
      </w:pPr>
    </w:p>
    <w:p>
      <w:pPr>
        <w:jc w:val="both"/>
        <w:ind w:firstLine="656"/>
        <w:spacing w:after="0" w:line="258" w:lineRule="auto"/>
        <w:tabs>
          <w:tab w:leader="none" w:pos="1296"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representations and warranties of the Parent Guarantor and the Borrower contained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Agreement and in the other Loan Documents and otherwise made in writing by or on behalf of the Parent Guarantor and the Borrower pursuant to the Agreement and the other Loan Documents were true and correct when made, and are repeated at and as of the time of delivery hereof and are true and correct in all material respects at and as of the time of delivery hereof, except to the extent such representations and warranties are expressly limited to an earlier date or the Majority Lenders have expressly consented in writing to the contrary.</w:t>
      </w:r>
    </w:p>
    <w:p>
      <w:pPr>
        <w:spacing w:after="0" w:line="183"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96"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and the Borrower have performed and complied with all agreements and conditions contained in the Agreement and in the other Loan Documents required to be performed or complied with by them prior to or at the time of delivery hereof [or specify default and describe].</w:t>
      </w:r>
    </w:p>
    <w:p>
      <w:pPr>
        <w:spacing w:after="0" w:line="165" w:lineRule="exact"/>
        <w:rPr>
          <w:rFonts w:ascii="Times New Roman" w:cs="Times New Roman" w:eastAsia="Times New Roman" w:hAnsi="Times New Roman"/>
          <w:sz w:val="18"/>
          <w:szCs w:val="18"/>
          <w:color w:val="010000"/>
        </w:rPr>
      </w:pPr>
    </w:p>
    <w:p>
      <w:pPr>
        <w:ind w:right="20" w:firstLine="656"/>
        <w:spacing w:after="0" w:line="204" w:lineRule="auto"/>
        <w:tabs>
          <w:tab w:leader="none" w:pos="1296"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December 31, 20[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no change has occurred in the condition, financial or otherwise, of the Parent Guarantor, the Borrower or any Restricted Subsidiary which would reasonably be expected to have a Material Adverse Effect [or specify event].</w:t>
      </w:r>
    </w:p>
    <w:p>
      <w:pPr>
        <w:spacing w:after="0" w:line="19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exists no Default or Event of Default [or specify Default and describe].</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Attached hereto are the detailed computations necessary to determine whether the Parent Guarantor and the Borrower are in compliance</w:t>
      </w:r>
    </w:p>
    <w:p>
      <w:pPr>
        <w:spacing w:after="0" w:line="2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as of the end of the [fiscal quarter][fiscal year] ending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4230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0"/>
          <w:szCs w:val="20"/>
          <w:color w:val="auto"/>
        </w:rPr>
      </w:pPr>
    </w:p>
    <w:p>
      <w:pPr>
        <w:ind w:left="120" w:hanging="112"/>
        <w:spacing w:after="0"/>
        <w:tabs>
          <w:tab w:leader="none" w:pos="120" w:val="left"/>
        </w:tabs>
        <w:numPr>
          <w:ilvl w:val="0"/>
          <w:numId w:val="1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Specify date of last audited financials.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EXECUTED AND DELIVERED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DIAMONDBACK ENERGY, INC.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117475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010000"/>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Second Amended and Restated Credit Agreement identified below (as amended,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receipt of a copy of which is hereby acknowledged by the Assignee. The Standard Terms and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p>
      <w:pPr>
        <w:spacing w:after="0"/>
        <w:tabs>
          <w:tab w:leader="none" w:pos="440" w:val="left"/>
          <w:tab w:leader="none" w:pos="1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Assignor:</w:t>
      </w:r>
      <w:r>
        <w:rPr>
          <w:sz w:val="20"/>
          <w:szCs w:val="20"/>
          <w:color w:val="auto"/>
        </w:rPr>
        <w:tab/>
      </w:r>
      <w:r>
        <w:rPr>
          <w:rFonts w:ascii="Times New Roman" w:cs="Times New Roman" w:eastAsia="Times New Roman" w:hAnsi="Times New Roman"/>
          <w:sz w:val="18"/>
          <w:szCs w:val="18"/>
          <w:color w:val="auto"/>
        </w:rPr>
        <w:t>______________________________</w:t>
      </w:r>
    </w:p>
    <w:p>
      <w:pPr>
        <w:spacing w:after="0" w:line="225" w:lineRule="exact"/>
        <w:rPr>
          <w:sz w:val="20"/>
          <w:szCs w:val="20"/>
          <w:color w:val="auto"/>
        </w:rPr>
      </w:pPr>
    </w:p>
    <w:p>
      <w:pPr>
        <w:spacing w:after="0"/>
        <w:tabs>
          <w:tab w:leader="none" w:pos="440" w:val="left"/>
          <w:tab w:leader="none" w:pos="15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Assignee:</w:t>
      </w:r>
      <w:r>
        <w:rPr>
          <w:sz w:val="20"/>
          <w:szCs w:val="20"/>
          <w:color w:val="auto"/>
        </w:rPr>
        <w:tab/>
      </w:r>
      <w:r>
        <w:rPr>
          <w:rFonts w:ascii="Times New Roman" w:cs="Times New Roman" w:eastAsia="Times New Roman" w:hAnsi="Times New Roman"/>
          <w:sz w:val="18"/>
          <w:szCs w:val="18"/>
          <w:color w:val="auto"/>
        </w:rPr>
        <w:t>______________________________</w:t>
      </w:r>
    </w:p>
    <w:p>
      <w:pPr>
        <w:spacing w:after="0" w:line="21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[and is an Affiliate of [identify Lender]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tabs>
          <w:tab w:leader="none" w:pos="440" w:val="left"/>
          <w:tab w:leader="none" w:pos="1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Borrower:</w:t>
      </w:r>
      <w:r>
        <w:rPr>
          <w:sz w:val="20"/>
          <w:szCs w:val="20"/>
          <w:color w:val="auto"/>
        </w:rPr>
        <w:tab/>
      </w: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460" w:hanging="452"/>
        <w:spacing w:after="0"/>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Citibank, N.A., as the administrative agent under the Credit Agreement</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The Term Loan Credit Agreement dated as of February 29, 2024 among Diamondback E&amp;P LLC, Diamondback Energy, Inc., the Lenders parties thereto, Citibank, N.A., as Administrative Agent, and the other agents parties thereto, together with all amendments, restatements, supplements or other modifications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6.</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Assigned Interest:</w:t>
            </w:r>
          </w:p>
        </w:tc>
        <w:tc>
          <w:tcPr>
            <w:tcW w:w="2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43"/>
        </w:trPr>
        <w:tc>
          <w:tcPr>
            <w:tcW w:w="3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r>
      <w:tr>
        <w:trPr>
          <w:trHeight w:val="187"/>
        </w:trPr>
        <w:tc>
          <w:tcPr>
            <w:tcW w:w="300" w:type="dxa"/>
            <w:vAlign w:val="bottom"/>
            <w:tcBorders>
              <w:lef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Aggregate Amount of</w:t>
            </w:r>
          </w:p>
        </w:tc>
        <w:tc>
          <w:tcPr>
            <w:tcW w:w="28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2780" w:type="dxa"/>
            <w:vAlign w:val="bottom"/>
            <w:tcBorders>
              <w:right w:val="single" w:sz="8" w:color="auto"/>
            </w:tcBorders>
          </w:tcPr>
          <w:p>
            <w:pPr>
              <w:spacing w:after="0"/>
              <w:rPr>
                <w:sz w:val="16"/>
                <w:szCs w:val="16"/>
                <w:color w:val="auto"/>
              </w:rPr>
            </w:pPr>
          </w:p>
        </w:tc>
      </w:tr>
      <w:tr>
        <w:trPr>
          <w:trHeight w:val="206"/>
        </w:trPr>
        <w:tc>
          <w:tcPr>
            <w:tcW w:w="300" w:type="dxa"/>
            <w:vAlign w:val="bottom"/>
            <w:tcBorders>
              <w:left w:val="single" w:sz="8" w:color="auto"/>
            </w:tcBorders>
          </w:tcPr>
          <w:p>
            <w:pPr>
              <w:spacing w:after="0"/>
              <w:rPr>
                <w:sz w:val="17"/>
                <w:szCs w:val="17"/>
                <w:color w:val="auto"/>
              </w:rPr>
            </w:pPr>
          </w:p>
        </w:tc>
        <w:tc>
          <w:tcPr>
            <w:tcW w:w="254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Commitment/Loans</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Commitment/Loans</w:t>
            </w:r>
          </w:p>
        </w:tc>
        <w:tc>
          <w:tcPr>
            <w:tcW w:w="278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Percentage Assigned of</w:t>
            </w:r>
          </w:p>
        </w:tc>
      </w:tr>
      <w:tr>
        <w:trPr>
          <w:trHeight w:val="248"/>
        </w:trPr>
        <w:tc>
          <w:tcPr>
            <w:tcW w:w="300" w:type="dxa"/>
            <w:vAlign w:val="bottom"/>
            <w:tcBorders>
              <w:left w:val="single" w:sz="8" w:color="auto"/>
              <w:bottom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Assigned</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all Lenders</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Assigned</w:t>
            </w:r>
          </w:p>
        </w:tc>
        <w:tc>
          <w:tcPr>
            <w:tcW w:w="2780" w:type="dxa"/>
            <w:vAlign w:val="bottom"/>
            <w:tcBorders>
              <w:bottom w:val="single" w:sz="8" w:color="auto"/>
              <w:right w:val="single" w:sz="8" w:color="auto"/>
            </w:tcBorders>
          </w:tcPr>
          <w:p>
            <w:pPr>
              <w:jc w:val="right"/>
              <w:ind w:right="511"/>
              <w:spacing w:after="0" w:line="247" w:lineRule="exact"/>
              <w:rPr>
                <w:sz w:val="20"/>
                <w:szCs w:val="20"/>
                <w:color w:val="auto"/>
              </w:rPr>
            </w:pPr>
            <w:r>
              <w:rPr>
                <w:rFonts w:ascii="Times New Roman" w:cs="Times New Roman" w:eastAsia="Times New Roman" w:hAnsi="Times New Roman"/>
                <w:sz w:val="17"/>
                <w:szCs w:val="17"/>
                <w:b w:val="1"/>
                <w:bCs w:val="1"/>
                <w:color w:val="auto"/>
              </w:rPr>
              <w:t>Commitment/Loans</w:t>
            </w:r>
            <w:r>
              <w:rPr>
                <w:rFonts w:ascii="Times New Roman" w:cs="Times New Roman" w:eastAsia="Times New Roman" w:hAnsi="Times New Roman"/>
                <w:sz w:val="28"/>
                <w:szCs w:val="28"/>
                <w:b w:val="1"/>
                <w:bCs w:val="1"/>
                <w:color w:val="auto"/>
                <w:vertAlign w:val="superscript"/>
              </w:rPr>
              <w:t>3</w:t>
            </w:r>
          </w:p>
        </w:tc>
      </w:tr>
      <w:tr>
        <w:trPr>
          <w:trHeight w:val="209"/>
        </w:trPr>
        <w:tc>
          <w:tcPr>
            <w:tcW w:w="300" w:type="dxa"/>
            <w:vAlign w:val="bottom"/>
            <w:tcBorders>
              <w:left w:val="single" w:sz="8" w:color="auto"/>
              <w:bottom w:val="single" w:sz="8" w:color="auto"/>
            </w:tcBorders>
            <w:shd w:val="clear" w:color="auto" w:fill="CCEEFF"/>
          </w:tcPr>
          <w:p>
            <w:pPr>
              <w:spacing w:after="0"/>
              <w:rPr>
                <w:sz w:val="18"/>
                <w:szCs w:val="18"/>
                <w:color w:val="auto"/>
              </w:rPr>
            </w:pPr>
          </w:p>
        </w:tc>
        <w:tc>
          <w:tcPr>
            <w:tcW w:w="2540" w:type="dxa"/>
            <w:vAlign w:val="bottom"/>
            <w:tcBorders>
              <w:bottom w:val="single" w:sz="8" w:color="auto"/>
              <w:right w:val="single" w:sz="8" w:color="auto"/>
            </w:tcBorders>
            <w:shd w:val="clear" w:color="auto" w:fill="CCEEFF"/>
          </w:tcPr>
          <w:p>
            <w:pPr>
              <w:spacing w:after="0"/>
              <w:rPr>
                <w:sz w:val="18"/>
                <w:szCs w:val="18"/>
                <w:color w:val="auto"/>
              </w:rPr>
            </w:pPr>
          </w:p>
        </w:tc>
        <w:tc>
          <w:tcPr>
            <w:tcW w:w="2800" w:type="dxa"/>
            <w:vAlign w:val="bottom"/>
            <w:tcBorders>
              <w:bottom w:val="single" w:sz="8" w:color="auto"/>
              <w:right w:val="single" w:sz="8" w:color="auto"/>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shd w:val="clear" w:color="auto" w:fill="CCEEFF"/>
          </w:tcPr>
          <w:p>
            <w:pPr>
              <w:jc w:val="right"/>
              <w:ind w:right="255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bottom w:val="single" w:sz="8" w:color="auto"/>
              <w:right w:val="single" w:sz="8" w:color="auto"/>
            </w:tcBorders>
            <w:shd w:val="clear" w:color="auto" w:fill="CCEEFF"/>
          </w:tcPr>
          <w:p>
            <w:pPr>
              <w:jc w:val="right"/>
              <w:ind w:right="245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0" w:type="dxa"/>
            <w:vAlign w:val="bottom"/>
            <w:tcBorders>
              <w:left w:val="single" w:sz="8" w:color="auto"/>
              <w:bottom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right"/>
              <w:ind w:right="2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right"/>
              <w:ind w:right="255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bottom w:val="single" w:sz="8" w:color="auto"/>
              <w:right w:val="single" w:sz="8" w:color="auto"/>
            </w:tcBorders>
          </w:tcPr>
          <w:p>
            <w:pPr>
              <w:jc w:val="right"/>
              <w:ind w:right="245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0" w:type="dxa"/>
            <w:vAlign w:val="bottom"/>
            <w:tcBorders>
              <w:left w:val="single" w:sz="8" w:color="auto"/>
              <w:bottom w:val="single" w:sz="8" w:color="auto"/>
            </w:tcBorders>
            <w:shd w:val="clear" w:color="auto" w:fill="CCEEFF"/>
          </w:tcPr>
          <w:p>
            <w:pPr>
              <w:spacing w:after="0"/>
              <w:rPr>
                <w:sz w:val="18"/>
                <w:szCs w:val="18"/>
                <w:color w:val="auto"/>
              </w:rPr>
            </w:pPr>
          </w:p>
        </w:tc>
        <w:tc>
          <w:tcPr>
            <w:tcW w:w="2540" w:type="dxa"/>
            <w:vAlign w:val="bottom"/>
            <w:tcBorders>
              <w:bottom w:val="single" w:sz="8" w:color="auto"/>
              <w:right w:val="single" w:sz="8" w:color="auto"/>
            </w:tcBorders>
            <w:shd w:val="clear" w:color="auto" w:fill="CCEEFF"/>
          </w:tcPr>
          <w:p>
            <w:pPr>
              <w:spacing w:after="0"/>
              <w:rPr>
                <w:sz w:val="18"/>
                <w:szCs w:val="18"/>
                <w:color w:val="auto"/>
              </w:rPr>
            </w:pPr>
          </w:p>
        </w:tc>
        <w:tc>
          <w:tcPr>
            <w:tcW w:w="2800" w:type="dxa"/>
            <w:vAlign w:val="bottom"/>
            <w:tcBorders>
              <w:bottom w:val="single" w:sz="8" w:color="auto"/>
              <w:right w:val="single" w:sz="8" w:color="auto"/>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shd w:val="clear" w:color="auto" w:fill="CCEEFF"/>
          </w:tcPr>
          <w:p>
            <w:pPr>
              <w:jc w:val="right"/>
              <w:ind w:right="255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bottom w:val="single" w:sz="8" w:color="auto"/>
              <w:right w:val="single" w:sz="8" w:color="auto"/>
            </w:tcBorders>
            <w:shd w:val="clear" w:color="auto" w:fill="CCEEFF"/>
          </w:tcPr>
          <w:p>
            <w:pPr>
              <w:jc w:val="right"/>
              <w:ind w:right="245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Date: _________________ ___, 20__ [TO BE INSERTED BY ADMINISTRATIVE AGENT AND WHICH SHALL BE THE</w:t>
      </w:r>
    </w:p>
    <w:p>
      <w:pPr>
        <w:spacing w:after="0" w:line="27"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7"/>
          <w:szCs w:val="17"/>
          <w:color w:val="auto"/>
        </w:rPr>
        <w:t>EFFECTIVE DATE OF RECORDATION OF TRANSFER IN THE REGISTER THEREFOR.]</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4230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Set forth, to at least 9 decimals, as a percentage of the Commitment/Loans of all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Accepted: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9"/>
          <w:szCs w:val="29"/>
          <w:color w:val="auto"/>
          <w:vertAlign w:val="superscript"/>
        </w:rPr>
        <w:t>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4230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To be added only if the consent of the Administrative Agent is required by the terms of the Credit Agreement.</w:t>
      </w:r>
    </w:p>
    <w:p>
      <w:pPr>
        <w:spacing w:after="0"/>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u w:val="single" w:color="auto"/>
          <w:color w:val="000000"/>
        </w:rPr>
        <w:t>Assignor</w:t>
      </w:r>
      <w:r>
        <w:rPr>
          <w:rFonts w:ascii="Times New Roman" w:cs="Times New Roman" w:eastAsia="Times New Roman" w:hAnsi="Times New Roman"/>
          <w:sz w:val="18"/>
          <w:szCs w:val="18"/>
          <w:color w:val="000000"/>
        </w:rPr>
        <w:t>. The Assignor (a) represents and warrants that (i) it is the legal and beneficial owner of the Assigned Interest, (ii)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u w:val="single" w:color="auto"/>
          <w:color w:val="000000"/>
        </w:rPr>
        <w:t>Assignee</w:t>
      </w:r>
      <w:r>
        <w:rPr>
          <w:rFonts w:ascii="Times New Roman" w:cs="Times New Roman" w:eastAsia="Times New Roman" w:hAnsi="Times New Roman"/>
          <w:sz w:val="18"/>
          <w:szCs w:val="18"/>
          <w:color w:val="000000"/>
        </w:rPr>
        <w:t>. The Assignee (a) represents and warrants that (i) it has full power and authority, and has taken all action necessary,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7" w:lineRule="exact"/>
        <w:rPr>
          <w:sz w:val="20"/>
          <w:szCs w:val="20"/>
          <w:color w:val="auto"/>
        </w:rPr>
      </w:pPr>
    </w:p>
    <w:p>
      <w:pPr>
        <w:jc w:val="both"/>
        <w:ind w:firstLine="656"/>
        <w:spacing w:after="0" w:line="266" w:lineRule="auto"/>
        <w:tabs>
          <w:tab w:leader="none" w:pos="1296"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both"/>
        <w:ind w:left="-656" w:firstLine="656"/>
        <w:spacing w:after="0" w:line="258" w:lineRule="auto"/>
        <w:tabs>
          <w:tab w:leader="none" w:pos="64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102235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010000"/>
        </w:rPr>
        <w:t>EXHIBIT F-1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FORM OF U.S. TAX COMPLIANCE CERTIFICATE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 and Foreign Lenders That Are Disregarded Entities For U.S. Federal Income Tax Purposes Whose Owner, For U.S. Federal Income Tax Purposes, Is Not A Partnership)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Term Loan Credit Agreement dated as of February 29, 2024 (as amended, supplemented or otherwise modified from time to time, the “Credit Agreement”), among Diamondback E&amp;P LLC, as Borrower, Diamondback Energy, Inc., as Parent Guarantor, Citibank, N.A., as Administrative Agent, and each lender from time to time party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a Lender that is a disregarded entity for United States federal income tax purposes, each of the above certifications and representations (other than the representation that such Lender is the sole record owner, which is given by the Lender) is given with respect to the person treated as such Lender’s regarded owner for United States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010000"/>
        </w:rPr>
        <w:t>EXHIBIT F-2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 and Foreign Participants That Are Disregarded Entities For U.S. Federal Income Tax Purposes Whose Owner, For U.S. Federal Income Tax Purposes, Is Not A Partnership)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Term Loan Credit Agreement dated as of February 29, 2024 (as amended, supplemented or otherwise modified from time to time, the “Credit Agreement”), among Diamondback E&amp;P LLC, as Borrower, Diamondback Energy, Inc., as Parent Guarantor, Citibank, N.A., as Administrative Agent, and each lender from time to time party thereto.</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w:t>
      </w:r>
    </w:p>
    <w:p>
      <w:pPr>
        <w:ind w:firstLine="8"/>
        <w:spacing w:after="0" w:line="260" w:lineRule="auto"/>
        <w:tabs>
          <w:tab w:leader="none" w:pos="3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the Borrower within the meaning of Section 871(h)(3)(B) of the Code, and (iv) it is not a controlled foreign corporation related to the Borrower as described in Section 881(c)(3)(C) of the Code.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a Participant that is a disregarded entity for United States federal income tax purposes, each of the above certifications and representations (other than the representation that such Participant is the sole record owner, which is given by the Participant) is given with respect to the person treated as such Participant’s regarded owner for United States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010000"/>
        </w:rPr>
        <w:t>EXHIBIT F-3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9" w:lineRule="exact"/>
        <w:rPr>
          <w:sz w:val="20"/>
          <w:szCs w:val="20"/>
          <w:color w:val="auto"/>
        </w:rPr>
      </w:pPr>
    </w:p>
    <w:p>
      <w:pPr>
        <w:jc w:val="center"/>
        <w:ind w:left="340" w:right="140"/>
        <w:spacing w:after="0" w:line="282" w:lineRule="auto"/>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 and Foreign Participants That Are Disregarded Entities For U.S. Federal Income Tax Purposes Whose Owner, For U.S. Federal Income Tax Purposes, Is A Partnership)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Term Loan Credit Agreement dated as of February 29, 2024 (as amended, supplemented or otherwise modified from time to time, the “Credit Agreement”), among Diamondback E&amp;P LLC, as Borrower, Diamondback Energy, Inc., as Parent Guarantor, Citibank, N.A., as Administrative Agent, and each lender from time to time party thereto.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together with any other information required to be provided by IRS Form W-8IMY.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a Participant that is a disregarded entity for U.S. federal income tax purposes, each of the above certifications and representations (other than the representation that such Participant is the sole record owner, which is given by the Participant) is given with respect to the person treated as such Participant’s owner for U.S.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t>[NAME OF PARTICIPANT]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010000"/>
        </w:rPr>
        <w:t>EXHIBIT F-4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9" w:lineRule="exact"/>
        <w:rPr>
          <w:sz w:val="20"/>
          <w:szCs w:val="20"/>
          <w:color w:val="auto"/>
        </w:rPr>
      </w:pPr>
    </w:p>
    <w:p>
      <w:pPr>
        <w:jc w:val="center"/>
        <w:ind w:left="340" w:right="120"/>
        <w:spacing w:after="0" w:line="282" w:lineRule="auto"/>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 and Foreign Lenders That Are Disregarded Entities For U.S. Federal Income Tax Purposes Whose Owner, For U.S. Federal Income Tax Purposes, Is A Partnership)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Term Loan Credit Agreement dated as of February 29, 2024 (as amended, supplemented or otherwise modified from time to time, the “Credit Agreement”), among Diamondback E&amp;P LLC, as Borrower, Diamondback Energy, Inc., as Parent Guarantor, Citibank, N.A., as Administrative Agent, and each lender from time to time party thereto.</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together with any other information required to be provided by IRS Form W-8IMY. By executing this certificate, the undersigned agrees that</w:t>
      </w:r>
    </w:p>
    <w:p>
      <w:pPr>
        <w:spacing w:after="0" w:line="3" w:lineRule="exact"/>
        <w:rPr>
          <w:sz w:val="20"/>
          <w:szCs w:val="20"/>
          <w:color w:val="auto"/>
        </w:rPr>
      </w:pPr>
    </w:p>
    <w:p>
      <w:pPr>
        <w:jc w:val="both"/>
        <w:ind w:firstLine="8"/>
        <w:spacing w:after="0" w:line="255" w:lineRule="auto"/>
        <w:tabs>
          <w:tab w:leader="none" w:pos="2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a Lender that is a disregarded entity for U.S. federal income tax purposes, each of the above certifications and representations (other than the representation that such Lender is the sole record owner, which is given by the Lender) is given with respect to the person treated as such Lender’s owner for U.S.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Fourteenth Amendment to</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March 6, 2024</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as Parent Guarantor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Diamondback E&amp;P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191135</wp:posOffset>
            </wp:positionV>
            <wp:extent cx="64122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Wells Fargo Securities, LLC, As</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Sole Book runner And Sole Lead Arranger</w:t>
      </w:r>
    </w:p>
    <w:p>
      <w:pPr>
        <w:spacing w:after="0" w:line="203" w:lineRule="exact"/>
        <w:rPr>
          <w:sz w:val="20"/>
          <w:szCs w:val="20"/>
          <w:color w:val="auto"/>
        </w:rPr>
      </w:pPr>
    </w:p>
    <w:p>
      <w:pPr>
        <w:jc w:val="center"/>
        <w:ind w:left="1380" w:right="2580"/>
        <w:spacing w:after="0" w:line="259" w:lineRule="auto"/>
        <w:rPr>
          <w:sz w:val="20"/>
          <w:szCs w:val="20"/>
          <w:color w:val="auto"/>
        </w:rPr>
      </w:pPr>
      <w:r>
        <w:rPr>
          <w:rFonts w:ascii="Times New Roman" w:cs="Times New Roman" w:eastAsia="Times New Roman" w:hAnsi="Times New Roman"/>
          <w:sz w:val="18"/>
          <w:szCs w:val="18"/>
          <w:b w:val="1"/>
          <w:bCs w:val="1"/>
          <w:color w:val="auto"/>
        </w:rPr>
        <w:t>PNC Bank, National Association, Truist Bank, Bank of America, N.A., Capital One, National Association, Citibank, N.A., Credit Suisse AG, New York Branch, Goldman Sachs Bank USA,</w:t>
      </w:r>
    </w:p>
    <w:p>
      <w:pPr>
        <w:ind w:left="1380" w:right="2500" w:firstLine="260"/>
        <w:spacing w:after="0" w:line="265" w:lineRule="auto"/>
        <w:rPr>
          <w:sz w:val="20"/>
          <w:szCs w:val="20"/>
          <w:color w:val="auto"/>
        </w:rPr>
      </w:pPr>
      <w:r>
        <w:rPr>
          <w:rFonts w:ascii="Times New Roman" w:cs="Times New Roman" w:eastAsia="Times New Roman" w:hAnsi="Times New Roman"/>
          <w:sz w:val="17"/>
          <w:szCs w:val="17"/>
          <w:b w:val="1"/>
          <w:bCs w:val="1"/>
          <w:color w:val="auto"/>
        </w:rPr>
        <w:t>JPMorgan Chase Bank, N.A., The Bank of Nova Scotia, Houston Branch, U.S. Bank National Association, The Toronto-Dominion Bank, New York Branch,</w:t>
      </w:r>
    </w:p>
    <w:p>
      <w:pPr>
        <w:ind w:left="2060"/>
        <w:spacing w:after="0"/>
        <w:rPr>
          <w:sz w:val="20"/>
          <w:szCs w:val="20"/>
          <w:color w:val="auto"/>
        </w:rPr>
      </w:pPr>
      <w:r>
        <w:rPr>
          <w:rFonts w:ascii="Times New Roman" w:cs="Times New Roman" w:eastAsia="Times New Roman" w:hAnsi="Times New Roman"/>
          <w:sz w:val="18"/>
          <w:szCs w:val="18"/>
          <w:b w:val="1"/>
          <w:bCs w:val="1"/>
          <w:color w:val="auto"/>
        </w:rPr>
        <w:t>Barclays Bank PLC, Morgan Stanley Senior Funding, Inc. and</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22" w:right="339"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8"/>
          <w:szCs w:val="18"/>
          <w:color w:val="auto"/>
        </w:rPr>
        <w:t>FOURTEENTH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SECOND AMENDED AND RESTATED CREDIT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FOURTEENTH AMENDMENT TO SECOND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March 6, 2024 is among: DIAMONDBACK ENERGY, INC., a Delaware corporation, as the Parent Guarantor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of the Lenders (as such term is defined in the Credit Agreement referred to below) party hereto and WELLS FARGO BANK, NATIONAL ASSOCIATION, as administrative agent for the Lenders (in such capacity, together with its successors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p>
    <w:p>
      <w:pPr>
        <w:spacing w:after="0" w:line="225" w:lineRule="exact"/>
        <w:rPr>
          <w:sz w:val="20"/>
          <w:szCs w:val="20"/>
          <w:color w:val="auto"/>
        </w:rPr>
      </w:pPr>
    </w:p>
    <w:p>
      <w:pPr>
        <w:jc w:val="both"/>
        <w:ind w:firstLine="656"/>
        <w:spacing w:after="0" w:line="261"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the Borrower, the Administrative Agent and the Lenders are parties to that certain Second Amended and Restated Credit Agreement dated as of November 1, 2013 (as amended prior to the date hereof, including all schedules and exhibits thereto,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pursuant to which the Lenders have made certain credit available to and on behalf of the Borrower.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pursuant to Section 2.06(c) of the Credit Agreement, to increase the total Commitments under the Credit Agreement to $2,500,000,000, to be comprised of Existing Commitments (as defined in the Amended Credit Agreement) in an aggregate amount of $1,600,000,000 and Increased Commitments (as defined in the Amended Credit Agreement) in an aggregate amount of $900,000,000. The availability of the Increased Commitments will be subject to the conditions set forth in Section 6.03 of the Amended Credit Agreement, including consummation of the Endeavor Acquisition (as defined in the Amended Credit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desire to enter into this Amendment to, among other things, (i) increase the total Commitments to $2,500,000,000 in accordance with the immediately preceding paragraph B and (ii) amend certain other provisions of the Credit Agreement, in each case, effective as of the Amendment Effective Date (as defined below).</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to induce the Administrative Agent, the Swingline Lender, the Issuing Bank and the Lenders party hereto (which constitute (x) the Majority Lenders and (y) each Lender whose Commitment shall be increased)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1. </w:t>
      </w:r>
      <w:r>
        <w:rPr>
          <w:rFonts w:ascii="Times New Roman" w:cs="Times New Roman" w:eastAsia="Times New Roman" w:hAnsi="Times New Roman"/>
          <w:sz w:val="18"/>
          <w:szCs w:val="18"/>
          <w:u w:val="single" w:color="auto"/>
          <w:color w:val="000000"/>
        </w:rPr>
        <w:t>Defined Terms</w:t>
      </w:r>
      <w:r>
        <w:rPr>
          <w:rFonts w:ascii="Times New Roman" w:cs="Times New Roman" w:eastAsia="Times New Roman" w:hAnsi="Times New Roman"/>
          <w:sz w:val="18"/>
          <w:szCs w:val="18"/>
          <w:color w:val="000000"/>
        </w:rPr>
        <w:t>. Each capitalized term used herein but not otherwise defined herein has the meaning given such term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Amended Credit Agreement. Unless otherwise indicated, all section references in this Amendment refer to sections of the Credit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2. </w:t>
      </w:r>
      <w:r>
        <w:rPr>
          <w:rFonts w:ascii="Times New Roman" w:cs="Times New Roman" w:eastAsia="Times New Roman" w:hAnsi="Times New Roman"/>
          <w:sz w:val="18"/>
          <w:szCs w:val="18"/>
          <w:u w:val="single" w:color="auto"/>
          <w:color w:val="000000"/>
        </w:rPr>
        <w:t>Amendments to Credit Agreement</w:t>
      </w:r>
      <w:r>
        <w:rPr>
          <w:rFonts w:ascii="Times New Roman" w:cs="Times New Roman" w:eastAsia="Times New Roman" w:hAnsi="Times New Roman"/>
          <w:sz w:val="18"/>
          <w:szCs w:val="18"/>
          <w:color w:val="000000"/>
        </w:rPr>
        <w:t>. In reliance on the covenants and agreements contained in this Amendment, and subject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satisfaction of the conditions precedent set forth in Section 3 hereof, 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000000"/>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00"/>
        </w:rPr>
        <w:t xml:space="preserve">) as set forth in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3. </w:t>
      </w:r>
      <w:r>
        <w:rPr>
          <w:rFonts w:ascii="Times New Roman" w:cs="Times New Roman" w:eastAsia="Times New Roman" w:hAnsi="Times New Roman"/>
          <w:sz w:val="18"/>
          <w:szCs w:val="18"/>
          <w:u w:val="single" w:color="auto"/>
          <w:color w:val="000000"/>
        </w:rPr>
        <w:t>Conditions Precedent</w:t>
      </w:r>
      <w:r>
        <w:rPr>
          <w:rFonts w:ascii="Times New Roman" w:cs="Times New Roman" w:eastAsia="Times New Roman" w:hAnsi="Times New Roman"/>
          <w:sz w:val="18"/>
          <w:szCs w:val="18"/>
          <w:color w:val="000000"/>
        </w:rPr>
        <w:t>. This Amendment shall become effective on the date (the “</w:t>
      </w:r>
      <w:r>
        <w:rPr>
          <w:rFonts w:ascii="Times New Roman" w:cs="Times New Roman" w:eastAsia="Times New Roman" w:hAnsi="Times New Roman"/>
          <w:sz w:val="18"/>
          <w:szCs w:val="18"/>
          <w:u w:val="single" w:color="auto"/>
          <w:color w:val="000000"/>
        </w:rPr>
        <w:t>Amendment Effective Date</w:t>
      </w:r>
      <w:r>
        <w:rPr>
          <w:rFonts w:ascii="Times New Roman" w:cs="Times New Roman" w:eastAsia="Times New Roman" w:hAnsi="Times New Roman"/>
          <w:sz w:val="18"/>
          <w:szCs w:val="18"/>
          <w:color w:val="000000"/>
        </w:rPr>
        <w:t>”) when each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following conditions is satisfied (or waived in accordance with Section 12.02 of the Credit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color w:val="000000"/>
        </w:rPr>
        <w:t>The Administrative Agent shall have received from Lenders constituting (x) the Majority Lenders and (y) each Lender that is increasing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its Commitment, the Parent Guarantor and the Borrower, counterparts of this Amendment signed on behalf of such Person.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color w:val="000000"/>
        </w:rPr>
        <w:t>The Administrative Agent and the Lenders shall have received all fees and other amounts due and payable on or prior to the date 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to the extent invoiced three (3) Business Days prior to the date hereof, reimbursement or payment of all documented out-of-pocket expenses required to be reimbursed or paid by the Borrower under the Credit Agreement and the fees due and payable on or prior to the date hereof described in that certain fee letter, dated as of March 6, 2024, by and between the Borrower and the Administrative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3.3 </w:t>
      </w:r>
      <w:r>
        <w:rPr>
          <w:rFonts w:ascii="Times New Roman" w:cs="Times New Roman" w:eastAsia="Times New Roman" w:hAnsi="Times New Roman"/>
          <w:sz w:val="18"/>
          <w:szCs w:val="18"/>
          <w:color w:val="000000"/>
        </w:rPr>
        <w:t>The Administrative Agent shall have received a favorable written opinion of Wachtell, Lipton, Rosen &amp; Katz, counsel to the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Parties, in form and substance reasonably satisfactory to Administrative Agent.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3.4 </w:t>
      </w:r>
      <w:r>
        <w:rPr>
          <w:rFonts w:ascii="Times New Roman" w:cs="Times New Roman" w:eastAsia="Times New Roman" w:hAnsi="Times New Roman"/>
          <w:sz w:val="18"/>
          <w:szCs w:val="18"/>
          <w:color w:val="000000"/>
        </w:rPr>
        <w:t>The Administrative Agent shall have received a certificate of a Responsible Officer of the Borrower and the Parent Guarantor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attaching resolutions of the members, board of directors or other appropriate governing body with respect to the authorization of the Borrower and the Parent Guarantor to execute and deliver this Amendment and the other Loan Documents to which it is a party and to enter into the transactions contemplated in those documents, (ii) setting forth the officers of the Borrower and Parent Guarantor (a) who are authorized to sign this Amendment and the other Loan Documents to which each of the Borrower and the Parent Guarantor is a party and (b) who will, until replaced by another officer or officers duly authorized for that purpose, act as such party’s representative for the purposes of signing documents and giving notices and other communications in connection with this Amendment, the other Loan Documents, and the transactions contemplated hereby, (iii) setting forth specimen signatures of such authorized officers, and (iv) attaching the limited liability company agreement, the certificate of incorporation or formation and by-laws or other applicable organizational documents of the Borrower and the Parent Guarantor, which shall be certified thereby as being true and complete as of the date of such certificate. The Administrative Agent and the Lenders may conclusively rely on such certificate until the Administrative Agent receives notice in writing from the Borrower and the Parent Guarantor to the contrary.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3.5 </w:t>
      </w:r>
      <w:r>
        <w:rPr>
          <w:rFonts w:ascii="Times New Roman" w:cs="Times New Roman" w:eastAsia="Times New Roman" w:hAnsi="Times New Roman"/>
          <w:sz w:val="18"/>
          <w:szCs w:val="18"/>
          <w:color w:val="000000"/>
        </w:rPr>
        <w:t>No Default or Event of Default shall have occurred and be continuing as of the date hereof, after giving effect to the terms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Amendment.</w:t>
      </w:r>
    </w:p>
    <w:p>
      <w:pPr>
        <w:spacing w:after="0" w:line="200" w:lineRule="exact"/>
        <w:rPr>
          <w:sz w:val="20"/>
          <w:szCs w:val="20"/>
          <w:color w:val="auto"/>
        </w:rPr>
      </w:pPr>
    </w:p>
    <w:p>
      <w:pPr>
        <w:spacing w:after="0" w:line="22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3.6 </w:t>
      </w:r>
      <w:r>
        <w:rPr>
          <w:rFonts w:ascii="Times New Roman" w:cs="Times New Roman" w:eastAsia="Times New Roman" w:hAnsi="Times New Roman"/>
          <w:sz w:val="18"/>
          <w:szCs w:val="18"/>
          <w:color w:val="000000"/>
        </w:rPr>
        <w:t>The Administrative Agent shall have received certificates of the appropriate State agencies with respect to the existence, qualification,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good standing of the Parent Guarantor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3.7 </w:t>
      </w:r>
      <w:r>
        <w:rPr>
          <w:rFonts w:ascii="Times New Roman" w:cs="Times New Roman" w:eastAsia="Times New Roman" w:hAnsi="Times New Roman"/>
          <w:sz w:val="18"/>
          <w:szCs w:val="18"/>
          <w:color w:val="000000"/>
        </w:rPr>
        <w:t>The Administrative Agent shall have received a certificate of the President, a Vice President, or a Financial Officer of the Borrower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 that, as of the Amendment Effective Date, (a) the conditions set forth in Section 6.02(a) and (b) of the Credit Agreement have been satisfied and (b) since December 31, 2023, no event has occurred or condition arisen that has resulted in a Material Adverse Effect that is continuing.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3.8 </w:t>
      </w:r>
      <w:r>
        <w:rPr>
          <w:rFonts w:ascii="Times New Roman" w:cs="Times New Roman" w:eastAsia="Times New Roman" w:hAnsi="Times New Roman"/>
          <w:sz w:val="18"/>
          <w:szCs w:val="18"/>
          <w:color w:val="000000"/>
        </w:rPr>
        <w:t>The Administrative Agent shall have received a Commitment Increase Certificate with respect to each Lender whose Commitment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being increased pursuant to this Amendment, in each case executed by the Borrower and such Lender.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is hereby authorized and directed to declare this Amendment to be effective when it has received documents confirming or certifying, to the satisfaction of the Administrative Agent, compliance with the conditions set forth in this Section 3 or the waiver of such conditions as permitted in Section 12.02 of the Credit Agreement. Such declaration shall be final, conclusive and binding upon all parties to the Credit Agreement for all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the availability of the Increased Commitments is subject to the satisfaction (or waiver) of the conditions set forth in Section 6.03 of the Amended Credit Agreement.</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010000"/>
              </w:rPr>
              <w:t>Section 4.</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010000"/>
              </w:rPr>
              <w:t>Section 5.</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2"/>
              </w:rPr>
              <w:t>Miscellaneous.</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5.1 </w:t>
      </w:r>
      <w:r>
        <w:rPr>
          <w:rFonts w:ascii="Times New Roman" w:cs="Times New Roman" w:eastAsia="Times New Roman" w:hAnsi="Times New Roman"/>
          <w:sz w:val="18"/>
          <w:szCs w:val="18"/>
          <w:u w:val="single" w:color="auto"/>
          <w:color w:val="000000"/>
        </w:rPr>
        <w:t>Confirmation; No Waiver</w:t>
      </w:r>
      <w:r>
        <w:rPr>
          <w:rFonts w:ascii="Times New Roman" w:cs="Times New Roman" w:eastAsia="Times New Roman" w:hAnsi="Times New Roman"/>
          <w:sz w:val="18"/>
          <w:szCs w:val="18"/>
          <w:color w:val="000000"/>
        </w:rPr>
        <w:t>. The provisions of the Credit Agreement (as amended by this Amendment) shall remain in full force and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following the effectiveness of this Amendment. On and after the Amendment Effective Date, each reference in the Credit Agreement to “this Agreement,” “hereunder,” “hereof,” or words of like import referring to the Credit Agreement shall mean and be a reference to the Credit Agreement, as amended by this Amendment, and each reference in any other Loan Document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5.2 </w:t>
      </w:r>
      <w:r>
        <w:rPr>
          <w:rFonts w:ascii="Times New Roman" w:cs="Times New Roman" w:eastAsia="Times New Roman" w:hAnsi="Times New Roman"/>
          <w:sz w:val="18"/>
          <w:szCs w:val="18"/>
          <w:u w:val="single" w:color="auto"/>
          <w:color w:val="000000"/>
        </w:rPr>
        <w:t>Ratification and Affirmation</w:t>
      </w:r>
      <w:r>
        <w:rPr>
          <w:rFonts w:ascii="Times New Roman" w:cs="Times New Roman" w:eastAsia="Times New Roman" w:hAnsi="Times New Roman"/>
          <w:sz w:val="18"/>
          <w:szCs w:val="18"/>
          <w:color w:val="000000"/>
        </w:rPr>
        <w:t>. Each of the Parent Guarantor and the Borrower hereby ratifies and affirms its obligations under,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acknowledges its continued liability under, each Loan Document (including, without limitation, the Guaranty Agreement) to which it is a party and agrees that each Loan Document to which it is a party remains in full force and effect as expressly amended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5.3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Amendment may be executed by one or more of the parties hereto in any number of separate counterparts, and all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counterparts taken together shall be deemed to constitute one and the same instrument. Delivery of this Amendment by facsimile or electronic transmission shall be effective as delivery of a manually executed counterpart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010000"/>
        </w:rPr>
        <w:t>5.4</w:t>
      </w:r>
      <w:r>
        <w:rPr>
          <w:sz w:val="20"/>
          <w:szCs w:val="20"/>
          <w:color w:val="auto"/>
        </w:rPr>
        <w:tab/>
      </w:r>
      <w:r>
        <w:rPr>
          <w:rFonts w:ascii="Times New Roman" w:cs="Times New Roman" w:eastAsia="Times New Roman" w:hAnsi="Times New Roman"/>
          <w:sz w:val="18"/>
          <w:szCs w:val="18"/>
          <w:b w:val="1"/>
          <w:bCs w:val="1"/>
          <w:u w:val="single" w:color="auto"/>
          <w:color w:val="auto"/>
        </w:rPr>
        <w:t>NO ORAL AGREEMENT</w:t>
      </w:r>
      <w:r>
        <w:rPr>
          <w:rFonts w:ascii="Times New Roman" w:cs="Times New Roman" w:eastAsia="Times New Roman" w:hAnsi="Times New Roman"/>
          <w:sz w:val="18"/>
          <w:szCs w:val="18"/>
          <w:b w:val="1"/>
          <w:bCs w:val="1"/>
          <w:color w:val="auto"/>
        </w:rPr>
        <w:t>. THIS AMENDMENT, THE CREDIT AGREEMENT AND THE OTHER LOAN DOCUMENTS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EXECUTED IN CONNECTION HEREWITH AND THEREWITH REPRESENT THE FINAL AGREEMENT BETWEEN THE PARTIES AND MAY NOT BE CONTRADICTED BY EVIDENCE OF PRIOR, CONTEMPORANEOUS, OR SUBSEQUENT UNWRITTEN ORAL AGREEMENTS OF THE PARTIES. THERE ARE NO UNWRITTEN ORAL AGREEMENTS BETWEEN THE PARTIES.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5.5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AMENDMENT SHALL BE GOVERNED BY, AND CONSTRUED IN ACCORDANCE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LAWS OF THE STATE OF NEW YORK.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5.6 </w:t>
      </w:r>
      <w:r>
        <w:rPr>
          <w:rFonts w:ascii="Times New Roman" w:cs="Times New Roman" w:eastAsia="Times New Roman" w:hAnsi="Times New Roman"/>
          <w:sz w:val="18"/>
          <w:szCs w:val="18"/>
          <w:u w:val="single" w:color="auto"/>
          <w:color w:val="000000"/>
        </w:rPr>
        <w:t>Payment of Expenses</w:t>
      </w:r>
      <w:r>
        <w:rPr>
          <w:rFonts w:ascii="Times New Roman" w:cs="Times New Roman" w:eastAsia="Times New Roman" w:hAnsi="Times New Roman"/>
          <w:sz w:val="18"/>
          <w:szCs w:val="18"/>
          <w:color w:val="000000"/>
        </w:rPr>
        <w:t>. To the extent required pursuant to Section 12.03 of the Credit Agreement, the Borrower agrees to pay or reimburse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Administrative Agent for all of its reasonable and documented out-of-pocket expenses incurred in connection with this Amendment, any other documents prepared in connection herewith and the transactions contemplated hereby, including, without limitation, the reasonable fees, charges and disbursements of counsel to the Administrative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5.7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Any provision of this Amendment that is prohibited or unenforceable in any jurisdiction shall, as to such jurisdiction,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5.8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This Amendment shall be binding upon and inure to the benefit of the parties hereto and their respective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successors and assigns.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010000"/>
        </w:rPr>
        <w:t>5.9</w:t>
      </w:r>
      <w:r>
        <w:rPr>
          <w:sz w:val="20"/>
          <w:szCs w:val="20"/>
          <w:color w:val="auto"/>
        </w:rPr>
        <w:tab/>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Amendment is a Loan Document.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BEGIN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DIAMONDBACK E&amp;P LLC, as Borrower</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2494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the Parent Guarantor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2494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Amendment to Second Amended and Restated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575945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148" w:name="page149"/>
    <w:bookmarkEnd w:id="148"/>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 Lender, Issuing Bank, and Swingline Lender</w:t>
      </w:r>
    </w:p>
    <w:p>
      <w:pPr>
        <w:spacing w:after="0" w:line="15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Michael Real</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Amendment to Second Amended and Restated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575945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3" w:right="359" w:bottom="1440" w:gutter="0" w:footer="0" w:header="0"/>
        </w:sectPr>
      </w:pPr>
    </w:p>
    <w:bookmarkStart w:id="149" w:name="page150"/>
    <w:bookmarkEnd w:id="149"/>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Smothers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Greg Smothers</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p>
      <w:pPr>
        <w:ind w:left="452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Sydney G. Dennis</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bl>
    <w:p>
      <w:pPr>
        <w:spacing w:after="0" w:line="19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Amendment to Second Amended and Restated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575945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51" w:name="page152"/>
    <w:bookmarkEnd w:id="151"/>
    <w:p>
      <w:pPr>
        <w:ind w:left="45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Groll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Jason Groll</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p>
      <w:pPr>
        <w:ind w:left="45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3" w:name="page154"/>
    <w:bookmarkEnd w:id="153"/>
    <w:p>
      <w:pPr>
        <w:ind w:left="4520"/>
        <w:spacing w:after="0"/>
        <w:rPr>
          <w:sz w:val="20"/>
          <w:szCs w:val="20"/>
          <w:color w:val="auto"/>
        </w:rPr>
      </w:pPr>
      <w:r>
        <w:rPr>
          <w:rFonts w:ascii="Times New Roman" w:cs="Times New Roman" w:eastAsia="Times New Roman" w:hAnsi="Times New Roman"/>
          <w:sz w:val="18"/>
          <w:szCs w:val="18"/>
          <w:b w:val="1"/>
          <w:bCs w:val="1"/>
          <w:color w:val="auto"/>
        </w:rPr>
        <w:t>GOLDMAN SACHS BANK USA,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Charlie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Charlie Johnston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4" w:name="page155"/>
    <w:bookmarkEnd w:id="154"/>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Gruen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Kyle Gruen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5" w:name="page156"/>
    <w:bookmarkEnd w:id="155"/>
    <w:p>
      <w:pPr>
        <w:ind w:left="4520"/>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6" w:name="page157"/>
    <w:bookmarkEnd w:id="156"/>
    <w:p>
      <w:pPr>
        <w:ind w:left="45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Downey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Robert Downey</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7" w:name="page158"/>
    <w:bookmarkEnd w:id="157"/>
    <w:p>
      <w:pPr>
        <w:ind w:left="452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 J. McKinnerney</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Don J. McKinnerney</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Amendment to Second Amended and Restated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575945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58" w:name="page159"/>
    <w:bookmarkEnd w:id="158"/>
    <w:p>
      <w:pPr>
        <w:ind w:left="4520"/>
        <w:spacing w:after="0"/>
        <w:rPr>
          <w:sz w:val="20"/>
          <w:szCs w:val="20"/>
          <w:color w:val="auto"/>
        </w:rPr>
      </w:pPr>
      <w:r>
        <w:rPr>
          <w:rFonts w:ascii="Times New Roman" w:cs="Times New Roman" w:eastAsia="Times New Roman" w:hAnsi="Times New Roman"/>
          <w:sz w:val="17"/>
          <w:szCs w:val="17"/>
          <w:b w:val="1"/>
          <w:bCs w:val="1"/>
          <w:color w:val="auto"/>
        </w:rPr>
        <w:t>THE BANK OF NOVA SCOTIA, HOUSTON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Sam Cutler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9" w:name="page160"/>
    <w:bookmarkEnd w:id="159"/>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TORONTO-DOMINION BANK, NEW YORK BRANCH, </w:t>
      </w:r>
      <w:r>
        <w:rPr>
          <w:rFonts w:ascii="Times New Roman" w:cs="Times New Roman" w:eastAsia="Times New Roman" w:hAnsi="Times New Roman"/>
          <w:sz w:val="18"/>
          <w:szCs w:val="18"/>
          <w:color w:val="auto"/>
        </w:rPr>
        <w:t>as a Lender</w:t>
      </w:r>
    </w:p>
    <w:p>
      <w:pPr>
        <w:spacing w:after="0" w:line="15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Evans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Evans Swann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Amendment to Second Amended and Restated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575945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40"/>
          </w:cols>
          <w:pgMar w:left="1440" w:top="333" w:right="1019" w:bottom="1440" w:gutter="0" w:footer="0" w:header="0"/>
        </w:sectPr>
      </w:pPr>
    </w:p>
    <w:bookmarkStart w:id="160" w:name="page161"/>
    <w:bookmarkEnd w:id="160"/>
    <w:p>
      <w:pPr>
        <w:ind w:left="4520"/>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Krablin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Greg Krablin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1" w:name="page162"/>
    <w:bookmarkEnd w:id="161"/>
    <w:p>
      <w:pPr>
        <w:ind w:left="45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Bruce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Bruce Hernandez</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For any Lender requiring a second signature block:</w:t>
      </w: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8"/>
          <w:szCs w:val="18"/>
          <w:b w:val="1"/>
          <w:bCs w:val="1"/>
          <w:color w:val="auto"/>
        </w:rPr>
        <w:t>BOKF, NA dba BANK OF OKLAHOMA,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Krenger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John Krenger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3" w:name="page164"/>
    <w:bookmarkEnd w:id="163"/>
    <w:p>
      <w:pPr>
        <w:ind w:left="4520"/>
        <w:spacing w:after="0"/>
        <w:rPr>
          <w:sz w:val="20"/>
          <w:szCs w:val="20"/>
          <w:color w:val="auto"/>
        </w:rPr>
      </w:pPr>
      <w:r>
        <w:rPr>
          <w:rFonts w:ascii="Times New Roman" w:cs="Times New Roman" w:eastAsia="Times New Roman" w:hAnsi="Times New Roman"/>
          <w:sz w:val="18"/>
          <w:szCs w:val="18"/>
          <w:color w:val="auto"/>
        </w:rPr>
        <w:t>Comerica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Cassandra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Cassandra Lucas</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Fourteenth Amendment to Second Amended and Restated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Credit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5" w:name="page166"/>
    <w:bookmarkEnd w:id="165"/>
    <w:p>
      <w:pPr>
        <w:ind w:left="5720"/>
        <w:spacing w:after="0"/>
        <w:rPr>
          <w:sz w:val="20"/>
          <w:szCs w:val="20"/>
          <w:color w:val="auto"/>
        </w:rPr>
      </w:pPr>
      <w:r>
        <w:rPr>
          <w:rFonts w:ascii="Times New Roman" w:cs="Times New Roman" w:eastAsia="Times New Roman" w:hAnsi="Times New Roman"/>
          <w:sz w:val="17"/>
          <w:szCs w:val="17"/>
          <w:color w:val="FF0000"/>
          <w:strike w:val="1"/>
        </w:rPr>
        <w:t>[Conformed Copy through 2023 Extension of Maturity Date]</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ated as of</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ovember</w:t>
      </w:r>
      <w:r>
        <w:rPr>
          <w:rFonts w:ascii="Times New Roman" w:cs="Times New Roman" w:eastAsia="Times New Roman" w:hAnsi="Times New Roman"/>
          <w:sz w:val="18"/>
          <w:szCs w:val="18"/>
          <w:b w:val="1"/>
          <w:bCs w:val="1"/>
          <w:color w:val="auto"/>
        </w:rPr>
        <w:t xml:space="preserve"> 1, 2013</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2"/>
          <w:szCs w:val="12"/>
          <w:b w:val="1"/>
          <w:bCs w:val="1"/>
          <w:color w:val="FF0000"/>
          <w:strike w:val="1"/>
        </w:rPr>
        <w:t>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0000FF"/>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iamondback</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2"/>
          <w:szCs w:val="12"/>
          <w:b w:val="1"/>
          <w:bCs w:val="1"/>
          <w:color w:val="FF0000"/>
          <w:strike w:val="1"/>
        </w:rPr>
        <w:t>s</w:t>
      </w:r>
      <w:r>
        <w:rPr>
          <w:rFonts w:ascii="Times New Roman" w:cs="Times New Roman" w:eastAsia="Times New Roman" w:hAnsi="Times New Roman"/>
          <w:sz w:val="12"/>
          <w:szCs w:val="12"/>
          <w:b w:val="1"/>
          <w:bCs w:val="1"/>
          <w:u w:val="single" w:color="auto"/>
          <w:color w:val="0000FF"/>
        </w:rPr>
        <w:t>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P</w:t>
      </w:r>
      <w:r>
        <w:rPr>
          <w:rFonts w:ascii="Times New Roman" w:cs="Times New Roman" w:eastAsia="Times New Roman" w:hAnsi="Times New Roman"/>
          <w:sz w:val="12"/>
          <w:szCs w:val="12"/>
          <w:b w:val="1"/>
          <w:bCs w:val="1"/>
          <w:color w:val="000000"/>
        </w:rPr>
        <w:t>arent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G</w:t>
      </w:r>
      <w:r>
        <w:rPr>
          <w:rFonts w:ascii="Times New Roman" w:cs="Times New Roman" w:eastAsia="Times New Roman" w:hAnsi="Times New Roman"/>
          <w:sz w:val="12"/>
          <w:szCs w:val="12"/>
          <w:b w:val="1"/>
          <w:bCs w:val="1"/>
          <w:color w:val="000000"/>
        </w:rPr>
        <w:t>uarantor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iamondback</w:t>
      </w:r>
      <w:r>
        <w:rPr>
          <w:rFonts w:ascii="Times New Roman" w:cs="Times New Roman" w:eastAsia="Times New Roman" w:hAnsi="Times New Roman"/>
          <w:sz w:val="18"/>
          <w:szCs w:val="18"/>
          <w:b w:val="1"/>
          <w:bCs w:val="1"/>
          <w:color w:val="auto"/>
        </w:rPr>
        <w:t xml:space="preserve"> E&amp;P LLC </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2"/>
          <w:szCs w:val="12"/>
          <w:b w:val="1"/>
          <w:bCs w:val="1"/>
          <w:color w:val="FF0000"/>
          <w:strike w:val="1"/>
        </w:rPr>
        <w:t>as successor</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2"/>
          <w:szCs w:val="12"/>
          <w:b w:val="1"/>
          <w:bCs w:val="1"/>
          <w:color w:val="FF0000"/>
          <w:strike w:val="1"/>
        </w:rPr>
        <w:t>by</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2"/>
          <w:szCs w:val="12"/>
          <w:b w:val="1"/>
          <w:bCs w:val="1"/>
          <w:color w:val="FF0000"/>
          <w:strike w:val="1"/>
        </w:rPr>
        <w:t>merger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F0000"/>
          <w:strike w:val="1"/>
        </w:rPr>
        <w:t>D</w:t>
      </w:r>
      <w:r>
        <w:rPr>
          <w:rFonts w:ascii="Times New Roman" w:cs="Times New Roman" w:eastAsia="Times New Roman" w:hAnsi="Times New Roman"/>
          <w:sz w:val="12"/>
          <w:szCs w:val="12"/>
          <w:b w:val="1"/>
          <w:bCs w:val="1"/>
          <w:color w:val="FF0000"/>
          <w:strike w:val="1"/>
        </w:rPr>
        <w:t>iamondback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F0000"/>
          <w:strike w:val="1"/>
        </w:rPr>
        <w:t>O&amp;G LLC)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2"/>
          <w:szCs w:val="12"/>
          <w:b w:val="1"/>
          <w:bCs w:val="1"/>
          <w:color w:val="FF0000"/>
          <w:strike w:val="1"/>
        </w:rPr>
        <w:t>s</w:t>
      </w:r>
      <w:r>
        <w:rPr>
          <w:rFonts w:ascii="Times New Roman" w:cs="Times New Roman" w:eastAsia="Times New Roman" w:hAnsi="Times New Roman"/>
          <w:sz w:val="12"/>
          <w:szCs w:val="12"/>
          <w:b w:val="1"/>
          <w:bCs w:val="1"/>
          <w:u w:val="single" w:color="auto"/>
          <w:color w:val="0000FF"/>
        </w:rPr>
        <w:t>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B</w:t>
      </w:r>
      <w:r>
        <w:rPr>
          <w:rFonts w:ascii="Times New Roman" w:cs="Times New Roman" w:eastAsia="Times New Roman" w:hAnsi="Times New Roman"/>
          <w:sz w:val="12"/>
          <w:szCs w:val="12"/>
          <w:b w:val="1"/>
          <w:bCs w:val="1"/>
          <w:color w:val="000000"/>
        </w:rPr>
        <w:t>orrower</w:t>
      </w:r>
      <w:r>
        <w:rPr>
          <w:rFonts w:ascii="Times New Roman" w:cs="Times New Roman" w:eastAsia="Times New Roman" w:hAnsi="Times New Roman"/>
          <w:sz w:val="18"/>
          <w:szCs w:val="18"/>
          <w:b w:val="1"/>
          <w:bCs w:val="1"/>
          <w:color w:val="000000"/>
        </w:rPr>
        <w: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ells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argo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ssociation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2"/>
          <w:szCs w:val="12"/>
          <w:b w:val="1"/>
          <w:bCs w:val="1"/>
          <w:color w:val="FF0000"/>
          <w:strike w:val="1"/>
        </w:rPr>
        <w:t>s</w:t>
      </w:r>
      <w:r>
        <w:rPr>
          <w:rFonts w:ascii="Times New Roman" w:cs="Times New Roman" w:eastAsia="Times New Roman" w:hAnsi="Times New Roman"/>
          <w:sz w:val="12"/>
          <w:szCs w:val="12"/>
          <w:b w:val="1"/>
          <w:bCs w:val="1"/>
          <w:u w:val="single" w:color="auto"/>
          <w:color w:val="0000FF"/>
        </w:rPr>
        <w:t>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w:t>
      </w:r>
      <w:r>
        <w:rPr>
          <w:rFonts w:ascii="Times New Roman" w:cs="Times New Roman" w:eastAsia="Times New Roman" w:hAnsi="Times New Roman"/>
          <w:sz w:val="12"/>
          <w:szCs w:val="12"/>
          <w:b w:val="1"/>
          <w:bCs w:val="1"/>
          <w:color w:val="000000"/>
        </w:rPr>
        <w:t>dministrative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w:t>
      </w:r>
      <w:r>
        <w:rPr>
          <w:rFonts w:ascii="Times New Roman" w:cs="Times New Roman" w:eastAsia="Times New Roman" w:hAnsi="Times New Roman"/>
          <w:sz w:val="12"/>
          <w:szCs w:val="12"/>
          <w:b w:val="1"/>
          <w:bCs w:val="1"/>
          <w:color w:val="000000"/>
        </w:rPr>
        <w:t>gent</w:t>
      </w:r>
      <w:r>
        <w:rPr>
          <w:rFonts w:ascii="Times New Roman" w:cs="Times New Roman" w:eastAsia="Times New Roman" w:hAnsi="Times New Roman"/>
          <w:sz w:val="18"/>
          <w:szCs w:val="18"/>
          <w:b w:val="1"/>
          <w:bCs w:val="1"/>
          <w:color w:val="000000"/>
        </w:rPr>
        <w:t>,</w:t>
      </w: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2"/>
          <w:szCs w:val="12"/>
          <w:b w:val="1"/>
          <w:bCs w:val="1"/>
          <w:color w:val="FF0000"/>
          <w:strike w:val="1"/>
        </w:rPr>
        <w:t>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0000FF"/>
        </w:rPr>
        <w:t>AND</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enders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ells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argo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LLC, A</w:t>
      </w:r>
      <w:r>
        <w:rPr>
          <w:rFonts w:ascii="Times New Roman" w:cs="Times New Roman" w:eastAsia="Times New Roman" w:hAnsi="Times New Roman"/>
          <w:sz w:val="12"/>
          <w:szCs w:val="12"/>
          <w:b w:val="1"/>
          <w:bCs w:val="1"/>
          <w:color w:val="auto"/>
        </w:rPr>
        <w:t>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ook runner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ead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rranger</w:t>
      </w:r>
    </w:p>
    <w:p>
      <w:pPr>
        <w:spacing w:after="0" w:line="20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PNC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ssociation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ruist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B</w:t>
      </w:r>
      <w:r>
        <w:rPr>
          <w:rFonts w:ascii="Times New Roman" w:cs="Times New Roman" w:eastAsia="Times New Roman" w:hAnsi="Times New Roman"/>
          <w:sz w:val="12"/>
          <w:szCs w:val="12"/>
          <w:b w:val="1"/>
          <w:bCs w:val="1"/>
          <w:color w:val="auto"/>
        </w:rPr>
        <w:t>ank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merica</w:t>
      </w:r>
      <w:r>
        <w:rPr>
          <w:rFonts w:ascii="Times New Roman" w:cs="Times New Roman" w:eastAsia="Times New Roman" w:hAnsi="Times New Roman"/>
          <w:sz w:val="18"/>
          <w:szCs w:val="18"/>
          <w:b w:val="1"/>
          <w:bCs w:val="1"/>
          <w:color w:val="auto"/>
        </w:rPr>
        <w:t>, N.A.,</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ne</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ssociation</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itibank</w:t>
      </w:r>
      <w:r>
        <w:rPr>
          <w:rFonts w:ascii="Times New Roman" w:cs="Times New Roman" w:eastAsia="Times New Roman" w:hAnsi="Times New Roman"/>
          <w:sz w:val="18"/>
          <w:szCs w:val="18"/>
          <w:b w:val="1"/>
          <w:bCs w:val="1"/>
          <w:color w:val="auto"/>
        </w:rPr>
        <w:t>, N.A.,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uisse</w:t>
      </w:r>
      <w:r>
        <w:rPr>
          <w:rFonts w:ascii="Times New Roman" w:cs="Times New Roman" w:eastAsia="Times New Roman" w:hAnsi="Times New Roman"/>
          <w:sz w:val="18"/>
          <w:szCs w:val="18"/>
          <w:b w:val="1"/>
          <w:bCs w:val="1"/>
          <w:color w:val="auto"/>
        </w:rPr>
        <w:t xml:space="preserve"> AG, N</w:t>
      </w:r>
      <w:r>
        <w:rPr>
          <w:rFonts w:ascii="Times New Roman" w:cs="Times New Roman" w:eastAsia="Times New Roman" w:hAnsi="Times New Roman"/>
          <w:sz w:val="12"/>
          <w:szCs w:val="12"/>
          <w:b w:val="1"/>
          <w:bCs w:val="1"/>
          <w:color w:val="auto"/>
        </w:rPr>
        <w:t>ew</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ork</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ranch</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2"/>
          <w:szCs w:val="12"/>
          <w:b w:val="1"/>
          <w:bCs w:val="1"/>
          <w:color w:val="auto"/>
        </w:rPr>
        <w:t>oldman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achs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xml:space="preserve"> USA,</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JPM</w:t>
      </w:r>
      <w:r>
        <w:rPr>
          <w:rFonts w:ascii="Times New Roman" w:cs="Times New Roman" w:eastAsia="Times New Roman" w:hAnsi="Times New Roman"/>
          <w:sz w:val="12"/>
          <w:szCs w:val="12"/>
          <w:b w:val="1"/>
          <w:bCs w:val="1"/>
          <w:color w:val="auto"/>
        </w:rPr>
        <w:t>organ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hase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N.A.,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ova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cotia</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2"/>
          <w:szCs w:val="12"/>
          <w:b w:val="1"/>
          <w:bCs w:val="1"/>
          <w:color w:val="auto"/>
        </w:rPr>
        <w:t>ouston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ranch</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U.S.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ssociation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oronto</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ominion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ew</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ork</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ranch</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arclays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xml:space="preserve"> PLC, M</w:t>
      </w:r>
      <w:r>
        <w:rPr>
          <w:rFonts w:ascii="Times New Roman" w:cs="Times New Roman" w:eastAsia="Times New Roman" w:hAnsi="Times New Roman"/>
          <w:sz w:val="12"/>
          <w:szCs w:val="12"/>
          <w:b w:val="1"/>
          <w:bCs w:val="1"/>
          <w:color w:val="auto"/>
        </w:rPr>
        <w:t>organ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tanley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2"/>
          <w:szCs w:val="12"/>
          <w:b w:val="1"/>
          <w:bCs w:val="1"/>
          <w:color w:val="FF0000"/>
          <w:strike w:val="1"/>
        </w:rPr>
        <w:t>ank</w:t>
      </w:r>
      <w:r>
        <w:rPr>
          <w:rFonts w:ascii="Times New Roman" w:cs="Times New Roman" w:eastAsia="Times New Roman" w:hAnsi="Times New Roman"/>
          <w:sz w:val="18"/>
          <w:szCs w:val="18"/>
          <w:b w:val="1"/>
          <w:bCs w:val="1"/>
          <w:u w:val="single" w:color="auto"/>
          <w:color w:val="0000FF"/>
        </w:rPr>
        <w:t>S</w:t>
      </w:r>
      <w:r>
        <w:rPr>
          <w:rFonts w:ascii="Times New Roman" w:cs="Times New Roman" w:eastAsia="Times New Roman" w:hAnsi="Times New Roman"/>
          <w:sz w:val="12"/>
          <w:szCs w:val="12"/>
          <w:b w:val="1"/>
          <w:bCs w:val="1"/>
          <w:u w:val="single" w:color="auto"/>
          <w:color w:val="0000FF"/>
        </w:rPr>
        <w:t>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F</w:t>
      </w:r>
      <w:r>
        <w:rPr>
          <w:rFonts w:ascii="Times New Roman" w:cs="Times New Roman" w:eastAsia="Times New Roman" w:hAnsi="Times New Roman"/>
          <w:sz w:val="12"/>
          <w:szCs w:val="12"/>
          <w:b w:val="1"/>
          <w:bCs w:val="1"/>
          <w:u w:val="single" w:color="auto"/>
          <w:color w:val="0000FF"/>
        </w:rPr>
        <w:t>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F0000"/>
          <w:strike w:val="1"/>
        </w:rPr>
        <w:t>N</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2"/>
          <w:szCs w:val="12"/>
          <w:b w:val="1"/>
          <w:bCs w:val="1"/>
          <w:u w:val="single" w:color="auto"/>
          <w:color w:val="0000FF"/>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AND</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oyal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anada</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FF0000"/>
          <w:strike w:val="1"/>
        </w:rPr>
        <w:t>As</w:t>
      </w:r>
      <w:r>
        <w:rPr>
          <w:rFonts w:ascii="Times New Roman" w:cs="Times New Roman" w:eastAsia="Times New Roman" w:hAnsi="Times New Roman"/>
          <w:sz w:val="12"/>
          <w:szCs w:val="12"/>
          <w:b w:val="1"/>
          <w:bCs w:val="1"/>
          <w:u w:val="single" w:color="auto"/>
          <w:color w:val="0000FF"/>
        </w:rPr>
        <w:t>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C</w:t>
      </w:r>
      <w:r>
        <w:rPr>
          <w:rFonts w:ascii="Times New Roman" w:cs="Times New Roman" w:eastAsia="Times New Roman" w:hAnsi="Times New Roman"/>
          <w:sz w:val="12"/>
          <w:szCs w:val="12"/>
          <w:b w:val="1"/>
          <w:bCs w:val="1"/>
          <w:color w:val="000000"/>
        </w:rPr>
        <w:t>o</w:t>
      </w:r>
      <w:r>
        <w:rPr>
          <w:rFonts w:ascii="Times New Roman" w:cs="Times New Roman" w:eastAsia="Times New Roman" w:hAnsi="Times New Roman"/>
          <w:sz w:val="18"/>
          <w:szCs w:val="18"/>
          <w:b w:val="1"/>
          <w:bCs w:val="1"/>
          <w:color w:val="000000"/>
        </w:rPr>
        <w:t>-S</w:t>
      </w:r>
      <w:r>
        <w:rPr>
          <w:rFonts w:ascii="Times New Roman" w:cs="Times New Roman" w:eastAsia="Times New Roman" w:hAnsi="Times New Roman"/>
          <w:sz w:val="12"/>
          <w:szCs w:val="12"/>
          <w:b w:val="1"/>
          <w:bCs w:val="1"/>
          <w:color w:val="000000"/>
        </w:rPr>
        <w:t>yndication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w:t>
      </w:r>
      <w:r>
        <w:rPr>
          <w:rFonts w:ascii="Times New Roman" w:cs="Times New Roman" w:eastAsia="Times New Roman" w:hAnsi="Times New Roman"/>
          <w:sz w:val="12"/>
          <w:szCs w:val="12"/>
          <w:b w:val="1"/>
          <w:bCs w:val="1"/>
          <w:color w:val="000000"/>
        </w:rPr>
        <w:t>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453"/>
        </w:trPr>
        <w:tc>
          <w:tcPr>
            <w:tcW w:w="83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 and Accounting Matters</w:t>
            </w:r>
          </w:p>
        </w:tc>
        <w:tc>
          <w:tcPr>
            <w:tcW w:w="2560" w:type="dxa"/>
            <w:vAlign w:val="bottom"/>
            <w:gridSpan w:val="3"/>
          </w:tcPr>
          <w:p>
            <w:pPr>
              <w:spacing w:after="0"/>
              <w:rPr>
                <w:sz w:val="24"/>
                <w:szCs w:val="24"/>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20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Section 1.01</w:t>
            </w: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Terms Defined Above</w:t>
            </w: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Section 1.02</w:t>
            </w: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Defined Terms</w:t>
            </w: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2040" w:type="dxa"/>
            <w:vAlign w:val="bottom"/>
            <w:gridSpan w:val="4"/>
          </w:tcPr>
          <w:p>
            <w:pPr>
              <w:jc w:val="center"/>
              <w:ind w:right="420"/>
              <w:spacing w:after="0" w:line="194" w:lineRule="exact"/>
              <w:rPr>
                <w:sz w:val="20"/>
                <w:szCs w:val="20"/>
                <w:color w:val="auto"/>
              </w:rPr>
            </w:pPr>
            <w:r>
              <w:rPr>
                <w:rFonts w:ascii="Times New Roman" w:cs="Times New Roman" w:eastAsia="Times New Roman" w:hAnsi="Times New Roman"/>
                <w:sz w:val="18"/>
                <w:szCs w:val="18"/>
                <w:color w:val="auto"/>
                <w:w w:val="99"/>
              </w:rPr>
              <w:t>Section 1.03</w:t>
            </w:r>
          </w:p>
        </w:tc>
        <w:tc>
          <w:tcPr>
            <w:tcW w:w="62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Types of Loans and Borrowings</w:t>
            </w: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1.04</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Terms Generally; Rules of Construction</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36</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1.05</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Accounting Terms and Determinations; GAAP</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36</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1.06</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Divisions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37</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1.07</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Interest Rates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37</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The Credits</w:t>
            </w: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4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Section 2.01</w:t>
            </w: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2.02</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Revolving Loans and Borrowings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38</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2.03</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Requests for Revolving Borrowings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40</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2.04</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Interest Elections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40</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2.05</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Funding of Borrowings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2.06</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Termination, Reduction, and Increase of Commitments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39</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2.07</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45</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2.08</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Letters of Credit</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45</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2.09</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Cash Collateral</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50</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2.10</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51</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2.11</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Swingline Loans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54</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2.12</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Extension of Maturity Date</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56</w:t>
            </w:r>
          </w:p>
        </w:tc>
        <w:tc>
          <w:tcPr>
            <w:tcW w:w="0" w:type="dxa"/>
            <w:vAlign w:val="bottom"/>
          </w:tcPr>
          <w:p>
            <w:pPr>
              <w:spacing w:after="0"/>
              <w:rPr>
                <w:sz w:val="1"/>
                <w:szCs w:val="1"/>
                <w:color w:val="auto"/>
              </w:rPr>
            </w:pPr>
          </w:p>
        </w:tc>
      </w:tr>
      <w:tr>
        <w:trPr>
          <w:trHeight w:val="20"/>
        </w:trPr>
        <w:tc>
          <w:tcPr>
            <w:tcW w:w="83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Payments of Principal and Interest; Prepayments; Fees</w:t>
            </w: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20" w:type="dxa"/>
            <w:vAlign w:val="bottom"/>
            <w:gridSpan w:val="7"/>
            <w:vMerge w:val="continue"/>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Section 3.01</w:t>
            </w: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 of Loans</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3.02</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57</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3.03</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Changed Circumstances.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58</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3.04</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Prepayments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60</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3.05</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60</w:t>
            </w:r>
          </w:p>
        </w:tc>
        <w:tc>
          <w:tcPr>
            <w:tcW w:w="0" w:type="dxa"/>
            <w:vAlign w:val="bottom"/>
          </w:tcPr>
          <w:p>
            <w:pPr>
              <w:spacing w:after="0"/>
              <w:rPr>
                <w:sz w:val="1"/>
                <w:szCs w:val="1"/>
                <w:color w:val="auto"/>
              </w:rPr>
            </w:pPr>
          </w:p>
        </w:tc>
      </w:tr>
      <w:tr>
        <w:trPr>
          <w:trHeight w:val="20"/>
        </w:trPr>
        <w:tc>
          <w:tcPr>
            <w:tcW w:w="83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Payments; Pro Rata Treatment; Sharing of Set-offs</w:t>
            </w: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20" w:type="dxa"/>
            <w:vAlign w:val="bottom"/>
            <w:gridSpan w:val="7"/>
            <w:vMerge w:val="continue"/>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Section 4.01</w:t>
            </w: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4.02</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Presumption of Payment by the Borrower</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60</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64</w:t>
            </w:r>
          </w:p>
        </w:tc>
        <w:tc>
          <w:tcPr>
            <w:tcW w:w="0" w:type="dxa"/>
            <w:vAlign w:val="bottom"/>
          </w:tcPr>
          <w:p>
            <w:pPr>
              <w:spacing w:after="0"/>
              <w:rPr>
                <w:sz w:val="1"/>
                <w:szCs w:val="1"/>
                <w:color w:val="auto"/>
              </w:rPr>
            </w:pPr>
          </w:p>
        </w:tc>
      </w:tr>
      <w:tr>
        <w:trPr>
          <w:trHeight w:val="20"/>
        </w:trPr>
        <w:tc>
          <w:tcPr>
            <w:tcW w:w="83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Increased Costs; Break Funding Payments; Taxes; Illegality</w:t>
            </w: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20" w:type="dxa"/>
            <w:vAlign w:val="bottom"/>
            <w:gridSpan w:val="7"/>
            <w:vMerge w:val="continue"/>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Section 5.01</w:t>
            </w: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Increased Costs</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5.02</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Break Funding Payments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66</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5.03</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66</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5.04</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Mitigation Obligations</w:t>
            </w:r>
          </w:p>
        </w:tc>
        <w:tc>
          <w:tcPr>
            <w:tcW w:w="1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0" w:type="dxa"/>
            <w:vAlign w:val="bottom"/>
          </w:tcPr>
          <w:p>
            <w:pPr>
              <w:spacing w:after="0"/>
              <w:rPr>
                <w:sz w:val="1"/>
                <w:szCs w:val="1"/>
                <w:color w:val="auto"/>
              </w:rPr>
            </w:pPr>
          </w:p>
        </w:tc>
      </w:tr>
      <w:tr>
        <w:trPr>
          <w:trHeight w:val="20"/>
        </w:trPr>
        <w:tc>
          <w:tcPr>
            <w:tcW w:w="83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Conditions Precedent</w:t>
            </w: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20" w:type="dxa"/>
            <w:vAlign w:val="bottom"/>
            <w:gridSpan w:val="7"/>
            <w:vMerge w:val="continue"/>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Section 6.01</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Effective Date</w:t>
            </w:r>
          </w:p>
        </w:tc>
        <w:tc>
          <w:tcPr>
            <w:tcW w:w="1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66</w:t>
            </w:r>
          </w:p>
        </w:tc>
        <w:tc>
          <w:tcPr>
            <w:tcW w:w="10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8"/>
              </w:rPr>
              <w:t>[Reserved] 70</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9"/>
              </w:rPr>
              <w:t>Section 6.02</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Each Credit Event</w:t>
            </w:r>
          </w:p>
        </w:tc>
        <w:tc>
          <w:tcPr>
            <w:tcW w:w="1920" w:type="dxa"/>
            <w:vAlign w:val="bottom"/>
            <w:gridSpan w:val="2"/>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2040" w:type="dxa"/>
            <w:vAlign w:val="bottom"/>
            <w:gridSpan w:val="4"/>
            <w:vMerge w:val="restart"/>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FF"/>
                <w:w w:val="99"/>
              </w:rPr>
              <w:t>Section 6.03</w:t>
            </w:r>
          </w:p>
        </w:tc>
        <w:tc>
          <w:tcPr>
            <w:tcW w:w="62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Availability of Increased Commitments.</w:t>
            </w:r>
          </w:p>
        </w:tc>
        <w:tc>
          <w:tcPr>
            <w:tcW w:w="2760" w:type="dxa"/>
            <w:vAlign w:val="bottom"/>
            <w:gridSpan w:val="5"/>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gridSpan w:val="4"/>
            <w:vMerge w:val="continue"/>
          </w:tcPr>
          <w:p>
            <w:pPr>
              <w:spacing w:after="0"/>
              <w:rPr>
                <w:sz w:val="13"/>
                <w:szCs w:val="13"/>
                <w:color w:val="auto"/>
              </w:rPr>
            </w:pPr>
          </w:p>
        </w:tc>
        <w:tc>
          <w:tcPr>
            <w:tcW w:w="6280" w:type="dxa"/>
            <w:vAlign w:val="bottom"/>
            <w:gridSpan w:val="3"/>
            <w:vMerge w:val="continue"/>
          </w:tcPr>
          <w:p>
            <w:pPr>
              <w:spacing w:after="0"/>
              <w:rPr>
                <w:sz w:val="13"/>
                <w:szCs w:val="13"/>
                <w:color w:val="auto"/>
              </w:rPr>
            </w:pPr>
          </w:p>
        </w:tc>
        <w:tc>
          <w:tcPr>
            <w:tcW w:w="2760" w:type="dxa"/>
            <w:vAlign w:val="bottom"/>
            <w:gridSpan w:val="5"/>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bottom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top w:val="single" w:sz="8" w:color="0000FF"/>
              <w:bottom w:val="single" w:sz="8" w:color="0000FF"/>
            </w:tcBorders>
          </w:tcPr>
          <w:p>
            <w:pPr>
              <w:spacing w:after="0" w:line="20" w:lineRule="exact"/>
              <w:rPr>
                <w:sz w:val="1"/>
                <w:szCs w:val="1"/>
                <w:color w:val="auto"/>
              </w:rPr>
            </w:pPr>
          </w:p>
        </w:tc>
        <w:tc>
          <w:tcPr>
            <w:tcW w:w="1840" w:type="dxa"/>
            <w:vAlign w:val="bottom"/>
            <w:tcBorders>
              <w:top w:val="single" w:sz="8" w:color="0000FF"/>
              <w:bottom w:val="single" w:sz="8" w:color="0000F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89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Representations and Warranties</w:t>
            </w:r>
          </w:p>
        </w:tc>
        <w:tc>
          <w:tcPr>
            <w:tcW w:w="1940" w:type="dxa"/>
            <w:vAlign w:val="bottom"/>
            <w:vMerge w:val="restart"/>
          </w:tcPr>
          <w:p>
            <w:pPr>
              <w:spacing w:after="0"/>
              <w:rPr>
                <w:sz w:val="2"/>
                <w:szCs w:val="2"/>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rPr>
              <w:t>68</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line="20" w:lineRule="exact"/>
              <w:rPr>
                <w:sz w:val="1"/>
                <w:szCs w:val="1"/>
                <w:color w:val="auto"/>
              </w:rPr>
            </w:pPr>
          </w:p>
        </w:tc>
      </w:tr>
      <w:tr>
        <w:trPr>
          <w:trHeight w:val="174"/>
        </w:trPr>
        <w:tc>
          <w:tcPr>
            <w:tcW w:w="8900" w:type="dxa"/>
            <w:vAlign w:val="bottom"/>
            <w:gridSpan w:val="11"/>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Organization; Powers</w:t>
            </w:r>
          </w:p>
        </w:tc>
        <w:tc>
          <w:tcPr>
            <w:tcW w:w="19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68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Authority; Enforceability</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Approvals; No Conflicts</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7.04</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69</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7.05</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69</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7.06</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69</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7.07</w:t>
            </w:r>
          </w:p>
        </w:tc>
        <w:tc>
          <w:tcPr>
            <w:tcW w:w="17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214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8"/>
              </w:rPr>
              <w:t>and Agreements; No Defaults</w:t>
            </w:r>
          </w:p>
        </w:tc>
        <w:tc>
          <w:tcPr>
            <w:tcW w:w="2980" w:type="dxa"/>
            <w:vAlign w:val="bottom"/>
            <w:vMerge w:val="restart"/>
          </w:tcPr>
          <w:p>
            <w:pPr>
              <w:spacing w:after="0" w:line="20" w:lineRule="exact"/>
              <w:rPr>
                <w:sz w:val="1"/>
                <w:szCs w:val="1"/>
                <w:color w:val="auto"/>
              </w:rPr>
            </w:pPr>
          </w:p>
        </w:tc>
        <w:tc>
          <w:tcPr>
            <w:tcW w:w="19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6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140" w:type="dxa"/>
            <w:vAlign w:val="bottom"/>
            <w:gridSpan w:val="5"/>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7.08</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Investment Company</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7.09</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70</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7.10</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ERISA</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Disclosure; No Material Misstatement</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7.12</w:t>
            </w:r>
          </w:p>
        </w:tc>
        <w:tc>
          <w:tcPr>
            <w:tcW w:w="25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Use of Loans and Letters of Credit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4140" w:type="dxa"/>
            <w:vAlign w:val="bottom"/>
            <w:gridSpan w:val="2"/>
            <w:vMerge w:val="restart"/>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540" w:type="dxa"/>
            <w:vAlign w:val="bottom"/>
            <w:gridSpan w:val="6"/>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140" w:type="dxa"/>
            <w:vAlign w:val="bottom"/>
            <w:gridSpan w:val="2"/>
            <w:vMerge w:val="continue"/>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7.13</w:t>
            </w:r>
          </w:p>
        </w:tc>
        <w:tc>
          <w:tcPr>
            <w:tcW w:w="68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Anti-Corruption Laws; Anti-Money Laundering Laws and Sanctions</w:t>
            </w:r>
          </w:p>
        </w:tc>
        <w:tc>
          <w:tcPr>
            <w:tcW w:w="2180" w:type="dxa"/>
            <w:vAlign w:val="bottom"/>
            <w:gridSpan w:val="4"/>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6860" w:type="dxa"/>
            <w:vAlign w:val="bottom"/>
            <w:gridSpan w:val="9"/>
            <w:vMerge w:val="continue"/>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FF0000"/>
                <w:strike w:val="1"/>
                <w:w w:val="77"/>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7.14</w:t>
            </w: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99"/>
              </w:rPr>
              <w:t>Affected Financial Institutions</w:t>
            </w:r>
          </w:p>
        </w:tc>
        <w:tc>
          <w:tcPr>
            <w:tcW w:w="60" w:type="dxa"/>
            <w:vAlign w:val="bottom"/>
          </w:tcPr>
          <w:p>
            <w:pPr>
              <w:spacing w:after="0"/>
              <w:rPr>
                <w:sz w:val="20"/>
                <w:szCs w:val="20"/>
                <w:color w:val="auto"/>
              </w:rPr>
            </w:pPr>
          </w:p>
        </w:tc>
        <w:tc>
          <w:tcPr>
            <w:tcW w:w="4580" w:type="dxa"/>
            <w:vAlign w:val="bottom"/>
            <w:gridSpan w:val="4"/>
          </w:tcPr>
          <w:p>
            <w:pPr>
              <w:spacing w:after="0"/>
              <w:rPr>
                <w:sz w:val="20"/>
                <w:szCs w:val="20"/>
                <w:color w:val="auto"/>
              </w:rPr>
            </w:pP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32"/>
        </w:trPr>
        <w:tc>
          <w:tcPr>
            <w:tcW w:w="8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Affirmative Covenants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 Other Information</w:t>
            </w:r>
          </w:p>
        </w:tc>
        <w:tc>
          <w:tcPr>
            <w:tcW w:w="19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73</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Notices of Material Events</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Existence</w:t>
            </w:r>
          </w:p>
        </w:tc>
        <w:tc>
          <w:tcPr>
            <w:tcW w:w="1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FF0000"/>
                <w:strike w:val="1"/>
                <w:w w:val="98"/>
              </w:rPr>
              <w:t>; Conduct of Business</w:t>
            </w:r>
          </w:p>
        </w:tc>
        <w:tc>
          <w:tcPr>
            <w:tcW w:w="4580" w:type="dxa"/>
            <w:vAlign w:val="bottom"/>
            <w:gridSpan w:val="4"/>
            <w:vMerge w:val="restart"/>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4580" w:type="dxa"/>
            <w:vAlign w:val="bottom"/>
            <w:gridSpan w:val="4"/>
            <w:vMerge w:val="continue"/>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77"/>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8.04</w:t>
            </w:r>
          </w:p>
        </w:tc>
        <w:tc>
          <w:tcPr>
            <w:tcW w:w="68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Payment of Taxes</w:t>
            </w:r>
          </w:p>
        </w:tc>
        <w:tc>
          <w:tcPr>
            <w:tcW w:w="1940" w:type="dxa"/>
            <w:vAlign w:val="bottom"/>
          </w:tcPr>
          <w:p>
            <w:pPr>
              <w:spacing w:after="0"/>
              <w:rPr>
                <w:sz w:val="16"/>
                <w:szCs w:val="16"/>
                <w:color w:val="auto"/>
              </w:rPr>
            </w:pPr>
          </w:p>
        </w:tc>
        <w:tc>
          <w:tcPr>
            <w:tcW w:w="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75</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8.05</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Performance of Obligations Under Loan Documents</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8.06</w:t>
            </w:r>
          </w:p>
        </w:tc>
        <w:tc>
          <w:tcPr>
            <w:tcW w:w="68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194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6860" w:type="dxa"/>
            <w:vAlign w:val="bottom"/>
            <w:gridSpan w:val="9"/>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8.07</w:t>
            </w:r>
          </w:p>
        </w:tc>
        <w:tc>
          <w:tcPr>
            <w:tcW w:w="68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Books and Records</w:t>
            </w:r>
          </w:p>
        </w:tc>
        <w:tc>
          <w:tcPr>
            <w:tcW w:w="2180" w:type="dxa"/>
            <w:vAlign w:val="bottom"/>
            <w:gridSpan w:val="4"/>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6860" w:type="dxa"/>
            <w:vAlign w:val="bottom"/>
            <w:gridSpan w:val="9"/>
            <w:vMerge w:val="continue"/>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77"/>
              </w:rPr>
              <w:t>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Compliance With Laws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8.09</w:t>
            </w:r>
          </w:p>
        </w:tc>
        <w:tc>
          <w:tcPr>
            <w:tcW w:w="68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Environmental Matters</w:t>
            </w:r>
          </w:p>
        </w:tc>
        <w:tc>
          <w:tcPr>
            <w:tcW w:w="1940" w:type="dxa"/>
            <w:vAlign w:val="bottom"/>
          </w:tcPr>
          <w:p>
            <w:pPr>
              <w:spacing w:after="0"/>
              <w:rPr>
                <w:sz w:val="16"/>
                <w:szCs w:val="16"/>
                <w:color w:val="auto"/>
              </w:rPr>
            </w:pPr>
          </w:p>
        </w:tc>
        <w:tc>
          <w:tcPr>
            <w:tcW w:w="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76</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8.10</w:t>
            </w:r>
          </w:p>
        </w:tc>
        <w:tc>
          <w:tcPr>
            <w:tcW w:w="14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7"/>
              </w:rPr>
              <w:t>ERISA Compliance</w:t>
            </w:r>
          </w:p>
        </w:tc>
        <w:tc>
          <w:tcPr>
            <w:tcW w:w="544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2180" w:type="dxa"/>
            <w:vAlign w:val="bottom"/>
            <w:gridSpan w:val="4"/>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5440" w:type="dxa"/>
            <w:vAlign w:val="bottom"/>
            <w:gridSpan w:val="7"/>
            <w:vMerge w:val="continue"/>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77"/>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Borders>
              <w:top w:val="single" w:sz="8" w:color="0000FF"/>
              <w:bottom w:val="single" w:sz="8" w:color="0000FF"/>
            </w:tcBorders>
          </w:tcPr>
          <w:p>
            <w:pPr>
              <w:spacing w:after="0" w:line="20" w:lineRule="exact"/>
              <w:rPr>
                <w:sz w:val="1"/>
                <w:szCs w:val="1"/>
                <w:color w:val="auto"/>
              </w:rPr>
            </w:pPr>
          </w:p>
        </w:tc>
        <w:tc>
          <w:tcPr>
            <w:tcW w:w="4640" w:type="dxa"/>
            <w:vAlign w:val="bottom"/>
            <w:gridSpan w:val="5"/>
            <w:vMerge w:val="restart"/>
          </w:tcPr>
          <w:p>
            <w:pPr>
              <w:spacing w:after="0" w:line="20" w:lineRule="exact"/>
              <w:rPr>
                <w:sz w:val="1"/>
                <w:szCs w:val="1"/>
                <w:color w:val="auto"/>
              </w:rPr>
            </w:pPr>
          </w:p>
        </w:tc>
        <w:tc>
          <w:tcPr>
            <w:tcW w:w="236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line="20" w:lineRule="exact"/>
              <w:rPr>
                <w:sz w:val="1"/>
                <w:szCs w:val="1"/>
                <w:color w:val="auto"/>
              </w:rPr>
            </w:pPr>
          </w:p>
        </w:tc>
      </w:tr>
      <w:tr>
        <w:trPr>
          <w:trHeight w:val="215"/>
        </w:trPr>
        <w:tc>
          <w:tcPr>
            <w:tcW w:w="3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Unrestricted Subsidiaries</w:t>
            </w:r>
          </w:p>
        </w:tc>
        <w:tc>
          <w:tcPr>
            <w:tcW w:w="4640" w:type="dxa"/>
            <w:vAlign w:val="bottom"/>
            <w:gridSpan w:val="5"/>
            <w:vMerge w:val="continue"/>
          </w:tcPr>
          <w:p>
            <w:pPr>
              <w:spacing w:after="0"/>
              <w:rPr>
                <w:sz w:val="18"/>
                <w:szCs w:val="18"/>
                <w:color w:val="auto"/>
              </w:rPr>
            </w:pPr>
          </w:p>
        </w:tc>
        <w:tc>
          <w:tcPr>
            <w:tcW w:w="23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Negative Covenants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Covenant</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Subsidiary Debt</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Liens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Proceeds of Loans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Mergers, Etc.</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Designation of Restricted and Unrestricted Subsidiaries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32"/>
        </w:trPr>
        <w:tc>
          <w:tcPr>
            <w:tcW w:w="8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Events of Default; Remedies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10.02</w:t>
            </w:r>
          </w:p>
        </w:tc>
        <w:tc>
          <w:tcPr>
            <w:tcW w:w="68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Remedies</w:t>
            </w:r>
          </w:p>
        </w:tc>
        <w:tc>
          <w:tcPr>
            <w:tcW w:w="1940" w:type="dxa"/>
            <w:vAlign w:val="bottom"/>
          </w:tcPr>
          <w:p>
            <w:pPr>
              <w:spacing w:after="0"/>
              <w:rPr>
                <w:sz w:val="16"/>
                <w:szCs w:val="16"/>
                <w:color w:val="auto"/>
              </w:rPr>
            </w:pPr>
          </w:p>
        </w:tc>
        <w:tc>
          <w:tcPr>
            <w:tcW w:w="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84</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89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The Administrative Agent</w:t>
            </w: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00" w:type="dxa"/>
            <w:vAlign w:val="bottom"/>
            <w:gridSpan w:val="11"/>
            <w:vMerge w:val="continue"/>
          </w:tcPr>
          <w:p>
            <w:pPr>
              <w:spacing w:after="0"/>
              <w:rPr>
                <w:sz w:val="24"/>
                <w:szCs w:val="24"/>
                <w:color w:val="auto"/>
              </w:rPr>
            </w:pP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Appointment; Powers</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Duties and Obligations of Administrative Agent</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6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Action by Administrative Agent</w:t>
            </w:r>
          </w:p>
        </w:tc>
        <w:tc>
          <w:tcPr>
            <w:tcW w:w="2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53"/>
        </w:trPr>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7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rPr>
              <w:t>87</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line="20" w:lineRule="exact"/>
              <w:rPr>
                <w:sz w:val="1"/>
                <w:szCs w:val="1"/>
                <w:color w:val="auto"/>
              </w:rPr>
            </w:pPr>
          </w:p>
        </w:tc>
      </w:tr>
      <w:tr>
        <w:trPr>
          <w:trHeight w:val="174"/>
        </w:trPr>
        <w:tc>
          <w:tcPr>
            <w:tcW w:w="1980" w:type="dxa"/>
            <w:vAlign w:val="bottom"/>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7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Subagents</w:t>
            </w:r>
          </w:p>
        </w:tc>
        <w:tc>
          <w:tcPr>
            <w:tcW w:w="16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80" w:type="dxa"/>
            <w:vAlign w:val="bottom"/>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77"/>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Resignation of the Administrative Agent</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4"/>
        </w:trPr>
        <w:tc>
          <w:tcPr>
            <w:tcW w:w="19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11.07</w:t>
            </w:r>
          </w:p>
        </w:tc>
        <w:tc>
          <w:tcPr>
            <w:tcW w:w="7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Agents as Lenders</w:t>
            </w: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11.08</w:t>
            </w:r>
          </w:p>
        </w:tc>
        <w:tc>
          <w:tcPr>
            <w:tcW w:w="7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No Reliance</w:t>
            </w:r>
          </w:p>
        </w:tc>
        <w:tc>
          <w:tcPr>
            <w:tcW w:w="16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80" w:type="dxa"/>
            <w:vAlign w:val="bottom"/>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77"/>
              </w:rPr>
              <w:t>96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11.09</w:t>
            </w:r>
          </w:p>
        </w:tc>
        <w:tc>
          <w:tcPr>
            <w:tcW w:w="7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11.10</w:t>
            </w:r>
          </w:p>
        </w:tc>
        <w:tc>
          <w:tcPr>
            <w:tcW w:w="7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Authority of Administrative Agent to Release Guarantors</w:t>
            </w:r>
          </w:p>
        </w:tc>
        <w:tc>
          <w:tcPr>
            <w:tcW w:w="16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80" w:type="dxa"/>
            <w:vAlign w:val="bottom"/>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77"/>
              </w:rPr>
              <w:t>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11.11</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Arranger and the Syndication Agents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4"/>
        </w:trPr>
        <w:tc>
          <w:tcPr>
            <w:tcW w:w="19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11.12</w:t>
            </w:r>
          </w:p>
        </w:tc>
        <w:tc>
          <w:tcPr>
            <w:tcW w:w="7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Erroneous Payments</w:t>
            </w:r>
          </w:p>
        </w:tc>
        <w:tc>
          <w:tcPr>
            <w:tcW w:w="17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90</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98</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XII </w:t>
            </w:r>
            <w:r>
              <w:rPr>
                <w:rFonts w:ascii="Times New Roman" w:cs="Times New Roman" w:eastAsia="Times New Roman" w:hAnsi="Times New Roman"/>
                <w:sz w:val="18"/>
                <w:szCs w:val="18"/>
                <w:color w:val="auto"/>
              </w:rPr>
              <w:t>Miscellaneous</w:t>
            </w:r>
          </w:p>
        </w:tc>
        <w:tc>
          <w:tcPr>
            <w:tcW w:w="7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80" w:type="dxa"/>
            <w:vAlign w:val="bottom"/>
            <w:vMerge w:val="continue"/>
          </w:tcPr>
          <w:p>
            <w:pPr>
              <w:spacing w:after="0"/>
              <w:rPr>
                <w:sz w:val="24"/>
                <w:szCs w:val="24"/>
                <w:color w:val="auto"/>
              </w:rPr>
            </w:pPr>
          </w:p>
        </w:tc>
        <w:tc>
          <w:tcPr>
            <w:tcW w:w="7340" w:type="dxa"/>
            <w:vAlign w:val="bottom"/>
          </w:tcPr>
          <w:p>
            <w:pPr>
              <w:spacing w:after="0"/>
              <w:rPr>
                <w:sz w:val="24"/>
                <w:szCs w:val="24"/>
                <w:color w:val="auto"/>
              </w:rPr>
            </w:pP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14"/>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12.02</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 Amendments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12.03</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12.04</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12.05</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Revival; Reinstatement</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12.06</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12.07</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4"/>
        </w:trPr>
        <w:tc>
          <w:tcPr>
            <w:tcW w:w="19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12.08</w:t>
            </w:r>
          </w:p>
        </w:tc>
        <w:tc>
          <w:tcPr>
            <w:tcW w:w="7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Right of Setoff</w:t>
            </w:r>
          </w:p>
        </w:tc>
        <w:tc>
          <w:tcPr>
            <w:tcW w:w="16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100</w:t>
            </w:r>
          </w:p>
        </w:tc>
        <w:tc>
          <w:tcPr>
            <w:tcW w:w="2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109</w:t>
            </w:r>
          </w:p>
        </w:tc>
        <w:tc>
          <w:tcPr>
            <w:tcW w:w="0" w:type="dxa"/>
            <w:vAlign w:val="bottom"/>
          </w:tcPr>
          <w:p>
            <w:pPr>
              <w:spacing w:after="0"/>
              <w:rPr>
                <w:sz w:val="1"/>
                <w:szCs w:val="1"/>
                <w:color w:val="auto"/>
              </w:rPr>
            </w:pPr>
          </w:p>
        </w:tc>
      </w:tr>
      <w:tr>
        <w:trPr>
          <w:trHeight w:val="20"/>
        </w:trPr>
        <w:tc>
          <w:tcPr>
            <w:tcW w:w="1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12.09</w:t>
            </w:r>
          </w:p>
        </w:tc>
        <w:tc>
          <w:tcPr>
            <w:tcW w:w="7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64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80" w:type="dxa"/>
            <w:vAlign w:val="bottom"/>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8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12.10</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12.11</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12.12</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12.13</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EXCULPATION PROVISIONS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12.14</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Swap Agreements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12.15</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12.16</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 PATRIOT Act Notice</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12.17</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12.18</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12.19</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ERISA Matters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4"/>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12.20</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452"/>
        </w:trPr>
        <w:tc>
          <w:tcPr>
            <w:tcW w:w="19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440" w:type="dxa"/>
            <w:vAlign w:val="bottom"/>
          </w:tcPr>
          <w:p>
            <w:pPr>
              <w:spacing w:after="0"/>
              <w:rPr>
                <w:sz w:val="2"/>
                <w:szCs w:val="2"/>
                <w:color w:val="auto"/>
              </w:rPr>
            </w:pPr>
          </w:p>
        </w:tc>
        <w:tc>
          <w:tcPr>
            <w:tcW w:w="4580" w:type="dxa"/>
            <w:vAlign w:val="bottom"/>
            <w:gridSpan w:val="3"/>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ANNEXES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0000FF"/>
              </w:rPr>
              <w:t>AND</w:t>
            </w:r>
            <w:r>
              <w:rPr>
                <w:rFonts w:ascii="Times New Roman" w:cs="Times New Roman" w:eastAsia="Times New Roman" w:hAnsi="Times New Roman"/>
                <w:sz w:val="18"/>
                <w:szCs w:val="18"/>
                <w:b w:val="1"/>
                <w:bCs w:val="1"/>
                <w:color w:val="auto"/>
              </w:rPr>
              <w:t xml:space="preserve"> EXHIBITS</w:t>
            </w:r>
          </w:p>
        </w:tc>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rPr>
              <w:t>AND SCHEDULES</w:t>
            </w:r>
          </w:p>
        </w:tc>
        <w:tc>
          <w:tcPr>
            <w:tcW w:w="0" w:type="dxa"/>
            <w:vAlign w:val="bottom"/>
          </w:tcPr>
          <w:p>
            <w:pPr>
              <w:spacing w:after="0" w:line="20" w:lineRule="exact"/>
              <w:rPr>
                <w:sz w:val="1"/>
                <w:szCs w:val="1"/>
                <w:color w:val="auto"/>
              </w:rPr>
            </w:pPr>
          </w:p>
        </w:tc>
      </w:tr>
      <w:tr>
        <w:trPr>
          <w:trHeight w:val="174"/>
        </w:trPr>
        <w:tc>
          <w:tcPr>
            <w:tcW w:w="1440" w:type="dxa"/>
            <w:vAlign w:val="bottom"/>
          </w:tcPr>
          <w:p>
            <w:pPr>
              <w:spacing w:after="0"/>
              <w:rPr>
                <w:sz w:val="15"/>
                <w:szCs w:val="15"/>
                <w:color w:val="auto"/>
              </w:rPr>
            </w:pPr>
          </w:p>
        </w:tc>
        <w:tc>
          <w:tcPr>
            <w:tcW w:w="4580" w:type="dxa"/>
            <w:vAlign w:val="bottom"/>
            <w:gridSpan w:val="3"/>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Commitments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Note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F-1</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(Foreign Lenders; non-partnerships)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F-2</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(Foreign Participants; non-partnerships)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F-3</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(Foreign Participants; partnerships)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F-4</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(Foreign Lenders; partnerships)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G-1</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Commitment Increase Certificate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G-2</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Additional Lender Certificate</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9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Form of Maturity Date Extension Request</w:t>
            </w:r>
          </w:p>
        </w:tc>
        <w:tc>
          <w:tcPr>
            <w:tcW w:w="0" w:type="dxa"/>
            <w:vAlign w:val="bottom"/>
          </w:tcPr>
          <w:p>
            <w:pPr>
              <w:spacing w:after="0"/>
              <w:rPr>
                <w:sz w:val="1"/>
                <w:szCs w:val="1"/>
                <w:color w:val="auto"/>
              </w:rPr>
            </w:pPr>
          </w:p>
        </w:tc>
      </w:tr>
      <w:tr>
        <w:trPr>
          <w:trHeight w:val="668"/>
        </w:trPr>
        <w:tc>
          <w:tcPr>
            <w:tcW w:w="14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4" w:right="339" w:bottom="1440" w:gutter="0" w:footer="0" w:header="0"/>
        </w:sectPr>
      </w:pPr>
    </w:p>
    <w:bookmarkStart w:id="170" w:name="page171"/>
    <w:bookmarkEnd w:id="170"/>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SECOND AMENDED AND RESTATED CREDIT AGREEMENT </w:t>
      </w:r>
      <w:r>
        <w:rPr>
          <w:rFonts w:ascii="Times New Roman" w:cs="Times New Roman" w:eastAsia="Times New Roman" w:hAnsi="Times New Roman"/>
          <w:sz w:val="18"/>
          <w:szCs w:val="18"/>
          <w:color w:val="auto"/>
        </w:rPr>
        <w:t>dated as of November 1,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(as amended, supplemented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otherwise modified from time to time)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among: Diamondback Energy, Inc., a Delaware corporation, as the Parent Guarantor; Diamondback E&amp;P LLC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successor-by-merger to Diamondback O&amp;G LLC)</w:t>
      </w:r>
      <w:r>
        <w:rPr>
          <w:rFonts w:ascii="Times New Roman" w:cs="Times New Roman" w:eastAsia="Times New Roman" w:hAnsi="Times New Roman"/>
          <w:sz w:val="18"/>
          <w:szCs w:val="18"/>
          <w:color w:val="000000"/>
        </w:rPr>
        <w:t>, a Delaware limited liability company, as borrower (the “</w:t>
      </w:r>
      <w:r>
        <w:rPr>
          <w:rFonts w:ascii="Times New Roman" w:cs="Times New Roman" w:eastAsia="Times New Roman" w:hAnsi="Times New Roman"/>
          <w:sz w:val="18"/>
          <w:szCs w:val="18"/>
          <w:u w:val="single" w:color="auto"/>
          <w:color w:val="000000"/>
        </w:rPr>
        <w:t>Borrower</w:t>
      </w:r>
      <w:r>
        <w:rPr>
          <w:rFonts w:ascii="Times New Roman" w:cs="Times New Roman" w:eastAsia="Times New Roman" w:hAnsi="Times New Roman"/>
          <w:sz w:val="18"/>
          <w:szCs w:val="18"/>
          <w:color w:val="000000"/>
        </w:rPr>
        <w:t>”); each of the Lenders from time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time party hereto; and Wells Fargo Bank, National Association (in its individual capacity, “</w:t>
      </w:r>
      <w:r>
        <w:rPr>
          <w:rFonts w:ascii="Times New Roman" w:cs="Times New Roman" w:eastAsia="Times New Roman" w:hAnsi="Times New Roman"/>
          <w:sz w:val="18"/>
          <w:szCs w:val="18"/>
          <w:u w:val="single" w:color="auto"/>
          <w:color w:val="000000"/>
        </w:rPr>
        <w:t>Wells Fargo</w:t>
      </w:r>
      <w:r>
        <w:rPr>
          <w:rFonts w:ascii="Times New Roman" w:cs="Times New Roman" w:eastAsia="Times New Roman" w:hAnsi="Times New Roman"/>
          <w:sz w:val="18"/>
          <w:szCs w:val="18"/>
          <w:color w:val="000000"/>
        </w:rPr>
        <w:t>”), as administrative agent for the Lenders (in such capacity, together with its successors in such capacity, the “</w:t>
      </w:r>
      <w:r>
        <w:rPr>
          <w:rFonts w:ascii="Times New Roman" w:cs="Times New Roman" w:eastAsia="Times New Roman" w:hAnsi="Times New Roman"/>
          <w:sz w:val="18"/>
          <w:szCs w:val="18"/>
          <w:u w:val="single" w:color="auto"/>
          <w:color w:val="000000"/>
        </w:rPr>
        <w:t>Administrative Agent</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 E C I T A L S</w:t>
      </w:r>
    </w:p>
    <w:p>
      <w:pPr>
        <w:spacing w:after="0" w:line="229" w:lineRule="exact"/>
        <w:rPr>
          <w:sz w:val="20"/>
          <w:szCs w:val="20"/>
          <w:color w:val="auto"/>
        </w:rPr>
      </w:pPr>
    </w:p>
    <w:p>
      <w:pPr>
        <w:jc w:val="both"/>
        <w:ind w:firstLine="656"/>
        <w:spacing w:after="0" w:line="256" w:lineRule="auto"/>
        <w:tabs>
          <w:tab w:leader="none" w:pos="14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Diamondback O&amp;G (as defined below)</w:t>
      </w:r>
      <w:r>
        <w:rPr>
          <w:rFonts w:ascii="Times New Roman" w:cs="Times New Roman" w:eastAsia="Times New Roman" w:hAnsi="Times New Roman"/>
          <w:sz w:val="18"/>
          <w:szCs w:val="18"/>
          <w:u w:val="single" w:color="auto"/>
          <w:color w:val="0000FF"/>
        </w:rPr>
        <w:t>The Borrower, the Parent Guarantor</w:t>
      </w:r>
      <w:r>
        <w:rPr>
          <w:rFonts w:ascii="Times New Roman" w:cs="Times New Roman" w:eastAsia="Times New Roman" w:hAnsi="Times New Roman"/>
          <w:sz w:val="18"/>
          <w:szCs w:val="18"/>
          <w:color w:val="000000"/>
        </w:rPr>
        <w:t>, the Administrative Agent and other financial institutions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named and defined therein as lenders and agents entered into that certain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000000"/>
        </w:rPr>
        <w:t xml:space="preserve"> Amended and Restated Credit Agreement dated as of </w:t>
      </w:r>
      <w:r>
        <w:rPr>
          <w:rFonts w:ascii="Times New Roman" w:cs="Times New Roman" w:eastAsia="Times New Roman" w:hAnsi="Times New Roman"/>
          <w:sz w:val="18"/>
          <w:szCs w:val="18"/>
          <w:color w:val="FF0000"/>
          <w:strike w:val="1"/>
        </w:rPr>
        <w:t>July 24, 2012,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amended by that certain First Amendment dated as of July 31, 2012, that certain Second Amendment dated as of September 28, 2012, that certain Third Amendment dated as of August 30, 2013 and that certain Fourth Amendment dated as of September 6</w:t>
      </w:r>
      <w:r>
        <w:rPr>
          <w:rFonts w:ascii="Times New Roman" w:cs="Times New Roman" w:eastAsia="Times New Roman" w:hAnsi="Times New Roman"/>
          <w:sz w:val="18"/>
          <w:szCs w:val="18"/>
          <w:u w:val="single" w:color="auto"/>
          <w:color w:val="0000FF"/>
          <w:strike w:val="1"/>
        </w:rPr>
        <w:t>November 1</w:t>
      </w:r>
      <w:r>
        <w:rPr>
          <w:rFonts w:ascii="Times New Roman" w:cs="Times New Roman" w:eastAsia="Times New Roman" w:hAnsi="Times New Roman"/>
          <w:sz w:val="18"/>
          <w:szCs w:val="18"/>
          <w:color w:val="000000"/>
          <w:strike w:val="1"/>
        </w:rPr>
        <w:t>, 2013, pursuant to which such lenders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provided certain loans to and extensions of credit on behalf of the Borrower (as heretofore amended, modified or supplemented, the “</w:t>
      </w:r>
      <w:r>
        <w:rPr>
          <w:rFonts w:ascii="Times New Roman" w:cs="Times New Roman" w:eastAsia="Times New Roman" w:hAnsi="Times New Roman"/>
          <w:sz w:val="18"/>
          <w:szCs w:val="18"/>
          <w:u w:val="single" w:color="auto"/>
          <w:color w:val="000000"/>
          <w:strike w:val="1"/>
        </w:rPr>
        <w:t>Existing Credit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Agreement</w:t>
      </w:r>
      <w:r>
        <w:rPr>
          <w:rFonts w:ascii="Times New Roman" w:cs="Times New Roman" w:eastAsia="Times New Roman" w:hAnsi="Times New Roman"/>
          <w:sz w:val="18"/>
          <w:szCs w:val="18"/>
          <w:color w:val="000000"/>
          <w:strike w:val="1"/>
        </w:rPr>
        <w: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60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Guarantor and the Borrower have requested, and the Lenders have agreed, to amend </w:t>
      </w:r>
      <w:r>
        <w:rPr>
          <w:rFonts w:ascii="Times New Roman" w:cs="Times New Roman" w:eastAsia="Times New Roman" w:hAnsi="Times New Roman"/>
          <w:sz w:val="18"/>
          <w:szCs w:val="18"/>
          <w:color w:val="FF0000"/>
          <w:strike w:val="1"/>
        </w:rPr>
        <w:t>and restate</w:t>
      </w:r>
      <w:r>
        <w:rPr>
          <w:rFonts w:ascii="Times New Roman" w:cs="Times New Roman" w:eastAsia="Times New Roman" w:hAnsi="Times New Roman"/>
          <w:sz w:val="18"/>
          <w:szCs w:val="18"/>
          <w:color w:val="auto"/>
        </w:rPr>
        <w:t xml:space="preserve"> the Existing Credit Agreement subject to the terms and conditions of this Agreement </w:t>
      </w:r>
      <w:r>
        <w:rPr>
          <w:rFonts w:ascii="Times New Roman" w:cs="Times New Roman" w:eastAsia="Times New Roman" w:hAnsi="Times New Roman"/>
          <w:sz w:val="18"/>
          <w:szCs w:val="18"/>
          <w:u w:val="single" w:color="auto"/>
          <w:color w:val="0000FF"/>
        </w:rPr>
        <w:t>and the Fourteenth Amendment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6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in consideration of the mutual covenants and agreements herein contained and of the loans, extensions of credit and commitments hereinafter referred to,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MATTERS</w:t>
      </w:r>
    </w:p>
    <w:p>
      <w:pPr>
        <w:spacing w:after="0" w:line="20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010000"/>
        </w:rPr>
        <w:t>Section 1.01</w:t>
      </w:r>
      <w:r>
        <w:rPr>
          <w:sz w:val="20"/>
          <w:szCs w:val="20"/>
          <w:color w:val="auto"/>
        </w:rPr>
        <w:tab/>
      </w:r>
      <w:r>
        <w:rPr>
          <w:rFonts w:ascii="Times New Roman" w:cs="Times New Roman" w:eastAsia="Times New Roman" w:hAnsi="Times New Roman"/>
          <w:sz w:val="17"/>
          <w:szCs w:val="17"/>
          <w:u w:val="single" w:color="auto"/>
          <w:color w:val="auto"/>
        </w:rPr>
        <w:t>Terms Defined Above</w:t>
      </w:r>
      <w:r>
        <w:rPr>
          <w:rFonts w:ascii="Times New Roman" w:cs="Times New Roman" w:eastAsia="Times New Roman" w:hAnsi="Times New Roman"/>
          <w:sz w:val="17"/>
          <w:szCs w:val="17"/>
          <w:color w:val="auto"/>
        </w:rPr>
        <w:t>. As used in this Agreement, each term defined above has the meaning indicated above.</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010000"/>
        </w:rPr>
        <w:t>Section 1.02</w:t>
      </w:r>
      <w:r>
        <w:rPr>
          <w:sz w:val="20"/>
          <w:szCs w:val="20"/>
          <w:color w:val="auto"/>
        </w:rPr>
        <w:tab/>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2.06(c)(ii)(F)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such calculation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and the Syndication Agents; and “Agent” shall mean either the Administrative Agent or a Syndication Agent, as the context requires.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Second Amended and Restated Credit Agreement, as amended, amended and restated, supplemented or otherwise modified from time to time.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½ of 1% </w:t>
      </w:r>
      <w:r>
        <w:rPr>
          <w:rFonts w:ascii="Times New Roman" w:cs="Times New Roman" w:eastAsia="Times New Roman" w:hAnsi="Times New Roman"/>
          <w:sz w:val="18"/>
          <w:szCs w:val="18"/>
          <w:u w:val="single" w:color="auto"/>
          <w:color w:val="0000FF"/>
        </w:rPr>
        <w:t>per annum</w:t>
      </w:r>
      <w:r>
        <w:rPr>
          <w:rFonts w:ascii="Times New Roman" w:cs="Times New Roman" w:eastAsia="Times New Roman" w:hAnsi="Times New Roman"/>
          <w:sz w:val="18"/>
          <w:szCs w:val="18"/>
          <w:color w:val="auto"/>
        </w:rPr>
        <w:t xml:space="preserve"> and (c) (i) Adjusted Term SOFR for a one-month Interest Period on such day (or if such day is not a Business Day, the immediately preceding Business Day) plus (ii)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applicable during any period in which Adjusted Term SOFR is unavailable or unascertainable.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Notwithstanding anything to the contrary herein, in no event shall the Alternate Base Rate be less than 0.0%.</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means all state or federal laws, rules, and regulations </w:t>
      </w:r>
      <w:r>
        <w:rPr>
          <w:rFonts w:ascii="Times New Roman" w:cs="Times New Roman" w:eastAsia="Times New Roman" w:hAnsi="Times New Roman"/>
          <w:sz w:val="18"/>
          <w:szCs w:val="18"/>
          <w:u w:val="single" w:color="auto"/>
          <w:color w:val="0000FF"/>
        </w:rPr>
        <w:t>of a jurisdiction</w:t>
      </w:r>
      <w:r>
        <w:rPr>
          <w:rFonts w:ascii="Times New Roman" w:cs="Times New Roman" w:eastAsia="Times New Roman" w:hAnsi="Times New Roman"/>
          <w:sz w:val="18"/>
          <w:szCs w:val="18"/>
          <w:color w:val="auto"/>
        </w:rPr>
        <w:t xml:space="preserve"> applicable to the Parent Guarantor or its Subsidiaries from time to time concerning or relating to bribery or corruption, including the FCPA.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xml:space="preserve">” means any and all laws, statutes, regulations or obligatory government orders, decrees, ordinances or rules </w:t>
      </w:r>
      <w:r>
        <w:rPr>
          <w:rFonts w:ascii="Times New Roman" w:cs="Times New Roman" w:eastAsia="Times New Roman" w:hAnsi="Times New Roman"/>
          <w:sz w:val="18"/>
          <w:szCs w:val="18"/>
          <w:u w:val="single" w:color="auto"/>
          <w:color w:val="0000FF"/>
        </w:rPr>
        <w:t>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jurisdiction applicable to the Parent Guarantor or its Subsidiaries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related to terrorism financing, money laundering, any predicate crime to money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laundering or any financial record keeping, including any applicable provision of the </w:t>
      </w:r>
      <w:r>
        <w:rPr>
          <w:rFonts w:ascii="Times New Roman" w:cs="Times New Roman" w:eastAsia="Times New Roman" w:hAnsi="Times New Roman"/>
          <w:sz w:val="18"/>
          <w:szCs w:val="18"/>
          <w:u w:val="single" w:color="auto"/>
          <w:color w:val="0000FF"/>
        </w:rPr>
        <w:t>USA</w:t>
      </w:r>
      <w:r>
        <w:rPr>
          <w:rFonts w:ascii="Times New Roman" w:cs="Times New Roman" w:eastAsia="Times New Roman" w:hAnsi="Times New Roman"/>
          <w:sz w:val="18"/>
          <w:szCs w:val="18"/>
          <w:color w:val="000000"/>
        </w:rPr>
        <w:t xml:space="preserve"> PATRIOT Act and The Currency and Foreign Transactions Reporting Act (also known as the “Bank Secrecy Act,” 31 U.S.C. §§ 5311-5330 and 12 U.S.C. §§ 1818(s), 1820(b) and 1951-1959).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or SOFR Loan or with respect to the Commitment Fee Rate, as the case may be, based upon the ratings by the Rating Agencies applicable on such date to the Index Debt: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Ratings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0115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00" w:type="dxa"/>
            <w:vAlign w:val="bottom"/>
            <w:tcBorders>
              <w:top w:val="single" w:sz="8" w:color="auto"/>
              <w:right w:val="single" w:sz="8" w:color="auto"/>
            </w:tcBorders>
            <w:gridSpan w:val="5"/>
          </w:tcPr>
          <w:p>
            <w:pPr>
              <w:ind w:left="120"/>
              <w:spacing w:after="0" w:line="191" w:lineRule="exact"/>
              <w:rPr>
                <w:sz w:val="20"/>
                <w:szCs w:val="20"/>
                <w:color w:val="auto"/>
              </w:rPr>
            </w:pPr>
            <w:r>
              <w:rPr>
                <w:rFonts w:ascii="Times New Roman" w:cs="Times New Roman" w:eastAsia="Times New Roman" w:hAnsi="Times New Roman"/>
                <w:sz w:val="18"/>
                <w:szCs w:val="18"/>
                <w:color w:val="auto"/>
              </w:rPr>
              <w:t>Index Debt Rating</w:t>
            </w:r>
          </w:p>
        </w:tc>
        <w:tc>
          <w:tcPr>
            <w:tcW w:w="168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Pricing Level I</w:t>
            </w:r>
          </w:p>
        </w:tc>
        <w:tc>
          <w:tcPr>
            <w:tcW w:w="18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Pricing</w:t>
            </w:r>
          </w:p>
        </w:tc>
        <w:tc>
          <w:tcPr>
            <w:tcW w:w="18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Pricing</w:t>
            </w:r>
          </w:p>
        </w:tc>
        <w:tc>
          <w:tcPr>
            <w:tcW w:w="168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Pricing Level IV</w:t>
            </w:r>
          </w:p>
        </w:tc>
        <w:tc>
          <w:tcPr>
            <w:tcW w:w="1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Pricing Level V</w:t>
            </w:r>
          </w:p>
        </w:tc>
        <w:tc>
          <w:tcPr>
            <w:tcW w:w="0" w:type="dxa"/>
            <w:vAlign w:val="bottom"/>
          </w:tcPr>
          <w:p>
            <w:pPr>
              <w:spacing w:after="0"/>
              <w:rPr>
                <w:sz w:val="1"/>
                <w:szCs w:val="1"/>
                <w:color w:val="auto"/>
              </w:rPr>
            </w:pPr>
          </w:p>
        </w:tc>
      </w:tr>
      <w:tr>
        <w:trPr>
          <w:trHeight w:val="194"/>
        </w:trPr>
        <w:tc>
          <w:tcPr>
            <w:tcW w:w="134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S&amp;P/</w:t>
            </w:r>
            <w:r>
              <w:rPr>
                <w:rFonts w:ascii="Times New Roman" w:cs="Times New Roman" w:eastAsia="Times New Roman" w:hAnsi="Times New Roman"/>
                <w:sz w:val="18"/>
                <w:szCs w:val="18"/>
                <w:color w:val="auto"/>
              </w:rPr>
              <w:t xml:space="preserve"> Moody’s/</w:t>
            </w:r>
          </w:p>
        </w:tc>
        <w:tc>
          <w:tcPr>
            <w:tcW w:w="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97"/>
              </w:rPr>
              <w:t>S&amp;P/</w:t>
            </w:r>
          </w:p>
        </w:tc>
        <w:tc>
          <w:tcPr>
            <w:tcW w:w="76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Fitch)</w:t>
            </w:r>
          </w:p>
        </w:tc>
        <w:tc>
          <w:tcPr>
            <w:tcW w:w="16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 BBB+/</w:t>
            </w:r>
          </w:p>
        </w:tc>
        <w:tc>
          <w:tcPr>
            <w:tcW w:w="18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Level II</w:t>
            </w:r>
          </w:p>
        </w:tc>
        <w:tc>
          <w:tcPr>
            <w:tcW w:w="18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Level III</w:t>
            </w:r>
          </w:p>
        </w:tc>
        <w:tc>
          <w:tcPr>
            <w:tcW w:w="16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BB+/ Ba1/BB+</w:t>
            </w:r>
          </w:p>
        </w:tc>
        <w:tc>
          <w:tcPr>
            <w:tcW w:w="1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 BB/ Ba2/BB</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Baa1/BBB+</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BBB/ Baa2/BBB</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BBB-/ Baa3/BBB-</w:t>
            </w:r>
          </w:p>
        </w:tc>
        <w:tc>
          <w:tcPr>
            <w:tcW w:w="1680" w:type="dxa"/>
            <w:vAlign w:val="bottom"/>
            <w:tcBorders>
              <w:right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vMerge w:val="continue"/>
          </w:tcPr>
          <w:p>
            <w:pPr>
              <w:spacing w:after="0"/>
              <w:rPr>
                <w:sz w:val="17"/>
                <w:szCs w:val="17"/>
                <w:color w:val="auto"/>
              </w:rPr>
            </w:pPr>
          </w:p>
        </w:tc>
        <w:tc>
          <w:tcPr>
            <w:tcW w:w="1800" w:type="dxa"/>
            <w:vAlign w:val="bottom"/>
            <w:tcBorders>
              <w:bottom w:val="single" w:sz="8" w:color="auto"/>
              <w:right w:val="single" w:sz="8" w:color="auto"/>
            </w:tcBorders>
            <w:vMerge w:val="continue"/>
          </w:tcPr>
          <w:p>
            <w:pPr>
              <w:spacing w:after="0"/>
              <w:rPr>
                <w:sz w:val="17"/>
                <w:szCs w:val="17"/>
                <w:color w:val="auto"/>
              </w:rPr>
            </w:pPr>
          </w:p>
        </w:tc>
        <w:tc>
          <w:tcPr>
            <w:tcW w:w="1800" w:type="dxa"/>
            <w:vAlign w:val="bottom"/>
            <w:tcBorders>
              <w:bottom w:val="single" w:sz="8" w:color="auto"/>
              <w:right w:val="single" w:sz="8" w:color="auto"/>
            </w:tcBorders>
            <w:vMerge w:val="continue"/>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SOFR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1.750%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ABR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0.250%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0.750%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Commitment Fee Rate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0.150%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0.250%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the foregoing, (a) if only one rating is determined, the Pricing Level corresponding to that rating shall apply; (b) if there are only two ratings, then (i) if there is a one Pricing Level difference between the two ratings, then the Pricing Level corresponding to the higher rating shall be used (with the rating for Pricing Level I being the highest and the rating for Pricing Level V being the lowest), and (ii) if there is a greater than one Pricing Level difference between the ratings, then the Pricing Level that is one Pricing Level below the higher rating will be used; (c) if there are three ratings, then</w:t>
      </w:r>
    </w:p>
    <w:p>
      <w:pPr>
        <w:spacing w:after="0" w:line="3" w:lineRule="exact"/>
        <w:rPr>
          <w:sz w:val="20"/>
          <w:szCs w:val="20"/>
          <w:color w:val="auto"/>
        </w:rPr>
      </w:pPr>
    </w:p>
    <w:p>
      <w:pPr>
        <w:jc w:val="both"/>
        <w:ind w:firstLine="8"/>
        <w:spacing w:after="0" w:line="251" w:lineRule="auto"/>
        <w:tabs>
          <w:tab w:leader="none" w:pos="2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three ratings correspond to the same Pricing Level, that Pricing Level shall apply, (ii) if all three are at different Pricing Levels, the middle Pricing Level shall apply and (iii) if two ratings correspond to the same Pricing Level and the third is different, the Pricing Level corresponding to the two same Pricing Levels shall apply; (d) subject to the last paragraph of this definition, if none of the Rating Agencies shall have in effect a rating (other than by reason of the circumstances referred to in the next succeeding paragraph of this definition), then the Pricing Level shall be deemed to be Pricing Level V; and (e) if the ratings established or deemed to have been established by the Rating Agencies shall be changed (other than as a result of a change in the rating system of such Rating Agency), such change shall be effective as of the date on which it is first announced by the applicable Rating Agency. Each change in the Applicable Margin shall apply during the period commencing on the effective date of such change and ending on the date immediately preceding the effective date of the next such change.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rating system of any Rating Agency shall change, or if any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all of the Rating Agencies shall at any time fail to have in effect a rating for the Index Debt (other than by reason of the circumstances referred to in the immediately preceding paragraph of this definition), the Borrower may seek and obtain a rating of the Facility from one or more of the Rating Agencies, and on and after the date on which such rating of the Facility is obtained until such time (if any) that a rating for the Index Debt becomes effective again, the Applicable Margin shall be based on such rating or ratings of the Facility in the same manner as provided herein with respect to the ratings for the Index Debt.</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the percentage of the total </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auto"/>
        </w:rPr>
        <w:t xml:space="preserve"> Commitments</w:t>
      </w:r>
      <w:r>
        <w:rPr>
          <w:rFonts w:ascii="Times New Roman" w:cs="Times New Roman" w:eastAsia="Times New Roman" w:hAnsi="Times New Roman"/>
          <w:sz w:val="18"/>
          <w:szCs w:val="18"/>
          <w:u w:val="single" w:color="auto"/>
          <w:color w:val="0000FF"/>
        </w:rPr>
        <w:t>, Increased Commitments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 as the case may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 represented by such 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w:t>
      </w:r>
      <w:r>
        <w:rPr>
          <w:rFonts w:ascii="Times New Roman" w:cs="Times New Roman" w:eastAsia="Times New Roman" w:hAnsi="Times New Roman"/>
          <w:sz w:val="18"/>
          <w:szCs w:val="18"/>
          <w:u w:val="single" w:color="auto"/>
          <w:color w:val="0000FF"/>
        </w:rPr>
        <w:t>, Increased Commitment or Commitment,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as the case may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such percentage is set forth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Annex 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if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Commitments</w:t>
      </w:r>
      <w:r>
        <w:rPr>
          <w:rFonts w:ascii="Times New Roman" w:cs="Times New Roman" w:eastAsia="Times New Roman" w:hAnsi="Times New Roman"/>
          <w:sz w:val="18"/>
          <w:szCs w:val="18"/>
          <w:u w:val="single" w:color="auto"/>
          <w:color w:val="0000FF"/>
        </w:rPr>
        <w:t>Existing Commitments, Increased Commitments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Commitments, as the case may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have terminated or expired, the Applicable Percentages shall be determined based upon the Revolving Credit Exposures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Wells Fargo Securities, LLC, in its capacity as the sole book runner and sole lead arranger 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w:t>
      </w:r>
      <w:r>
        <w:rPr>
          <w:rFonts w:ascii="Times New Roman" w:cs="Times New Roman" w:eastAsia="Times New Roman" w:hAnsi="Times New Roman"/>
          <w:sz w:val="18"/>
          <w:szCs w:val="18"/>
          <w:u w:val="single" w:color="auto"/>
          <w:color w:val="0000FF"/>
        </w:rPr>
        <w:t>Fourteenth Amendment</w:t>
      </w:r>
      <w:r>
        <w:rPr>
          <w:rFonts w:ascii="Times New Roman" w:cs="Times New Roman" w:eastAsia="Times New Roman" w:hAnsi="Times New Roman"/>
          <w:sz w:val="18"/>
          <w:szCs w:val="18"/>
          <w:color w:val="auto"/>
        </w:rPr>
        <w:t xml:space="preserve"> Effective Date to but excluding the Termination Date.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3.03(c)(iv)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225" w:lineRule="exact"/>
        <w:rPr>
          <w:sz w:val="20"/>
          <w:szCs w:val="20"/>
          <w:color w:val="auto"/>
        </w:rPr>
      </w:pPr>
    </w:p>
    <w:p>
      <w:pPr>
        <w:jc w:val="both"/>
        <w:ind w:firstLine="656"/>
        <w:spacing w:after="0" w:line="266" w:lineRule="auto"/>
        <w:tabs>
          <w:tab w:leader="none" w:pos="14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656"/>
        <w:spacing w:after="0" w:line="261" w:lineRule="auto"/>
        <w:tabs>
          <w:tab w:leader="none" w:pos="14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3.03(c)(i).</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Benefiting Guarantor</w:t>
      </w:r>
      <w:r>
        <w:rPr>
          <w:rFonts w:ascii="Times New Roman" w:cs="Times New Roman" w:eastAsia="Times New Roman" w:hAnsi="Times New Roman"/>
          <w:sz w:val="18"/>
          <w:szCs w:val="18"/>
          <w:color w:val="auto"/>
        </w:rPr>
        <w:t>” means a Guarantor for which funds or other support are necessary for such Guarantor to constitute an Eligible Contract Participant.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 or any successor Governmental Authority.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 to this Agreement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however</w:t>
      </w:r>
      <w:r>
        <w:rPr>
          <w:rFonts w:ascii="Times New Roman" w:cs="Times New Roman" w:eastAsia="Times New Roman" w:hAnsi="Times New Roman"/>
          <w:sz w:val="18"/>
          <w:szCs w:val="18"/>
          <w:color w:val="FF0000"/>
          <w:strike w:val="1"/>
        </w:rPr>
        <w:t>, that upon consummation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Permitted Borrower Changeover Transaction, and subject to any other Person assuming the obligations as the successor Borrower pursuant to a permitted transaction pursuant to </w:t>
      </w:r>
      <w:r>
        <w:rPr>
          <w:rFonts w:ascii="Times New Roman" w:cs="Times New Roman" w:eastAsia="Times New Roman" w:hAnsi="Times New Roman"/>
          <w:sz w:val="18"/>
          <w:szCs w:val="18"/>
          <w:u w:val="single" w:color="auto"/>
          <w:color w:val="FF0000"/>
          <w:strike w:val="1"/>
        </w:rPr>
        <w:t>Section 9.05</w:t>
      </w:r>
      <w:r>
        <w:rPr>
          <w:rFonts w:ascii="Times New Roman" w:cs="Times New Roman" w:eastAsia="Times New Roman" w:hAnsi="Times New Roman"/>
          <w:sz w:val="18"/>
          <w:szCs w:val="18"/>
          <w:color w:val="FF0000"/>
          <w:strike w:val="1"/>
        </w:rPr>
        <w:t>, (a) Diamondback E&amp;P shall succeed to, and be substituted for, and shall be responsible for all obligations under this Agreement and the other Loan Documents of, the Borrower and (b) any and all references to the Borrower in this Agreement or any of the other Loan Documents shall be deemed to refer to Diamondback E&amp;P in its capacity as the successor Borrower</w:t>
      </w:r>
      <w:r>
        <w:rPr>
          <w:rFonts w:ascii="Times New Roman" w:cs="Times New Roman" w:eastAsia="Times New Roman" w:hAnsi="Times New Roman"/>
          <w:sz w:val="18"/>
          <w:szCs w:val="18"/>
          <w:color w:val="000000"/>
          <w:strike w:val="1"/>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Revolving Loans of the same Type, made, converted or continued on the same date and, in the case of SOFR Loans, as to which a single Interest Period is in effect or Swingline Loans, as to which a single Interest Period is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Revolving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or Houston, Texas are authorized or required by law to remain closed.</w:t>
      </w:r>
    </w:p>
    <w:p>
      <w:pPr>
        <w:spacing w:after="0" w:line="162" w:lineRule="exact"/>
        <w:rPr>
          <w:sz w:val="20"/>
          <w:szCs w:val="20"/>
          <w:color w:val="auto"/>
        </w:rPr>
      </w:pPr>
    </w:p>
    <w:p>
      <w:pPr>
        <w:jc w:val="center"/>
        <w:ind w:right="320"/>
        <w:spacing w:after="0" w:line="4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means the sum, at any time outstanding and without duplication, of (a) Total Net Debt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Stockholders’ Equity.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Leases</w:t>
      </w:r>
      <w:r>
        <w:rPr>
          <w:rFonts w:ascii="Times New Roman" w:cs="Times New Roman" w:eastAsia="Times New Roman" w:hAnsi="Times New Roman"/>
          <w:sz w:val="18"/>
          <w:szCs w:val="18"/>
          <w:color w:val="auto"/>
        </w:rPr>
        <w:t>” means, in respect of any Person, all leases which shall have been, or should have been, in accordance with GAAP, recorded as capital leases on the balance sheet of the Person liable (whether contingent or otherwise) for the payment of rent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Issuing Bank or the Lenders, as collateral for LC Exposure or obligations of the Lenders to fund participations in respect of LC Exposure, cash or deposit account balances or, if the Administrative Agent and the Issuing Bank shall agree, in their sole discretion, other credit support, in each case pursuant to documentation in form and substance satisfactory to the Administrative Agent and the Issuing Bank.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Provider</w:t>
      </w:r>
      <w:r>
        <w:rPr>
          <w:rFonts w:ascii="Times New Roman" w:cs="Times New Roman" w:eastAsia="Times New Roman" w:hAnsi="Times New Roman"/>
          <w:sz w:val="18"/>
          <w:szCs w:val="18"/>
          <w:color w:val="auto"/>
        </w:rPr>
        <w:t>” means any Person that, at the time it enters into a Cash Management Agreement, is a Lender, an Affiliate of a Lender, the Administrative Agent or an Affiliate of the Administrative Agent, in its capacity as a party to such Cash Management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means the acquisition of ownership, directly or indirectly, beneficially or of record, by any Person or group (within the meaning of the Securities Exchange Act of 1934 and the rules of the SEC thereunder as in effect on the date hereof) other than the Permitted Holders, of Equity Interests representing more than 50% of the aggregate ordinary voting power represented by the issued and outstanding Equity Interests of the Borrower. </w:t>
      </w:r>
      <w:r>
        <w:rPr>
          <w:rFonts w:ascii="Times New Roman" w:cs="Times New Roman" w:eastAsia="Times New Roman" w:hAnsi="Times New Roman"/>
          <w:sz w:val="18"/>
          <w:szCs w:val="18"/>
          <w:u w:val="single" w:color="auto"/>
          <w:color w:val="0000FF"/>
        </w:rPr>
        <w:t>Notwithstanding the foregoing, a transaction will not be considered to be a Change of Control if (w) the Parent Guarantor becomes a direct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indirect wholly owned Subsidiary of another Person (such Person, “New Parent”), (x) the owners of 100% of the Equity Interests in New Parent immediately after giving effect to such transaction are identical to the owners of 100% of the Equity Interests in the Parent Guarantor immediately prior to giving effect to such transaction, (y) such New Parent becomes a Guarantor hereunder and (z) the Borrower remains a direct or indirect wholly owned Subsidiary of the Parent Guarantor and New Parent.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the Issuing Bank (or, for purposes of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by any lending office of such Lender or by such Lender’s or the Issuing Bank’s holding company, if any) with any request, guideline or directive (whether or not having the force of law) of any Governmental Authority made or issued after the date of this Agreement. Notwithstanding anything herein to the contrary, (i) the Dodd-Frank Wall Street Reform and Consumer Protection Act and all requests, rules, guidelines, requirements or directives thereunder or issued in connection therewith (whether or not having the force of law) or in implementation thereof, and (ii) all requests, rules, regulations, guidelines, interpretations, requirements and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or implemented.</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or Swingline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statute.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w:t>
      </w:r>
      <w:r>
        <w:rPr>
          <w:rFonts w:ascii="Times New Roman" w:cs="Times New Roman" w:eastAsia="Times New Roman" w:hAnsi="Times New Roman"/>
          <w:sz w:val="18"/>
          <w:szCs w:val="18"/>
          <w:u w:val="single" w:color="auto"/>
          <w:color w:val="0000FF"/>
        </w:rPr>
        <w:t>(a) prior to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commitment of</w:t>
      </w:r>
      <w:r>
        <w:rPr>
          <w:rFonts w:ascii="Times New Roman" w:cs="Times New Roman" w:eastAsia="Times New Roman" w:hAnsi="Times New Roman"/>
          <w:sz w:val="18"/>
          <w:szCs w:val="18"/>
          <w:u w:val="single" w:color="auto"/>
          <w:color w:val="0000FF"/>
        </w:rPr>
        <w:t>Endeavor Acquisition Effective Date,</w:t>
      </w:r>
      <w:r>
        <w:rPr>
          <w:rFonts w:ascii="Times New Roman" w:cs="Times New Roman" w:eastAsia="Times New Roman" w:hAnsi="Times New Roman"/>
          <w:sz w:val="18"/>
          <w:szCs w:val="18"/>
          <w:color w:val="auto"/>
        </w:rPr>
        <w:t xml:space="preserve"> such Lender </w:t>
      </w:r>
      <w:r>
        <w:rPr>
          <w:rFonts w:ascii="Times New Roman" w:cs="Times New Roman" w:eastAsia="Times New Roman" w:hAnsi="Times New Roman"/>
          <w:sz w:val="18"/>
          <w:szCs w:val="18"/>
          <w:color w:val="FF0000"/>
          <w:strike w:val="1"/>
        </w:rPr>
        <w:t>to make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Revolving Loans and to acquire participations in Letters of Credit and Swingline Loans hereunder, expressed as an amount representing the maximum aggregate amount</w:t>
      </w:r>
      <w:r>
        <w:rPr>
          <w:rFonts w:ascii="Times New Roman" w:cs="Times New Roman" w:eastAsia="Times New Roman" w:hAnsi="Times New Roman"/>
          <w:sz w:val="18"/>
          <w:szCs w:val="18"/>
          <w:u w:val="single" w:color="auto"/>
          <w:color w:val="0000FF"/>
          <w:strike w:val="1"/>
        </w:rPr>
        <w:t>’s Existing Commitment and (b) from and after the Endeavor Acquisition Effective Date, the sum</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of such Lender’s</w:t>
      </w:r>
      <w:r>
        <w:rPr>
          <w:rFonts w:ascii="Times New Roman" w:cs="Times New Roman" w:eastAsia="Times New Roman" w:hAnsi="Times New Roman"/>
          <w:sz w:val="18"/>
          <w:szCs w:val="18"/>
          <w:color w:val="FF0000"/>
          <w:strike w:val="1"/>
        </w:rPr>
        <w:t xml:space="preserve"> Revolving Credit Exposure hereunder, as such commitment may be increased from time to time pursuant to </w:t>
      </w:r>
      <w:r>
        <w:rPr>
          <w:rFonts w:ascii="Times New Roman" w:cs="Times New Roman" w:eastAsia="Times New Roman" w:hAnsi="Times New Roman"/>
          <w:sz w:val="18"/>
          <w:szCs w:val="18"/>
          <w:u w:val="single" w:color="auto"/>
          <w:color w:val="FF0000"/>
          <w:strike w:val="1"/>
        </w:rPr>
        <w:t>Section 2.06(c)</w:t>
      </w:r>
      <w:r>
        <w:rPr>
          <w:rFonts w:ascii="Times New Roman" w:cs="Times New Roman" w:eastAsia="Times New Roman" w:hAnsi="Times New Roman"/>
          <w:sz w:val="18"/>
          <w:szCs w:val="18"/>
          <w:color w:val="FF0000"/>
          <w:strike w:val="1"/>
        </w:rPr>
        <w:t xml:space="preserve">, (b) reduced from time to time pursuant to </w:t>
      </w:r>
      <w:r>
        <w:rPr>
          <w:rFonts w:ascii="Times New Roman" w:cs="Times New Roman" w:eastAsia="Times New Roman" w:hAnsi="Times New Roman"/>
          <w:sz w:val="18"/>
          <w:szCs w:val="18"/>
          <w:u w:val="single" w:color="auto"/>
          <w:color w:val="FF0000"/>
          <w:strike w:val="1"/>
        </w:rPr>
        <w:t>Section 2.06(b)</w:t>
      </w:r>
      <w:r>
        <w:rPr>
          <w:rFonts w:ascii="Times New Roman" w:cs="Times New Roman" w:eastAsia="Times New Roman" w:hAnsi="Times New Roman"/>
          <w:sz w:val="18"/>
          <w:szCs w:val="18"/>
          <w:color w:val="FF0000"/>
          <w:strike w:val="1"/>
        </w:rPr>
        <w:t>, and (c) modified from time to time pursuant to assignments by or to</w:t>
      </w:r>
      <w:r>
        <w:rPr>
          <w:rFonts w:ascii="Times New Roman" w:cs="Times New Roman" w:eastAsia="Times New Roman" w:hAnsi="Times New Roman"/>
          <w:sz w:val="18"/>
          <w:szCs w:val="18"/>
          <w:u w:val="single" w:color="auto"/>
          <w:color w:val="0000FF"/>
          <w:strike w:val="1"/>
        </w:rPr>
        <w:t>Existing Commitment and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such Lender</w:t>
      </w:r>
      <w:r>
        <w:rPr>
          <w:rFonts w:ascii="Times New Roman" w:cs="Times New Roman" w:eastAsia="Times New Roman" w:hAnsi="Times New Roman"/>
          <w:sz w:val="18"/>
          <w:szCs w:val="18"/>
          <w:color w:val="FF0000"/>
          <w:strike w:val="1"/>
        </w:rPr>
        <w:t xml:space="preserve"> pursuant to </w:t>
      </w:r>
      <w:r>
        <w:rPr>
          <w:rFonts w:ascii="Times New Roman" w:cs="Times New Roman" w:eastAsia="Times New Roman" w:hAnsi="Times New Roman"/>
          <w:sz w:val="18"/>
          <w:szCs w:val="18"/>
          <w:u w:val="single" w:color="auto"/>
          <w:color w:val="FF0000"/>
          <w:strike w:val="1"/>
        </w:rPr>
        <w:t>Section 12.04(b)</w:t>
      </w:r>
      <w:r>
        <w:rPr>
          <w:rFonts w:ascii="Times New Roman" w:cs="Times New Roman" w:eastAsia="Times New Roman" w:hAnsi="Times New Roman"/>
          <w:sz w:val="18"/>
          <w:szCs w:val="18"/>
          <w:u w:val="single" w:color="auto"/>
          <w:color w:val="0000FF"/>
          <w:strike w:val="1"/>
        </w:rPr>
        <w:t>’s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Increased Commitment</w:t>
      </w:r>
      <w:r>
        <w:rPr>
          <w:rFonts w:ascii="Times New Roman" w:cs="Times New Roman" w:eastAsia="Times New Roman" w:hAnsi="Times New Roman"/>
          <w:sz w:val="18"/>
          <w:szCs w:val="18"/>
          <w:color w:val="000000"/>
          <w:strike w:val="1"/>
        </w:rPr>
        <w:t>, and “</w:t>
      </w:r>
      <w:r>
        <w:rPr>
          <w:rFonts w:ascii="Times New Roman" w:cs="Times New Roman" w:eastAsia="Times New Roman" w:hAnsi="Times New Roman"/>
          <w:sz w:val="18"/>
          <w:szCs w:val="18"/>
          <w:u w:val="single" w:color="auto"/>
          <w:color w:val="000000"/>
          <w:strike w:val="1"/>
        </w:rPr>
        <w:t>Commitments</w:t>
      </w:r>
      <w:r>
        <w:rPr>
          <w:rFonts w:ascii="Times New Roman" w:cs="Times New Roman" w:eastAsia="Times New Roman" w:hAnsi="Times New Roman"/>
          <w:sz w:val="18"/>
          <w:szCs w:val="18"/>
          <w:color w:val="000000"/>
          <w:strike w:val="1"/>
        </w:rPr>
        <w:t>” means the aggregate amount of the Commitments of all Lenders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at such time. From and after the Endeavor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Acquisition Effective Date, the Existing Commitments and the Increased Commitments shall constitute a single class of Commitments hereunder.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As of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Twelfth</w:t>
      </w:r>
      <w:r>
        <w:rPr>
          <w:rFonts w:ascii="Times New Roman" w:cs="Times New Roman" w:eastAsia="Times New Roman" w:hAnsi="Times New Roman"/>
          <w:sz w:val="18"/>
          <w:szCs w:val="18"/>
          <w:u w:val="single" w:color="auto"/>
          <w:color w:val="0000FF"/>
          <w:strike w:val="1"/>
        </w:rPr>
        <w:t>Fourteenth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Amendment Effective Date, (i) the amount of each Lender’s Commitment is set forth 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00"/>
          <w:strike w:val="1"/>
        </w:rPr>
        <w:t>Annex I</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under the caption “Total</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Commitment”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and (ii) the aggregate amount of the Lenders’ Commitments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is $1,600,000,000</w:t>
      </w:r>
      <w:r>
        <w:rPr>
          <w:rFonts w:ascii="Times New Roman" w:cs="Times New Roman" w:eastAsia="Times New Roman" w:hAnsi="Times New Roman"/>
          <w:sz w:val="18"/>
          <w:szCs w:val="18"/>
          <w:u w:val="single" w:color="auto"/>
          <w:color w:val="0000FF"/>
          <w:strike w:val="1"/>
        </w:rPr>
        <w:t>(including, for the avoidance of doubt, the Existing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Commitments and the Increased Commitments) is $2,500,000,000</w:t>
      </w:r>
      <w:r>
        <w:rPr>
          <w:rFonts w:ascii="Times New Roman" w:cs="Times New Roman" w:eastAsia="Times New Roman" w:hAnsi="Times New Roman"/>
          <w:sz w:val="18"/>
          <w:szCs w:val="18"/>
          <w:color w:val="000000"/>
          <w:strike w:val="1"/>
        </w:rPr>
        <w: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means the applicable rate per annum set forth opposite the “Commitment Fee Rate” in the definition of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Margin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and any successor statute.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other technical, administrative or operational matters) that the Administrative Agent, acting reasonably, decides may be appropriate to reflect the adoption and implementation of any such rate or to permit the use and administration thereof by the Administrative Agent in a manner substantially consistent with market practice (or, if the Administrative Agent, acting reasonably, decides that adoption of any portion of such market practice is not administratively feasible or if the Administrative Agent, acting reasonably, determines that no market practice for the administration of any such rate exists, in such other manner of administration as the Administrative Agent, acting reasonably, decides is necessary in connection with the administration of this Agreement and the other Loan Documents).</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assets of the Parent Guarantor</w:t>
      </w:r>
      <w:r>
        <w:rPr>
          <w:rFonts w:ascii="Times New Roman" w:cs="Times New Roman" w:eastAsia="Times New Roman" w:hAnsi="Times New Roman"/>
          <w:sz w:val="18"/>
          <w:szCs w:val="18"/>
          <w:u w:val="single" w:color="auto"/>
          <w:color w:val="0000FF"/>
        </w:rPr>
        <w:t>, the Borrower</w:t>
      </w:r>
      <w:r>
        <w:rPr>
          <w:rFonts w:ascii="Times New Roman" w:cs="Times New Roman" w:eastAsia="Times New Roman" w:hAnsi="Times New Roman"/>
          <w:sz w:val="18"/>
          <w:szCs w:val="18"/>
          <w:color w:val="auto"/>
        </w:rPr>
        <w:t xml:space="preserve"> and the Consolidated Restricted Subsidiaries (less applicable depreciation and valuation reserves and other reserves and items deductible from the gross book value of specific asset accounts under GAAP) after deducting therefrom, in each case for the Parent Guarantor</w:t>
      </w:r>
      <w:r>
        <w:rPr>
          <w:rFonts w:ascii="Times New Roman" w:cs="Times New Roman" w:eastAsia="Times New Roman" w:hAnsi="Times New Roman"/>
          <w:sz w:val="18"/>
          <w:szCs w:val="18"/>
          <w:u w:val="single" w:color="auto"/>
          <w:color w:val="0000FF"/>
        </w:rPr>
        <w:t>, the Borrower</w:t>
      </w:r>
      <w:r>
        <w:rPr>
          <w:rFonts w:ascii="Times New Roman" w:cs="Times New Roman" w:eastAsia="Times New Roman" w:hAnsi="Times New Roman"/>
          <w:sz w:val="18"/>
          <w:szCs w:val="18"/>
          <w:color w:val="auto"/>
        </w:rPr>
        <w:t xml:space="preserve"> and the Restricted Subsidiaries: (a) all current liabilities (excluding (i) any current liabilities that by their terms are extendable or renewable at the option of the obligor thereon to a time more than twelve (12) months after the time as of which the amount thereof is being computed, and (ii) current maturities of Total Debt); and (b) the value of all goodwill, trade names, trademarks, patents, and other like intangible assets, all as set forth on the Parent Guarantor’s consolidated balance sheet as of a date no earlier than the date of the Parent Guarantor’s latest available annual or quarterly consolidated financial statements prepared in accordance with GAAP </w:t>
      </w:r>
      <w:r>
        <w:rPr>
          <w:rFonts w:ascii="Times New Roman" w:cs="Times New Roman" w:eastAsia="Times New Roman" w:hAnsi="Times New Roman"/>
          <w:sz w:val="18"/>
          <w:szCs w:val="18"/>
          <w:u w:val="single" w:color="auto"/>
          <w:color w:val="0000FF"/>
        </w:rPr>
        <w:t>(which calculation shall give pro forma effect to any acquisition or disposition for which the aggregate consideration was in excess of $500,000,000 consummated by the Parent Guarantor, the Borrower or a Consolidated Restricted Subsidiary since the date of such consolidated balance sheet and on or prior to the date of determination, as if such acquisition or disposition had occurred on the date of such consolidated balance sheet)</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Restricted Subsidiary</w:t>
      </w:r>
      <w:r>
        <w:rPr>
          <w:rFonts w:ascii="Times New Roman" w:cs="Times New Roman" w:eastAsia="Times New Roman" w:hAnsi="Times New Roman"/>
          <w:sz w:val="18"/>
          <w:szCs w:val="18"/>
          <w:color w:val="auto"/>
        </w:rPr>
        <w:t>” means each Consolidated Subsidiary that is a Restricted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Subsidiaries</w:t>
      </w:r>
      <w:r>
        <w:rPr>
          <w:rFonts w:ascii="Times New Roman" w:cs="Times New Roman" w:eastAsia="Times New Roman" w:hAnsi="Times New Roman"/>
          <w:sz w:val="18"/>
          <w:szCs w:val="18"/>
          <w:color w:val="auto"/>
        </w:rPr>
        <w:t>” means each Subsidiary of the Parent Guarantor (whether now existing or hereafter created or acquired) the financial statements of which shall be (or should have been) consolidated with the financial statements of the Parent Guarantor in accordance with GAAP.</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For the purposes of this definition, and without limiting the generality of the foregoing, any Person that owns directly or indirectly 10% or more of the Equity Interests having ordinary voting power for the election of the directors or other governing body of a Person (other than as a limited partner of such other Person) will be deemed to “control” such other Person.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Recourse Exceptions</w:t>
      </w:r>
      <w:r>
        <w:rPr>
          <w:rFonts w:ascii="Times New Roman" w:cs="Times New Roman" w:eastAsia="Times New Roman" w:hAnsi="Times New Roman"/>
          <w:sz w:val="18"/>
          <w:szCs w:val="18"/>
          <w:color w:val="auto"/>
        </w:rPr>
        <w:t>” means, with respect to any Debt of a first Person that is generally non-recourse to a second Person, liability of such second Person with respect to such Debt arising out of the voluntary bankruptcy of any Person, fraud, misapplication of cash, environmental claims, waste, willful destruction and other circumstances customarily excluded by lenders from exculpation provisions or included in separate indemnification agreements in non-recourse financings.</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means, for any Person, the sum of the following (without duplication): (a) all obligations of such Person for borrowed money or evidenced by bonds, </w:t>
      </w:r>
      <w:r>
        <w:rPr>
          <w:rFonts w:ascii="Times New Roman" w:cs="Times New Roman" w:eastAsia="Times New Roman" w:hAnsi="Times New Roman"/>
          <w:sz w:val="18"/>
          <w:szCs w:val="18"/>
          <w:color w:val="FF0000"/>
          <w:strike w:val="1"/>
        </w:rPr>
        <w:t>bankers’ acceptances,</w:t>
      </w:r>
      <w:r>
        <w:rPr>
          <w:rFonts w:ascii="Times New Roman" w:cs="Times New Roman" w:eastAsia="Times New Roman" w:hAnsi="Times New Roman"/>
          <w:sz w:val="18"/>
          <w:szCs w:val="18"/>
          <w:color w:val="auto"/>
        </w:rPr>
        <w:t xml:space="preserve"> debentures, notes or other similar instruments; (b) all obligations of such Person (whether contingent or otherwise) in respect of letters of credit, </w:t>
      </w:r>
      <w:r>
        <w:rPr>
          <w:rFonts w:ascii="Times New Roman" w:cs="Times New Roman" w:eastAsia="Times New Roman" w:hAnsi="Times New Roman"/>
          <w:sz w:val="18"/>
          <w:szCs w:val="18"/>
          <w:u w:val="single" w:color="auto"/>
          <w:color w:val="0000FF"/>
        </w:rPr>
        <w:t>bankers’ acceptances,</w:t>
      </w:r>
      <w:r>
        <w:rPr>
          <w:rFonts w:ascii="Times New Roman" w:cs="Times New Roman" w:eastAsia="Times New Roman" w:hAnsi="Times New Roman"/>
          <w:sz w:val="18"/>
          <w:szCs w:val="18"/>
          <w:color w:val="auto"/>
        </w:rPr>
        <w:t xml:space="preserve"> surety or other bonds and similar instruments; (c) all accounts payable and all accrued expenses, liabilities or other obligations of such Person to pay the deferred purchase price of Property or services, but excluding those from time to time incurred in the ordinary course of business that are not greater than sixty (60) days past the date such payment is due or that are being contested in good faith by appropriate action and for which adequate reserves have been maintained in accordance with GAAP; (d) all obligations under Capital Leases; (e) all obligations under Synthetic Leases; (f) all Debt (as defined in the other clauses of this definition) of others secured by (or for which the holder of such Debt has an existing right, contingent or otherwise, to be secured by) a Lien on any Property of such Person, whether or not such Debt is assumed by such Person; (g) all Debt (as defined in the other clauses of this definition) of others guaranteed by such Person or with respect to which such Person otherwise assures a creditor against loss in respect of the Debt (howsoever such assurance shall be made) to the extent of the lesser of the amount of such Debt and the maximum stated amount of such guarantee or assurance against loss; (h) all obligations or undertakings of such Person to maintain or cause to be maintained the financial position or covenants of others or to purchase the Debt or Property of others; (i) obligations to deliver commodities, goods or services, including, without limitation, Hydrocarbons, in consideration of one or more advance payments, other than gas balancing arrangements in the ordinary course of business; (j) obligations to pay for goods or services even if such goods or services are not actually received or utilized by such Person;</w:t>
      </w:r>
    </w:p>
    <w:p>
      <w:pPr>
        <w:spacing w:after="0" w:line="12" w:lineRule="exact"/>
        <w:rPr>
          <w:sz w:val="20"/>
          <w:szCs w:val="20"/>
          <w:color w:val="auto"/>
        </w:rPr>
      </w:pPr>
    </w:p>
    <w:p>
      <w:pPr>
        <w:jc w:val="both"/>
        <w:ind w:firstLine="8"/>
        <w:spacing w:after="0" w:line="251" w:lineRule="auto"/>
        <w:tabs>
          <w:tab w:leader="none" w:pos="2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of a partnership for which such Person is liable either by agreement, by operation of law or by a Governmental Requirement but only to the extent of such liability; (l) Disqualified Capital Stock; and (m) the undischarged balance of any production payment created by such Person or for the creation of which such Person directly or indirectly received payment. The Debt of any Person shall include all obligations of such Person of the character described above to the extent such Person remains legally liable in respect thereof notwithstanding that any such obligation is not included as a liability of such Person under GAAP. Notwithstanding the foregoing, “Debt” shall not include (1) any obligation arising from agreements of the Parent Guarantor, the Borrower or any Restricted Subsidiary providing for indemnification, contribution, adjustment of purchase price, earn-outs, holdbacks, deferred compensation or similar obligations, in each case, incurred or assumed in connection with the disposition or acquisition of any business, assets or Equity Interests of a Restricted Subsidiary in a transaction permitted by this Agreement, (2) any obligation of a Loan Party in connection with a DrillCo pursuant to the agreement or agreements governing such DrillCo, including obligations to repurchase or otherwise purchase or acquire DrillCo Properties, (3) any equity commitment letter or any direct or indirect guaranty of, or other support for, an obligation or commitment to make an equity Investment (including any such letter or other support that serves as collateral securing, a guaranty of, or other credit support for, Debt of the Person in which such Investment is to be made, or otherwise assures a creditor of the Person in which such Investment is to be made against loss in respect of the Debt of such Person), or (4) for the avoidance of doubt, Swap Obligations and direct or indirect guaranties thereof, and other credit support therefor.</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to (i) fund all or any portion of the Loans or participations in Letters of Credit or Swingline Loans required to be funded by it hereunder within two (2)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Bank or any other Lender any other amount required to be paid by it hereunder (including in respect of its participation in Letters of Credit) within three Business Days of the date when due, (b) has notified the Borrower, the Administrative Agent or the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upon delivery of written notice of such determination to the Borrower, the Issuing Bank and each Lender.</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Diamondback E&amp;P</w:t>
      </w:r>
      <w:r>
        <w:rPr>
          <w:rFonts w:ascii="Times New Roman" w:cs="Times New Roman" w:eastAsia="Times New Roman" w:hAnsi="Times New Roman"/>
          <w:sz w:val="18"/>
          <w:szCs w:val="18"/>
          <w:color w:val="FF0000"/>
          <w:strike w:val="1"/>
        </w:rPr>
        <w:t>” means Diamondback E&amp;P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Diamondback O&amp;G</w:t>
      </w:r>
      <w:r>
        <w:rPr>
          <w:rFonts w:ascii="Times New Roman" w:cs="Times New Roman" w:eastAsia="Times New Roman" w:hAnsi="Times New Roman"/>
          <w:sz w:val="18"/>
          <w:szCs w:val="18"/>
          <w:color w:val="FF0000"/>
          <w:strike w:val="1"/>
        </w:rPr>
        <w:t>” means Diamondback O&amp;G LLC, a Delaware limited liability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means any Equity Interest that, by its terms (or by the terms of any security into which it is convertible or for which it is exchangeable) or upon the happening of any event, matures or is mandatorily redeemable for any consideration other than other Equity Interests (which would not constitute Disqualified Capital Stock), pursuant to a sinking fund obligation or otherwise, or is convertible or exchangeable for Debt or redeemable for any consideration other than other Equity Interests (which would not constitute Disqualified Capital Stock) at the option of the holder thereof, in whole or in part, on or prior to the date that is one year after the earlier of (a) the Maturity Date and (b) the date on which there are no Loans, LC Exposure or other obligations hereunder outstanding and all of the Commitments are terminated. Notwithstanding the foregoing, any Equity Interest that would constitute Disqualified Capital Stock solely because the holders of the Equity Interest have the right to require the Borrower to repurchase or redeem such Equity Interest upon or following the occurrence of a change of control or an asset sale will not constitute Disqualified Capital Stock.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DrillCo</w:t>
      </w:r>
      <w:r>
        <w:rPr>
          <w:rFonts w:ascii="Times New Roman" w:cs="Times New Roman" w:eastAsia="Times New Roman" w:hAnsi="Times New Roman"/>
          <w:sz w:val="18"/>
          <w:szCs w:val="18"/>
          <w:color w:val="auto"/>
        </w:rPr>
        <w:t>” means an entity jointly formed, or an arrangement evidenced by a participation, development, production or similar agreement entered into, in each case, by a Loan Party and one or more other Persons (together with its or their Affiliates, each, a “</w:t>
      </w:r>
      <w:r>
        <w:rPr>
          <w:rFonts w:ascii="Times New Roman" w:cs="Times New Roman" w:eastAsia="Times New Roman" w:hAnsi="Times New Roman"/>
          <w:sz w:val="18"/>
          <w:szCs w:val="18"/>
          <w:u w:val="single" w:color="auto"/>
          <w:color w:val="auto"/>
        </w:rPr>
        <w:t>DrillCo Party</w:t>
      </w:r>
      <w:r>
        <w:rPr>
          <w:rFonts w:ascii="Times New Roman" w:cs="Times New Roman" w:eastAsia="Times New Roman" w:hAnsi="Times New Roman"/>
          <w:sz w:val="18"/>
          <w:szCs w:val="18"/>
          <w:color w:val="auto"/>
        </w:rPr>
        <w:t>”) that (a) provides for a DrillCo Party to fund the majority of the capital for the development of one or more Properties and (b) enables the Loan Parties to achieve one of more of the following objectives: minimization of capital deployment to non-core assets; acceleration of drilling schedule; retention of potentially expiring acreage; or enhancement of long-term value of assets in lieu of outright sale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DrillCo Party</w:t>
      </w:r>
      <w:r>
        <w:rPr>
          <w:rFonts w:ascii="Times New Roman" w:cs="Times New Roman" w:eastAsia="Times New Roman" w:hAnsi="Times New Roman"/>
          <w:sz w:val="18"/>
          <w:szCs w:val="18"/>
          <w:color w:val="auto"/>
        </w:rPr>
        <w:t>” has the meaning assigned to such term in the definition of DrillCo.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DrillCo Properties</w:t>
      </w:r>
      <w:r>
        <w:rPr>
          <w:rFonts w:ascii="Times New Roman" w:cs="Times New Roman" w:eastAsia="Times New Roman" w:hAnsi="Times New Roman"/>
          <w:sz w:val="18"/>
          <w:szCs w:val="18"/>
          <w:color w:val="auto"/>
        </w:rPr>
        <w:t>” means (a) in the case of a DrillCo that is an entity, all Properties contributed, sold or otherwise conveyed to such DrillCo and all Equity Interests in such DrillCo, (b) in the case of a DrillCo that is an agreement, all Properties subject to such agreement, including Properties directly or indirectly conveyed from time to time to a DrillCo Party and therefore no longer owned by a Loan Party, (c) funds and other Property received from a DrillCo Party in connection with a DrillCo, and (d) direct and indirect proceeds of any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C000"/>
        </w:rPr>
        <w:t>Effective Date</w:t>
      </w:r>
      <w:r>
        <w:rPr>
          <w:rFonts w:ascii="Times New Roman" w:cs="Times New Roman" w:eastAsia="Times New Roman" w:hAnsi="Times New Roman"/>
          <w:sz w:val="18"/>
          <w:szCs w:val="18"/>
          <w:color w:val="00C000"/>
        </w:rPr>
        <w:t>” means the date on which the conditions specified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C000"/>
        </w:rPr>
        <w:t>Section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6.01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6.02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C000"/>
          <w:strike w:val="1"/>
        </w:rPr>
        <w:t>are satisfied (or waived in accordance 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C000"/>
          <w:strike w:val="1"/>
        </w:rPr>
        <w:t>Section 12.02</w:t>
      </w:r>
      <w:r>
        <w:rPr>
          <w:rFonts w:ascii="Times New Roman" w:cs="Times New Roman" w:eastAsia="Times New Roman" w:hAnsi="Times New Roman"/>
          <w:sz w:val="18"/>
          <w:szCs w:val="18"/>
          <w:color w:val="00C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-236855</wp:posOffset>
            </wp:positionV>
            <wp:extent cx="35947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94735"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Eleventh Amendment Effective Date</w:t>
      </w:r>
      <w:r>
        <w:rPr>
          <w:rFonts w:ascii="Times New Roman" w:cs="Times New Roman" w:eastAsia="Times New Roman" w:hAnsi="Times New Roman"/>
          <w:sz w:val="18"/>
          <w:szCs w:val="18"/>
          <w:color w:val="auto"/>
        </w:rPr>
        <w:t>” means June 28,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Contract Participant</w:t>
      </w:r>
      <w:r>
        <w:rPr>
          <w:rFonts w:ascii="Times New Roman" w:cs="Times New Roman" w:eastAsia="Times New Roman" w:hAnsi="Times New Roman"/>
          <w:sz w:val="17"/>
          <w:szCs w:val="17"/>
          <w:color w:val="auto"/>
        </w:rPr>
        <w:t>” means an “eligible contract participant” as defined in the Commodity Exchange Act and the regulations thereunder.</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“Endeavor” means Endeavor Parent, LLC, a Texas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“Endeavor Acquisition” means the acquisition by the Parent Guarantor of Endeavor for the aggregate cash and equity consideration set forth in the Endeavor Merger Agreement as in effect on the Endeavor Signing Date (the “Endeavor Acquisition Consideration”).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“Endeavor Acquisition Closing” means the consummation of the Endeavor Acquisition.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“Endeavor Acquisition Consideration” has the meaning assigned to such term in the definition of “Endeavor Acquisition”.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“Endeavor Acquisition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C000"/>
        </w:rPr>
        <w:t>Effective Date” means the date on which the conditions specified in Section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6.03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C000"/>
        </w:rPr>
        <w:t>are satisfied (or waived in accordance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C000"/>
        </w:rPr>
        <w:t>with Section 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-168275</wp:posOffset>
            </wp:positionV>
            <wp:extent cx="18084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-185420</wp:posOffset>
            </wp:positionV>
            <wp:extent cx="18084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“Endeavor Acquisition Termination Date” means the earliest of (i) the date that is five Business Days after the Endeavor Outside Date and (ii) the Endeavor Merger Agreement Termination.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“Endeavor Credit Agreement Refinancing” means the repayment of all principal, interest and fees outstanding under the Credit Agreement dated as of February 16, 2022 (as last amended on October 26, 2023 and as may be further amended, supplemented or modified from time to time, the “Endeavor Credit Agreement”), by and among Endeavor Energy Resources, L.P., PNC, National Association, as administrative agent, and certain lenders party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“Endeavor Merger Agreement” means the Agreement and Plan of Merger, dated as of the Endeavor Signing Date (as amended, waived, supplemented or otherwise modified from time to time) among the Parent Guarantor, Eclipse Merger Sub I, LLC, a Delaware limited liability company and a wholly-owned subsidiary of the Parent Guarantor, Eclipse Merger Sub II, LLC, a Delaware limited liability company and a wholly-owned subsidiary of the Parent Guarantor, Endeavor Manager, LLC, a Texas limited liability company (solely for certain sections as specified in the Endeavor Merger Agreement) and Endeavor.</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“Endeavor Merger Agreement Termination” means the termination of the Endeavor Merger Agreement by the Parent Guarantor in writing in accordance with its terms; provided that the Parent Guarantor shall deliver written notice of such termination to the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“Endeavor Outside Date” has the meaning assigned to such term in the Endeavor Merger Agreement as in effect on the Endeavor Signing Date, after giving effect to each extension thereof in accordance with the Endeavor Merger Agreement as in effect on the Endeavor Signing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“Endeavor Signing Date” means February 11,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Energen</w:t>
      </w:r>
      <w:r>
        <w:rPr>
          <w:rFonts w:ascii="Times New Roman" w:cs="Times New Roman" w:eastAsia="Times New Roman" w:hAnsi="Times New Roman"/>
          <w:sz w:val="18"/>
          <w:szCs w:val="18"/>
          <w:color w:val="auto"/>
        </w:rPr>
        <w:t>” means Energen Corporation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Energen Merger</w:t>
      </w:r>
      <w:r>
        <w:rPr>
          <w:rFonts w:ascii="Times New Roman" w:cs="Times New Roman" w:eastAsia="Times New Roman" w:hAnsi="Times New Roman"/>
          <w:sz w:val="17"/>
          <w:szCs w:val="17"/>
          <w:color w:val="auto"/>
        </w:rPr>
        <w:t>” means the merger of Energen Merger Sub with and into Energen Corporation, with Energen Corporation as the surviving entity.</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Energen Merger Sub</w:t>
      </w:r>
      <w:r>
        <w:rPr>
          <w:rFonts w:ascii="Times New Roman" w:cs="Times New Roman" w:eastAsia="Times New Roman" w:hAnsi="Times New Roman"/>
          <w:sz w:val="18"/>
          <w:szCs w:val="18"/>
          <w:color w:val="auto"/>
        </w:rPr>
        <w:t>” means Sidewinder Merger Sub Inc., an Alabama corporation.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Governmental Requirements pertaining in any way to health, safety, the environment, the preservation or reclamation of natural resources, or the management, Release or threatened Release of any Hazardous Materials, in effect in any and all jurisdictions in which the Parent Guarantor, the Borrower or any Restricted Subsidiaries are conducting, or at any time have conducted business, or where any Property of the Parent Guarantor, the Borrower or any Restricted Subsidiaries is located, including the Oil Pollution Act of 1990 (“</w:t>
      </w:r>
      <w:r>
        <w:rPr>
          <w:rFonts w:ascii="Times New Roman" w:cs="Times New Roman" w:eastAsia="Times New Roman" w:hAnsi="Times New Roman"/>
          <w:sz w:val="18"/>
          <w:szCs w:val="18"/>
          <w:u w:val="single" w:color="auto"/>
          <w:color w:val="auto"/>
        </w:rPr>
        <w:t>OPA</w:t>
      </w:r>
      <w:r>
        <w:rPr>
          <w:rFonts w:ascii="Times New Roman" w:cs="Times New Roman" w:eastAsia="Times New Roman" w:hAnsi="Times New Roman"/>
          <w:sz w:val="18"/>
          <w:szCs w:val="18"/>
          <w:color w:val="auto"/>
        </w:rPr>
        <w:t>”), as amended, the Clean Air Act, as amended, the Comprehensive Environmental, Response, Compensation, and Liability Act of 1980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as amended, the Federal Water Pollution Control Act, as amended, the Occupational Safety and Health Act of 1970, as amended, the Resource Conservation and Recovery Act of 1976 (“</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as amended, the Safe Drinking Water Act, as amended, the Toxic Substances Control Act, as amended, the Superfund Amendments and Reauthorization Act of 1986, as amended, the Hazardous Materials Transportation Act, as amended, and other environmental conservation or protection Governmental Requirements.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registration, license, notice, approval, consent, exemption, variance, or other authorization required under or issued pursuant to applicable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any successor statute thereto, as well as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trade or business (whether or not incorporated) which together with the Parent Guarantor, the Borrower or a Subsidiary would be deemed to be a “single employer” within the meaning of section 4001(b)(1) of ERISA or subsections (b), (c), (m) or (o) of section 414 of the Code.</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Excepted Liens</w:t>
      </w:r>
      <w:r>
        <w:rPr>
          <w:rFonts w:ascii="Times New Roman" w:cs="Times New Roman" w:eastAsia="Times New Roman" w:hAnsi="Times New Roman"/>
          <w:sz w:val="18"/>
          <w:szCs w:val="18"/>
          <w:color w:val="auto"/>
        </w:rPr>
        <w:t xml:space="preserve">” means: (a) Liens for Taxes, assessments or other governmental charges or levies which are not delinquent or which are being contested in good faith by appropriate action and for which adequate reserves have been maintained in accordance with GAAP; (b) Liens in connection with workers’ compensation, unemployment insurance or other social security, old age pension or public liability obligations which are not delinquent or which are being contested in good faith by appropriate action and for which adequate reserves have been maintained in accordance with GAAP; (c) landlord’s liens, operators’, vendors’, carriers’, warehousemen’s, repairmen’s, mechanics’, suppliers’, workers’, materialmen’s, construction or other like Liens arising by operation of law or ordinary course of business contracts or incident to the exploration, development, operation and maintenance of Oil and Gas Properties each of which is in respect of obligations that are not delinquent or which are being contested in good faith by appropriate action and for which adequate reserves have been maintained in accordance with GAAP; (d) contractual Liens which arise in the ordinary course of business under operating agreements, joint venture agreements, oil and gas partnership agreements, oil and gas leases, farm-in and farm-out agreements, division orders, contracts for the sale, transportation or exchange of oil and natural gas, 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 and are for claims which are not delinquent or which are being contested in good faith by appropriate action and for which adequate reserves have been maintained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referred to in this clause does not materially impair the use of the Property covered by such Lien for the purposes for which such Property is held by the Parent Guarantor, the Borrower or their Restricted Subsidiaries or materially impair the value of such Property subject thereto; (e) Liens arising solely by virtue of any statutory or common law provision relating to banker’s liens, rights of set-off or similar rights and remedies and burdening only deposit accounts or other funds maintained with a creditor depository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deposit account is a dedicated cash collateral account or is subject to restrictions against access by the depositor in excess of those set forth by regulations promulgated by the Board and no such deposit account is intended by the Parent Guarantor, the Borrower or their Restricted Subsidiaries to provide collateral to the depository institution; (f) easements, restrictions, servitudes, permits, conditions, covenants, exceptions or reservations in any Property of the Parent Guarantor, the Borrower or their Restricted Subsidiaries for the purpose of roads, pipelines, transmission lines, transportation lines, distribution lines for the removal of gas, oil, coal or other minerals or timber, and other like purposes, or for the joint or common use of real estate, rights of way, facilities and equipment, that do not secure any monetary obligations and which in the aggregate do not materially impair the use of such Property for the purposes of which such Property is held by the Parent Guarantor, the Borrower or their Restricted Subsidiaries or materially impair the value of such Property subject thereto; (g) Liens on cash or securities pledged to secure performance of tenders, surety and appeal bonds, government contracts, performance and return of money bonds, bids, trade contracts, leases, statutory obligations, regulatory obligations and other obligations of a like nature incurred in the ordinary course of business and (h) judgment and attachment Liens not giving rise to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appropriate legal proceedings which may have been duly initiated for the review of such judgment shall not have been finally terminated or the period within which such proceeding may be initiated shall not have expired and </w:t>
      </w:r>
      <w:r>
        <w:rPr>
          <w:rFonts w:ascii="Times New Roman" w:cs="Times New Roman" w:eastAsia="Times New Roman" w:hAnsi="Times New Roman"/>
          <w:sz w:val="18"/>
          <w:szCs w:val="18"/>
          <w:color w:val="FF0000"/>
          <w:strike w:val="1"/>
        </w:rPr>
        <w:t>no action to enforce such Lien has been commenced;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Liens described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shall remain “Excepted Liens”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only for so long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 action to enforce such Lien has been commenced.</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Obligations</w:t>
      </w:r>
      <w:r>
        <w:rPr>
          <w:rFonts w:ascii="Times New Roman" w:cs="Times New Roman" w:eastAsia="Times New Roman" w:hAnsi="Times New Roman"/>
          <w:sz w:val="18"/>
          <w:szCs w:val="18"/>
          <w:color w:val="auto"/>
        </w:rPr>
        <w:t>” means, with respect to any Loan Party individually determined on a Loan Party by Loan Party basis, any Swap Obligation, if and to the extent that, all or a portion of the joint and several liability or the guaranty of such Loan Party for, or the grant by such Loan Party of a security interest or other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at the time such guarantee or the grant of such security interest or other Lien becomes effective with respect to, or any other time such Loan Party is by virtue of such guarantee or grant of such security interest or other Lien otherwise deemed to enter into, such Swap Obligation. If a Swap Obligation arises under a master agreement governing more than one swap, such exclusion shall apply only to the portion of such Swap Obligation that is attributable to swaps for which such guarantee, security interest or other Lien is or becomes illegal.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the Issuing Bank or any other recipient of any payment to be made by or on account of any obligation of the Borrower or any Guarantor hereunder or under any other Loan Document, (a) income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branch profits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taxes imposed on (or measured by) its net income</w:t>
      </w:r>
      <w:r>
        <w:rPr>
          <w:rFonts w:ascii="Times New Roman" w:cs="Times New Roman" w:eastAsia="Times New Roman" w:hAnsi="Times New Roman"/>
          <w:sz w:val="18"/>
          <w:szCs w:val="18"/>
          <w:u w:val="single" w:color="auto"/>
          <w:color w:val="0000FF"/>
        </w:rPr>
        <w:t>, in each case, (i)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the United States of America or such other jurisdiction under the laws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of which such recipient is organized or in which its principal office is located or, in the case of any Lender, in which its applicable lending office is located , </w:t>
      </w:r>
      <w:r>
        <w:rPr>
          <w:rFonts w:ascii="Times New Roman" w:cs="Times New Roman" w:eastAsia="Times New Roman" w:hAnsi="Times New Roman"/>
          <w:sz w:val="18"/>
          <w:szCs w:val="18"/>
          <w:color w:val="FF0000"/>
          <w:strike w:val="1"/>
        </w:rPr>
        <w:t>any branch profits taxes imposed by the United States of America or any similar tax imposed by</w:t>
      </w:r>
      <w:r>
        <w:rPr>
          <w:rFonts w:ascii="Times New Roman" w:cs="Times New Roman" w:eastAsia="Times New Roman" w:hAnsi="Times New Roman"/>
          <w:sz w:val="18"/>
          <w:szCs w:val="18"/>
          <w:u w:val="single" w:color="auto"/>
          <w:color w:val="0000FF"/>
        </w:rPr>
        <w:t>or (ii) as a result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present or former connection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with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jurisdiction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 which the Borrower or any Guarantor is located and (c)</w:t>
      </w:r>
      <w:r>
        <w:rPr>
          <w:rFonts w:ascii="Times New Roman" w:cs="Times New Roman" w:eastAsia="Times New Roman" w:hAnsi="Times New Roman"/>
          <w:sz w:val="18"/>
          <w:szCs w:val="18"/>
          <w:u w:val="single" w:color="auto"/>
          <w:color w:val="0000FF"/>
        </w:rPr>
        <w:t>(other than any such connection arising solely from this Agreement or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other Loan Document or any transactions contemplated thereunder), (b)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case of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Foreign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 any withholding tax that is imposed on amounts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payable to such </w:t>
      </w:r>
      <w:r>
        <w:rPr>
          <w:rFonts w:ascii="Times New Roman" w:cs="Times New Roman" w:eastAsia="Times New Roman" w:hAnsi="Times New Roman"/>
          <w:sz w:val="18"/>
          <w:szCs w:val="18"/>
          <w:color w:val="FF0000"/>
          <w:strike w:val="1"/>
        </w:rPr>
        <w:t>Foreign</w:t>
      </w:r>
      <w:r>
        <w:rPr>
          <w:rFonts w:ascii="Times New Roman" w:cs="Times New Roman" w:eastAsia="Times New Roman" w:hAnsi="Times New Roman"/>
          <w:sz w:val="18"/>
          <w:szCs w:val="18"/>
          <w:color w:val="000000"/>
        </w:rPr>
        <w:t xml:space="preserve"> Lender at the time such </w:t>
      </w:r>
      <w:r>
        <w:rPr>
          <w:rFonts w:ascii="Times New Roman" w:cs="Times New Roman" w:eastAsia="Times New Roman" w:hAnsi="Times New Roman"/>
          <w:sz w:val="18"/>
          <w:szCs w:val="18"/>
          <w:color w:val="FF0000"/>
          <w:strike w:val="1"/>
        </w:rPr>
        <w:t>Foreign</w:t>
      </w:r>
      <w:r>
        <w:rPr>
          <w:rFonts w:ascii="Times New Roman" w:cs="Times New Roman" w:eastAsia="Times New Roman" w:hAnsi="Times New Roman"/>
          <w:sz w:val="18"/>
          <w:szCs w:val="18"/>
          <w:color w:val="000000"/>
        </w:rPr>
        <w:t xml:space="preserve"> Lender becomes a party to this Agreement (or designates a new lending office) </w:t>
      </w:r>
      <w:r>
        <w:rPr>
          <w:rFonts w:ascii="Times New Roman" w:cs="Times New Roman" w:eastAsia="Times New Roman" w:hAnsi="Times New Roman"/>
          <w:sz w:val="18"/>
          <w:szCs w:val="18"/>
          <w:color w:val="FF0000"/>
          <w:strike w:val="1"/>
        </w:rPr>
        <w:t>or is attributable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such Foreign Lender</w:t>
      </w:r>
      <w:r>
        <w:rPr>
          <w:rFonts w:ascii="Times New Roman" w:cs="Times New Roman" w:eastAsia="Times New Roman" w:hAnsi="Times New Roman"/>
          <w:sz w:val="18"/>
          <w:szCs w:val="18"/>
          <w:color w:val="00C000"/>
          <w:strike w:val="1"/>
        </w:rPr>
        <w:t>’s failure to comply 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C000"/>
          <w:strike w:val="1"/>
        </w:rPr>
        <w:t>Section 5.03(g)</w:t>
      </w:r>
      <w:r>
        <w:rPr>
          <w:rFonts w:ascii="Times New Roman" w:cs="Times New Roman" w:eastAsia="Times New Roman" w:hAnsi="Times New Roman"/>
          <w:sz w:val="18"/>
          <w:szCs w:val="18"/>
          <w:color w:val="000000"/>
        </w:rPr>
        <w:t>, except to the extent that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Foreign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Lender (or its assignor, if any) was entitled, at the time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designation of a new lending office (or assignment), to receive additional amounts with respect to such withholding tax pursuant to </w:t>
      </w:r>
      <w:r>
        <w:rPr>
          <w:rFonts w:ascii="Times New Roman" w:cs="Times New Roman" w:eastAsia="Times New Roman" w:hAnsi="Times New Roman"/>
          <w:sz w:val="18"/>
          <w:szCs w:val="18"/>
          <w:u w:val="single" w:color="auto"/>
          <w:color w:val="000000"/>
        </w:rPr>
        <w:t>Section 5.03(b)</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5.03(d)</w:t>
      </w:r>
      <w:r>
        <w:rPr>
          <w:rFonts w:ascii="Times New Roman" w:cs="Times New Roman" w:eastAsia="Times New Roman" w:hAnsi="Times New Roman"/>
          <w:sz w:val="18"/>
          <w:szCs w:val="18"/>
          <w:u w:val="single" w:color="auto"/>
          <w:color w:val="0000FF"/>
        </w:rPr>
        <w:t>, (c) any Taxes attributable to the Administrative Agent, any Lender or any other recipient</w:t>
      </w:r>
      <w:r>
        <w:rPr>
          <w:rFonts w:ascii="Times New Roman" w:cs="Times New Roman" w:eastAsia="Times New Roman" w:hAnsi="Times New Roman"/>
          <w:sz w:val="18"/>
          <w:szCs w:val="18"/>
          <w:u w:val="single" w:color="auto"/>
          <w:color w:val="00C000"/>
        </w:rPr>
        <w:t>’s failure to comply with Section 5.03(g)</w:t>
      </w:r>
      <w:r>
        <w:rPr>
          <w:rFonts w:ascii="Times New Roman" w:cs="Times New Roman" w:eastAsia="Times New Roman" w:hAnsi="Times New Roman"/>
          <w:sz w:val="18"/>
          <w:szCs w:val="18"/>
          <w:u w:val="single" w:color="auto"/>
          <w:color w:val="000000"/>
        </w:rPr>
        <w:t xml:space="preserve"> </w:t>
      </w:r>
      <w:r>
        <w:rPr>
          <w:rFonts w:ascii="Times New Roman" w:cs="Times New Roman" w:eastAsia="Times New Roman" w:hAnsi="Times New Roman"/>
          <w:sz w:val="18"/>
          <w:szCs w:val="18"/>
          <w:u w:val="single" w:color="auto"/>
          <w:color w:val="0000FF"/>
        </w:rPr>
        <w:t>and (d)</w:t>
      </w:r>
      <w:r>
        <w:rPr>
          <w:rFonts w:ascii="Times New Roman" w:cs="Times New Roman" w:eastAsia="Times New Roman" w:hAnsi="Times New Roman"/>
          <w:sz w:val="18"/>
          <w:szCs w:val="18"/>
          <w:u w:val="single" w:color="auto"/>
          <w:color w:val="000000"/>
        </w:rPr>
        <w:t xml:space="preserve"> </w:t>
      </w:r>
      <w:r>
        <w:rPr>
          <w:rFonts w:ascii="Times New Roman" w:cs="Times New Roman" w:eastAsia="Times New Roman" w:hAnsi="Times New Roman"/>
          <w:sz w:val="18"/>
          <w:szCs w:val="18"/>
          <w:u w:val="single" w:color="auto"/>
          <w:color w:val="0000FF"/>
        </w:rPr>
        <w:t>any withholding Taxes imposed under FATCA.</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“Existing Commitment” means, with respect to each Existing Lender, the commitment of such Lender to make Revolving Loans and to acquire participations in Letters of Credit and Swingline Loans hereunder prior to the Endeavor Acquisition Effective Date, expressed as an amount representing the maximum aggregate amount of such Lender’s Revolving Credit Exposure hereunder prior to the Endeavor Acquisition Effective Date, as such commitment may be (a) increased from time to time pursuant to Section 2.06(c), (b) reduced from time to time pursuant to Section 2.06(b), and (c) modified from time to time pursuant to assignments by or to such Lender pursuant to Section 12.04(b), and “Existing Commitments” means the aggregate amount of the Existing Commitments of all Lenders. As of the Fourteenth Amendment Effective Date, (i) the amount of each Lender’s Existing Commitment is set forth on Annex I under the Caption “Existing Commitment” and (ii) the aggregate amount of the Lenders’ Existing Commitments is $1,600,000,000.</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“Existing Lender” means any Lender having an Existing Commitment.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“Existing Letters of Credit” means each letter of credit issued under the Endeavor Credit Agreement and identified in writing to the Administrative Agent at or prior to the Endeavor Acquisition Closing</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revolving credit facility provided for in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means Sections 1471 through 1474 of the Code (as of the date hereof) and any regulations or official interpretations thereof (including any Revenue Ruling, Revenue Procedure, Notice or similar guidance issued by the U.S. Internal Revenue Service thereunder as a precondition to relief or exemption from Taxes under such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FATCA shall also include any amendments to Sections 1471 through 1474 of the Code if, as amended, FATCA provides a commercially reasonable mechanism to avoid the tax imposed thereunder by satisfying the information reporting and other requirements of FATCA.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 or any successor thereto.</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Federal Funds Effective Rate for such day shall be the average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between the Administrative Agent and the Borrower dated April 29, 2021.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for any Person, the chief financial officer, principal accounting officer, treasurer or controller of such Person. Unless otherwise specified, all references herein to a Financial Officer means a Financial Officer of the Parent Guarantor.</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means the financial statement or statements of the Borrower and its Consolidated Subsidiaries referred to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7.04(a)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Ltd. and any successor thereto that is a nationally recognized rating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color w:val="FF0000"/>
          <w:strike w:val="1"/>
        </w:rPr>
        <w:t>, as of the Thirteenth Amendment Effective Date,</w:t>
      </w:r>
      <w:r>
        <w:rPr>
          <w:rFonts w:ascii="Times New Roman" w:cs="Times New Roman" w:eastAsia="Times New Roman" w:hAnsi="Times New Roman"/>
          <w:sz w:val="18"/>
          <w:szCs w:val="18"/>
          <w:color w:val="auto"/>
        </w:rPr>
        <w:t xml:space="preserve"> a rate of interest equal to 0.00%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means any Lender that is not (i) an individual who is a citizen or resident of the United States of America; (ii) a partnership or a corporation (or other entity taxed as a corporation for U.S. federal income tax purposes) created or organized in or under the laws of the United States of America </w:t>
      </w:r>
      <w:r>
        <w:rPr>
          <w:rFonts w:ascii="Times New Roman" w:cs="Times New Roman" w:eastAsia="Times New Roman" w:hAnsi="Times New Roman"/>
          <w:sz w:val="18"/>
          <w:szCs w:val="18"/>
          <w:u w:val="single" w:color="auto"/>
          <w:color w:val="0000FF"/>
        </w:rPr>
        <w:t>or any state thereof, or the District of Columbia</w:t>
      </w:r>
      <w:r>
        <w:rPr>
          <w:rFonts w:ascii="Times New Roman" w:cs="Times New Roman" w:eastAsia="Times New Roman" w:hAnsi="Times New Roman"/>
          <w:sz w:val="18"/>
          <w:szCs w:val="18"/>
          <w:color w:val="auto"/>
        </w:rPr>
        <w:t xml:space="preserve">; (iii) an estate whose income is includible in gross income for U.S. federal income tax purposes regardless of its source; or (iv) a trust if (1) a court within the United States of America is able to exercise primary supervision over the administration of the trust and one or more “United States </w:t>
      </w:r>
      <w:r>
        <w:rPr>
          <w:rFonts w:ascii="Times New Roman" w:cs="Times New Roman" w:eastAsia="Times New Roman" w:hAnsi="Times New Roman"/>
          <w:sz w:val="18"/>
          <w:szCs w:val="18"/>
          <w:color w:val="FF0000"/>
          <w:strike w:val="1"/>
        </w:rPr>
        <w:t>person</w:t>
      </w:r>
      <w:r>
        <w:rPr>
          <w:rFonts w:ascii="Times New Roman" w:cs="Times New Roman" w:eastAsia="Times New Roman" w:hAnsi="Times New Roman"/>
          <w:sz w:val="18"/>
          <w:szCs w:val="18"/>
          <w:u w:val="single" w:color="auto"/>
          <w:color w:val="0000FF"/>
        </w:rPr>
        <w:t>persons</w:t>
      </w:r>
      <w:r>
        <w:rPr>
          <w:rFonts w:ascii="Times New Roman" w:cs="Times New Roman" w:eastAsia="Times New Roman" w:hAnsi="Times New Roman"/>
          <w:sz w:val="18"/>
          <w:szCs w:val="18"/>
          <w:color w:val="auto"/>
        </w:rPr>
        <w:t>” (within the meaning of the Code) have the authority to control all substantial decisions of the trust, or (2) it has a valid election in effect under applicable Treasury regulations to be treated as a United States person.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“Fourteenth Amendment” means that certain Fourteenth Amendment to Second Amended and Restated Credit Agreement, by and among the Borrower, the Parent Guarantor, the Administrative Agent, the Swingline Lender, the Issuing Bank and the Lenders party thereto, dated as of March 6,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“Fourteenth Amendment Effective Date” means March 6,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“Fourteenth Amendment Fee Letter” means that certain fee letter by and between the Borrower and the Administrative Agent dated March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2024.</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Issuing Bank, such Defaulting Lender’s Applicable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repaid by the Borrower, or for which cash collateral or other credit support acceptable to such Swingline Lender shall have been provided in accordance with the terms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subject to the terms and conditions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over the Parent Guarantor, the Borrower, any Subsidiary, any of their Properties, the Administrative Agent, the Issuing Bank or any Lender.</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Requirement</w:t>
      </w:r>
      <w:r>
        <w:rPr>
          <w:rFonts w:ascii="Times New Roman" w:cs="Times New Roman" w:eastAsia="Times New Roman" w:hAnsi="Times New Roman"/>
          <w:sz w:val="18"/>
          <w:szCs w:val="18"/>
          <w:color w:val="auto"/>
        </w:rPr>
        <w:t>” means any law, statute, code, ordinance, order, determination, rule, regulation, judgment, decree, injunction, franchise, permit, certificate, license, rules of common law, authorization or other directive or requirement, whether now or hereinafter in effect, including, without limitation, Environmental Laws, energy regulations and occupational, safety and health standards or controls, of any Governmental Authority.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the Parent Guarantor and each such other Person, if any, that guarantees the Indebtedness pursuant to the Guaranty Agreement. As of the </w:t>
      </w:r>
      <w:r>
        <w:rPr>
          <w:rFonts w:ascii="Times New Roman" w:cs="Times New Roman" w:eastAsia="Times New Roman" w:hAnsi="Times New Roman"/>
          <w:sz w:val="18"/>
          <w:szCs w:val="18"/>
          <w:color w:val="FF0000"/>
          <w:strike w:val="1"/>
        </w:rPr>
        <w:t>Twelfth</w:t>
      </w:r>
      <w:r>
        <w:rPr>
          <w:rFonts w:ascii="Times New Roman" w:cs="Times New Roman" w:eastAsia="Times New Roman" w:hAnsi="Times New Roman"/>
          <w:sz w:val="18"/>
          <w:szCs w:val="18"/>
          <w:u w:val="single" w:color="auto"/>
          <w:color w:val="0000FF"/>
        </w:rPr>
        <w:t>Fourteenth</w:t>
      </w:r>
      <w:r>
        <w:rPr>
          <w:rFonts w:ascii="Times New Roman" w:cs="Times New Roman" w:eastAsia="Times New Roman" w:hAnsi="Times New Roman"/>
          <w:sz w:val="18"/>
          <w:szCs w:val="18"/>
          <w:color w:val="auto"/>
        </w:rPr>
        <w:t xml:space="preserve"> Amendment Effective Date, the Parent Guarantor is the only Guarantor. The Borrower may, at its sole election at any time and from time to time, (i) cause any Restricted Subsidiary to become a Guarantor by executing and delivering to the Administrative Agent an executed joinder to the Guaranty Agreement, together with customary resolutions, opinions of counsel and such other customary documentation as the Administrative Agent may reasonably request and (ii) in the event that there are any additional Guarantors hereunder (other than the Parent Guarantor) (A) if (1) no Default or Event of Default exists immediately prior to, and after giving pro forma effect to, such action, (2) as of such date, the Parent Guarantor has two or more of the following credit ratings: (x) an Index Debt rating from Moody’s of Baa3 or better, (y) an Index Debt rating from S&amp;P of BBB- or better, or (z) an Index Debt rating from Fitch of BBB- or better, and (3) the applicable Guarantor that is a Material Subsidiary does not guarantee any Senior Unsecured Notes issued prior to the Investment Grade Changeover Date that constitute Material Indebtedness (after giving pro forma effect to any guarantor releases and unrestricted subsidiary designations under the Senior Unsecured Notes occurring substantially contemporaneously with the cessation of such Material Subsidiary being a Guarantor hereunder), the Borrower may cause such Guarantor that is a Material Subsidiary to cease being a Guarantor by delivering written notice of such cessation to the Administrative Agent, and (B) if no Default or Event of Default exists immediately prior to, and after giving pro forma effect to, such action, the Borrower may cause any Guarantor that is an Immaterial Subsidiary to cease being a Guarantor by delivering written notice of such cessation to the Administrative Agent.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means that certain Second Amended and Restated Guaranty Agreement, dated as of November 20, 2019, made by each of the Guarantors party thereto in favor of the Administrative Agent, as the same may be amended, modified or supplemented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substance regulated or as to which liability might arise under any applicable Environmental Law including: (a) any chemical, compound, material, product, byproduct, substance or waste defined as or included in the definition or meaning of “hazardous substance,” “hazardous material,” “hazardous waste,” “solid waste,” “toxic waste,” “extremely hazardous substance,” “toxic substance,” “contaminant,” “pollutant,” or words of similar meaning or import found in any applicable Environmental Law; (b) Hydrocarbons, petroleum products, petroleum substances, natural gas, oil, oil and gas waste, crude oil, and any components, fractions, or derivatives thereof; and (c) radioactive materials, explosives, asbestos or asbestos containing materials, polychlorinated biphenyls, radon, infectious or medical waste.</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means, with respect to each Lender, the maximum nonusurious interest rate, if any, that at any time or from time to time may be contracted for, taken, reserved, charged or received on the Notes or on other Indebtedness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 Interests</w:t>
      </w:r>
      <w:r>
        <w:rPr>
          <w:rFonts w:ascii="Times New Roman" w:cs="Times New Roman" w:eastAsia="Times New Roman" w:hAnsi="Times New Roman"/>
          <w:sz w:val="18"/>
          <w:szCs w:val="18"/>
          <w:color w:val="auto"/>
        </w:rPr>
        <w:t>”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Hydrocarbons</w:t>
      </w:r>
      <w:r>
        <w:rPr>
          <w:rFonts w:ascii="Times New Roman" w:cs="Times New Roman" w:eastAsia="Times New Roman" w:hAnsi="Times New Roman"/>
          <w:sz w:val="18"/>
          <w:szCs w:val="18"/>
          <w:color w:val="auto"/>
        </w:rPr>
        <w:t>” means oil, gas, casinghead gas, drip gasoline, natural gasoline, condensate, distillate, liquid hydrocarbons, gaseous hydrocarbons and all products refined or separated therefrom.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Restricted Subsidiary that is not a Material Subsidiary.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“Increased Commitment” means, with respect to each Increased Lender, the commitment of such Lender to make Revolving Loans and to acquire participations in Letters of Credit and Swingline Loans hereunder from and after the Endeavor Acquisition Effective Date, expressed as an amount representing the maximum aggregate amount of such Lender’s Revolving Credit Exposure hereunder from and after the Endeavor Acquisition Effective Date, as such commitment may be (a) increased from time to time pursuant to Section 2.06(c), (b) reduced from time to time pursuant to Section 2.06(a) or 2.06(b), and (c) modified from time to time pursuant to assignments by or to such Lender pursuant to Section 12.04(b), and “Increased Commitments” means the aggregate amount of the Increased Commitments of all Lenders. As of the Fourteenth Amendment Effective Date, (i) the amount of each Lender’s Increased Commitment is set forth on Annex I under the caption “Increased Commitment” and (ii) the aggregate amount of the Lenders’ Increased Commitments is $900,000,000.</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“Increased Lender” means any Lender having an Increased Commitment.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any and all amounts owing or to be owing by the Parent Guarantor, the Borrower or any other Guarantor (whether direct or indirect (including those acquired by assumption), absolute or contingent, due or to become due, now existing or hereafter arising): (a) to the Administrative Agent, the Issuing Bank or any Lender under any Loan Document; (b) to any Lender Swap Party under any Lender Swap Obligations (provided that notwithstanding anything to the contrary herein or in any other Loan Document, “Indebtedness” shall not include with respect to any Person any Excluded Swap Obligations of such Person); (c) to any Cash Management Provider in respect of any Cash Management Agreement, and (d) all renewals, extensions and/or rearrangements of any of the above.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Taxes other than Excluded Taxes </w:t>
      </w:r>
      <w:r>
        <w:rPr>
          <w:rFonts w:ascii="Times New Roman" w:cs="Times New Roman" w:eastAsia="Times New Roman" w:hAnsi="Times New Roman"/>
          <w:sz w:val="18"/>
          <w:szCs w:val="18"/>
          <w:u w:val="single" w:color="auto"/>
          <w:color w:val="0000FF"/>
        </w:rPr>
        <w:t>imposed on or with respect to any payment made by or on account of any obligation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the Borrower under any Loan Document</w:t>
      </w:r>
      <w:r>
        <w:rPr>
          <w:rFonts w:ascii="Times New Roman" w:cs="Times New Roman" w:eastAsia="Times New Roman" w:hAnsi="Times New Roman"/>
          <w:sz w:val="18"/>
          <w:szCs w:val="18"/>
          <w:color w:val="000000"/>
        </w:rPr>
        <w:t>.</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assigned to such term</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Parent Guarantor that is not guaranteed by any other Person (other than a Restricted Subsidiary) or subject to any other credit enhancement.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assigned to such term</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(b) with respect to any SOFR Loan,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SOFR Loan, the period commencing on the date such SOFR Loan is disbursed or converted to or continued as a SOFR Loan and ending on the date one (1), three (3) or six (6) months thereafter, in each case as selected by the Borrower in its Borrowing Request or Interest Election Request and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firstLine="656"/>
        <w:spacing w:after="0" w:line="282" w:lineRule="auto"/>
        <w:tabs>
          <w:tab w:leader="none" w:pos="129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more than five (5) Interest Periods in effect at any time;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6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3.03(c)(iv)</w:t>
      </w:r>
      <w:r>
        <w:rPr>
          <w:rFonts w:ascii="Times New Roman" w:cs="Times New Roman" w:eastAsia="Times New Roman" w:hAnsi="Times New Roman"/>
          <w:sz w:val="18"/>
          <w:szCs w:val="18"/>
          <w:color w:val="auto"/>
        </w:rPr>
        <w:t xml:space="preserve"> shall be available for specification in any Borrowing Request or Interest Election Request.</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for any Person: (a) the acquisition (whether for cash, Property, services or securities or otherwise) of Equity Interests of any other Person or any agreement to make any such acquisition (including, without limitation, any “short sale” or any sale of any securities at a time when such securities are not owned by the Person entering into such short sale); (b) the making of any deposit with, or advance, loan or capital contribution to, assumption of Debt of, purchase or other acquisition of any other Debt or equity participation or interest in,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ninety (90) days representing the purchase price of inventory or supplies sold by such Person in the ordinary course of business); or (c) the entering into of any guarantee of, or other contingent obligation (including the deposit of any Equity Interests to be sold) with respect to, Debt or other liability of any other Person and (without duplication) any amount committed to be advanced, lent or extended to such Person.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Changeover Date</w:t>
      </w:r>
      <w:r>
        <w:rPr>
          <w:rFonts w:ascii="Times New Roman" w:cs="Times New Roman" w:eastAsia="Times New Roman" w:hAnsi="Times New Roman"/>
          <w:sz w:val="18"/>
          <w:szCs w:val="18"/>
          <w:color w:val="auto"/>
        </w:rPr>
        <w:t>” means November 20, 2019.</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Wells Fargo, in its capacity as the </w:t>
      </w:r>
      <w:r>
        <w:rPr>
          <w:rFonts w:ascii="Times New Roman" w:cs="Times New Roman" w:eastAsia="Times New Roman" w:hAnsi="Times New Roman"/>
          <w:sz w:val="18"/>
          <w:szCs w:val="18"/>
          <w:u w:val="single" w:color="auto"/>
          <w:color w:val="0000FF"/>
        </w:rPr>
        <w:t>initial</w:t>
      </w:r>
      <w:r>
        <w:rPr>
          <w:rFonts w:ascii="Times New Roman" w:cs="Times New Roman" w:eastAsia="Times New Roman" w:hAnsi="Times New Roman"/>
          <w:sz w:val="18"/>
          <w:szCs w:val="18"/>
          <w:color w:val="auto"/>
        </w:rPr>
        <w:t xml:space="preserve"> issuer of Letters of Credit hereunder, </w:t>
      </w:r>
      <w:r>
        <w:rPr>
          <w:rFonts w:ascii="Times New Roman" w:cs="Times New Roman" w:eastAsia="Times New Roman" w:hAnsi="Times New Roman"/>
          <w:sz w:val="18"/>
          <w:szCs w:val="18"/>
          <w:u w:val="single" w:color="auto"/>
          <w:color w:val="0000FF"/>
        </w:rPr>
        <w:t>(b) PNC Bank, National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(solely with respect to the Existing Letters of Credit), and (c) each Lender that is designated by the Borrower with the approval of the Administrative Agent and hereafter becomes an Issuing Bank by agreeing, pursuant to an agreement with the Borrower and the Administrative Agent, to be bound by the terms hereof applicable to Issuing Banks, which agreement shall be in form and substance satisfactory to the Administrative Agent,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its</w:t>
      </w:r>
      <w:r>
        <w:rPr>
          <w:rFonts w:ascii="Times New Roman" w:cs="Times New Roman" w:eastAsia="Times New Roman" w:hAnsi="Times New Roman"/>
          <w:sz w:val="18"/>
          <w:szCs w:val="18"/>
          <w:u w:val="single" w:color="auto"/>
          <w:color w:val="0000FF"/>
        </w:rPr>
        <w:t>their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successors in such capacity as provided in </w:t>
      </w:r>
      <w:r>
        <w:rPr>
          <w:rFonts w:ascii="Times New Roman" w:cs="Times New Roman" w:eastAsia="Times New Roman" w:hAnsi="Times New Roman"/>
          <w:sz w:val="18"/>
          <w:szCs w:val="18"/>
          <w:u w:val="single" w:color="auto"/>
          <w:color w:val="000000"/>
        </w:rPr>
        <w:t>Section 2.08(i)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000000"/>
        </w:rPr>
        <w:t xml:space="preserve"> Issuing Bank may, in its discretion, arrange for one or more Letters of Credit to be issued by Affiliates of the Issuing Bank, in which case the term “</w:t>
      </w:r>
      <w:r>
        <w:rPr>
          <w:rFonts w:ascii="Times New Roman" w:cs="Times New Roman" w:eastAsia="Times New Roman" w:hAnsi="Times New Roman"/>
          <w:sz w:val="18"/>
          <w:szCs w:val="18"/>
          <w:u w:val="single" w:color="auto"/>
          <w:color w:val="000000"/>
        </w:rPr>
        <w:t>Issuing Bank</w:t>
      </w:r>
      <w:r>
        <w:rPr>
          <w:rFonts w:ascii="Times New Roman" w:cs="Times New Roman" w:eastAsia="Times New Roman" w:hAnsi="Times New Roman"/>
          <w:sz w:val="18"/>
          <w:szCs w:val="18"/>
          <w:color w:val="000000"/>
        </w:rPr>
        <w:t xml:space="preserve">” shall include any such Affiliate with respect to Letters of Credit issued by such Affiliate. </w:t>
      </w:r>
      <w:r>
        <w:rPr>
          <w:rFonts w:ascii="Times New Roman" w:cs="Times New Roman" w:eastAsia="Times New Roman" w:hAnsi="Times New Roman"/>
          <w:sz w:val="18"/>
          <w:szCs w:val="18"/>
          <w:u w:val="single" w:color="auto"/>
          <w:color w:val="0000FF"/>
        </w:rPr>
        <w:t>Each reference herein to the “Issuing Bank” in connection with a Letter of Credit or other matter shall be deemed to be a reference to the relevant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Issuing Bank with respect thereto.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LC Commitment</w:t>
      </w:r>
      <w:r>
        <w:rPr>
          <w:rFonts w:ascii="Times New Roman" w:cs="Times New Roman" w:eastAsia="Times New Roman" w:hAnsi="Times New Roman"/>
          <w:sz w:val="18"/>
          <w:szCs w:val="18"/>
          <w:color w:val="FF0000"/>
          <w:strike w:val="1"/>
        </w:rPr>
        <w:t>” means, at any time, $180,000,000 for Letters of Credit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“LC Commitment” means, with respect to any Issuing Bank, the commitment of such Issuing Bank to issue Letters of Credit hereunder. The initial amount of each Issuing Bank’s Letter of Credit Commitment is set forth on Annex I hereto, or if an Issuing Bank has entered into an Assignment and Assumption or has become an Issuing Bank pursuant to the terms hereof, the amount set forth for such Issuing Bank as its Letter of Credit Commitment in the Register maintained by the Administrative Agent or as otherwise set forth pursuant to the terms of this Agreement. The Letter of Credit Commitment of an Issuing Bank may be modified from time to time by agreement between such Issuing Bank and the Borrower, and notified to the Administrative Agent</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the Issuing Bank pursuant to a Letter of Credit.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total LC Exposure at such time.</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8"/>
          <w:szCs w:val="18"/>
          <w:u w:val="single" w:color="auto"/>
          <w:color w:val="0000FF"/>
        </w:rPr>
        <w:t>“LC Sublimit” means $180,000,000.</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Agreement</w:t>
      </w:r>
      <w:r>
        <w:rPr>
          <w:rFonts w:ascii="Times New Roman" w:cs="Times New Roman" w:eastAsia="Times New Roman" w:hAnsi="Times New Roman"/>
          <w:sz w:val="18"/>
          <w:szCs w:val="18"/>
          <w:color w:val="auto"/>
        </w:rPr>
        <w:t>” means any Swap Agreement between the Parent Guarantor, the Borrower or any Restricted Subsidiary and any Person that is entered into prior to the time, or during the time, that such Person was a Lender or an Affiliate of a Lender (including any such Swap Agreement in existence prior to the date hereof), even if such Person ceases to be a Lender or an Affiliate of a Lender for any reason (any such Person, a “</w:t>
      </w:r>
      <w:r>
        <w:rPr>
          <w:rFonts w:ascii="Times New Roman" w:cs="Times New Roman" w:eastAsia="Times New Roman" w:hAnsi="Times New Roman"/>
          <w:sz w:val="18"/>
          <w:szCs w:val="18"/>
          <w:u w:val="single" w:color="auto"/>
          <w:color w:val="auto"/>
        </w:rPr>
        <w:t>Lender Swap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For the avoidance of doubt, for purposes of this definition and the definitions of “Lender Swap Party” and “Lender Swap Obligations,” the term “Lender” includes each Person that was a “Lender” under the Existing Credit Agreement at the relevant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Obligations</w:t>
      </w:r>
      <w:r>
        <w:rPr>
          <w:rFonts w:ascii="Times New Roman" w:cs="Times New Roman" w:eastAsia="Times New Roman" w:hAnsi="Times New Roman"/>
          <w:sz w:val="18"/>
          <w:szCs w:val="18"/>
          <w:color w:val="auto"/>
        </w:rPr>
        <w:t xml:space="preserve">” means all amounts and other obligations owing to any Lender Swap Party under any Lender Swap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if a Lender Swap Party ceases to be a Lender (or an Affiliate of a Lender), then the Lender Swap Obligations owing to such Lender Swap Party under any such Lender Swap Agreement shall not include any obligations arising from transactions entered into after the time that such Lender Swap Party ceases to be a Lender or an Affiliate of a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Party</w:t>
      </w:r>
      <w:r>
        <w:rPr>
          <w:rFonts w:ascii="Times New Roman" w:cs="Times New Roman" w:eastAsia="Times New Roman" w:hAnsi="Times New Roman"/>
          <w:sz w:val="18"/>
          <w:szCs w:val="18"/>
          <w:color w:val="auto"/>
        </w:rPr>
        <w:t>” has the meaning assigned to such term in the definition of Lender Swap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(which, for the avoidance of doubt, shall include the Existing Lenders and the Increased Lenders)</w:t>
      </w:r>
      <w:r>
        <w:rPr>
          <w:rFonts w:ascii="Times New Roman" w:cs="Times New Roman" w:eastAsia="Times New Roman" w:hAnsi="Times New Roman"/>
          <w:sz w:val="18"/>
          <w:szCs w:val="18"/>
          <w:color w:val="auto"/>
        </w:rPr>
        <w:t xml:space="preserve"> and any Person that shall have become a party hereto pursuant to an Assignment and Assumption, other than any such Person that ceases to be a party hereto pursuant to an Assignment and Assumption. Unless the context otherwise requires, the term “Lenders” includes the Swingline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with respect to any Lender, the office of such Lender maintaining such Lender’s extensions of credit made hereunder, which office may, to the extent the applicable Lender notifies the Administrative Agent in writing, include an office of any Affiliate of such Lender or any domestic or foreign branch of such Lender or Affiliate.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Agreements</w:t>
      </w:r>
      <w:r>
        <w:rPr>
          <w:rFonts w:ascii="Times New Roman" w:cs="Times New Roman" w:eastAsia="Times New Roman" w:hAnsi="Times New Roman"/>
          <w:sz w:val="18"/>
          <w:szCs w:val="18"/>
          <w:color w:val="auto"/>
        </w:rPr>
        <w:t>” means all letter of credit applications and other agreements (including any amendments, modifications or supplements thereto) submitted by the Borrower, or entered into by the Borrower, with the Issuing Bank relating to any Letter of Credit.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interest in Property securing an obligation owed to, or a claim by, a Person other than the owner of the Property, whether such interest is based on the common law, statute or contract, and whether such obligation or claim is fixed or contingent, and including but not limited to (a) the lien or security interest arising from a mortgage, encumbrance, pledge, security agreement, conditional sale or trust receipt or a lease, consignment or bailment for security purposes or (b) production payments and the like payable out of Oil and Gas Properties. The term “Lien” shall include easements, restrictions, servitudes, permits, conditions, covenants, exceptions or reservations. For the purposes of this Agreement, the Parent Guarantor, the Borrower or any Restricted Subsidiary shall be deemed to be the owner of any Property which it has acquired or holds subject to a conditional sale agreement, or leases under a financing lease or other arrangement pursuant to which title to the Property has been retained by or vested in some other Person in a transaction intended to create a financing.</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Notes, the Letter of Credit Agreements, the Letters of Credit, and the Guaranty Agreement and any other document or agreement executed by the Borrower or any other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u w:val="single" w:color="auto"/>
          <w:color w:val="0000FF"/>
        </w:rPr>
        <w:t>Loan</w:t>
      </w:r>
      <w:r>
        <w:rPr>
          <w:rFonts w:ascii="Times New Roman" w:cs="Times New Roman" w:eastAsia="Times New Roman" w:hAnsi="Times New Roman"/>
          <w:sz w:val="18"/>
          <w:szCs w:val="18"/>
          <w:color w:val="auto"/>
        </w:rPr>
        <w:t xml:space="preserve"> Party in connection with this Agreement and expressly designated by the Borrower and the Administrative Agent to be a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 in the form of a Revolving Loan or a Swingline Loan.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at any time while no Revolving Credit Exposure is outstanding, two or more Lenders having more than fifty percent (50%) of the total Commitments; and at any time while any Revolving Credit Exposure is outstanding, two or more Lenders holding more than fifty percent (50%) of the total Revolving Credit Exposure and unused Commitments at such time (without regard to any sale by a Lender of a participation in any Loan under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and the Revolving Credit Exposures of the Defaulting Lenders (if any) shall be excluded from the determination of Majority Lenders.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 material adverse change in, or material adverse effect on (a) the business, operations, Property or </w:t>
      </w:r>
      <w:r>
        <w:rPr>
          <w:rFonts w:ascii="Times New Roman" w:cs="Times New Roman" w:eastAsia="Times New Roman" w:hAnsi="Times New Roman"/>
          <w:sz w:val="18"/>
          <w:szCs w:val="18"/>
          <w:color w:val="FF0000"/>
          <w:strike w:val="1"/>
        </w:rPr>
        <w:t>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financial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otherwise)</w:t>
      </w:r>
      <w:r>
        <w:rPr>
          <w:rFonts w:ascii="Times New Roman" w:cs="Times New Roman" w:eastAsia="Times New Roman" w:hAnsi="Times New Roman"/>
          <w:sz w:val="18"/>
          <w:szCs w:val="18"/>
          <w:u w:val="single" w:color="auto"/>
          <w:color w:val="0000FF"/>
        </w:rPr>
        <w:t>condition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Parent Guarantor, the Borrower and their Restricted Subsidiaries taken as a whole, (b) the ability of the Parent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Guarantor, the Borrower</w:t>
      </w:r>
      <w:r>
        <w:rPr>
          <w:rFonts w:ascii="Times New Roman" w:cs="Times New Roman" w:eastAsia="Times New Roman" w:hAnsi="Times New Roman"/>
          <w:sz w:val="18"/>
          <w:szCs w:val="18"/>
          <w:color w:val="FF0000"/>
          <w:strike w:val="1"/>
        </w:rPr>
        <w:t>, any Restricted Subsidiaries</w:t>
      </w:r>
      <w:r>
        <w:rPr>
          <w:rFonts w:ascii="Times New Roman" w:cs="Times New Roman" w:eastAsia="Times New Roman" w:hAnsi="Times New Roman"/>
          <w:sz w:val="18"/>
          <w:szCs w:val="18"/>
          <w:color w:val="000000"/>
        </w:rPr>
        <w:t xml:space="preserve"> or any other Guarantor to perform </w:t>
      </w:r>
      <w:r>
        <w:rPr>
          <w:rFonts w:ascii="Times New Roman" w:cs="Times New Roman" w:eastAsia="Times New Roman" w:hAnsi="Times New Roman"/>
          <w:sz w:val="18"/>
          <w:szCs w:val="18"/>
          <w:color w:val="FF0000"/>
          <w:strike w:val="1"/>
        </w:rPr>
        <w:t>any of</w:t>
      </w:r>
      <w:r>
        <w:rPr>
          <w:rFonts w:ascii="Times New Roman" w:cs="Times New Roman" w:eastAsia="Times New Roman" w:hAnsi="Times New Roman"/>
          <w:sz w:val="18"/>
          <w:szCs w:val="18"/>
          <w:color w:val="000000"/>
        </w:rPr>
        <w:t xml:space="preserve"> its </w:t>
      </w:r>
      <w:r>
        <w:rPr>
          <w:rFonts w:ascii="Times New Roman" w:cs="Times New Roman" w:eastAsia="Times New Roman" w:hAnsi="Times New Roman"/>
          <w:sz w:val="18"/>
          <w:szCs w:val="18"/>
          <w:u w:val="single" w:color="auto"/>
          <w:color w:val="0000FF"/>
        </w:rPr>
        <w:t>payment</w:t>
      </w:r>
      <w:r>
        <w:rPr>
          <w:rFonts w:ascii="Times New Roman" w:cs="Times New Roman" w:eastAsia="Times New Roman" w:hAnsi="Times New Roman"/>
          <w:sz w:val="18"/>
          <w:szCs w:val="18"/>
          <w:color w:val="000000"/>
        </w:rPr>
        <w:t xml:space="preserve"> obligations under any Loan Document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(c) the validity or enforceability of </w:t>
      </w:r>
      <w:r>
        <w:rPr>
          <w:rFonts w:ascii="Times New Roman" w:cs="Times New Roman" w:eastAsia="Times New Roman" w:hAnsi="Times New Roman"/>
          <w:sz w:val="18"/>
          <w:szCs w:val="18"/>
          <w:color w:val="FF0000"/>
          <w:strike w:val="1"/>
        </w:rPr>
        <w:t>any Loan Document or the rights and remedies of or benefits available to the Administrative Agent, the Issuing Bank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any Lender under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Loan Document.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xml:space="preserve">” means Debt (other than the Loans and Letters of Credit), or obligations in respect of one or more Swap Agreements, of the Parent Guarantor, the Borrower or their Restricted Subsidiaries in an aggregate principal amount exceeding </w:t>
      </w:r>
      <w:r>
        <w:rPr>
          <w:rFonts w:ascii="Times New Roman" w:cs="Times New Roman" w:eastAsia="Times New Roman" w:hAnsi="Times New Roman"/>
          <w:sz w:val="18"/>
          <w:szCs w:val="18"/>
          <w:u w:val="single" w:color="auto"/>
          <w:color w:val="0000FF"/>
        </w:rPr>
        <w:t>(x) prior to the Endeavor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$150,000,000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(y) from and after the Endeavor Acquisition Effective Date, $250,000,000</w:t>
      </w:r>
      <w:r>
        <w:rPr>
          <w:rFonts w:ascii="Times New Roman" w:cs="Times New Roman" w:eastAsia="Times New Roman" w:hAnsi="Times New Roman"/>
          <w:sz w:val="18"/>
          <w:szCs w:val="18"/>
          <w:color w:val="000000"/>
        </w:rPr>
        <w:t>. For purposes of determining Material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Indebtedness, the “principal amount” of the obligations of the Parent Guarantor, the Borrower or their Restricted Subsidiaries in respect of any Swap Agreement at any time shall be the Swap Termination Value.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as of any date, any Restricted Subsidiary of the Parent Guarantor that, together with its Restricted Subsidiaries, as of the last day of the fiscal quarter of the Parent Guarantor most recently ended for which Parent Guarantor’s annual or quarterly consolidated financial statements are available at the time of the Borrower’s written notice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“Guarantor” to cause such Restricted Subsidiary to cease to be a Guarantor, contributed greater than 10.0% of the Consolidated Net Tangible Assets for such quarter.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later of (a) June 2, 2028, and (b) if the maturity is extended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such extended maturity date as determined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(it being understood and agreed that any such maturity shall not be deemed extended for any Lender that has not consented to such extension in writing).</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 Extension Request</w:t>
      </w:r>
      <w:r>
        <w:rPr>
          <w:rFonts w:ascii="Times New Roman" w:cs="Times New Roman" w:eastAsia="Times New Roman" w:hAnsi="Times New Roman"/>
          <w:sz w:val="18"/>
          <w:szCs w:val="18"/>
          <w:color w:val="auto"/>
        </w:rPr>
        <w:t xml:space="preserve">” means a request by the Borrower,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or any other form approved by the Administrative Agent in writing, for the extension of the Maturity Date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(i) with respect to Cash Collateral consisting of cash or deposit account balances, an amount equal to 105% of the Fronting Exposure of all Issuing Banks with respect to Letters of Credit issued and outstanding at such time and (ii) if the Borrower agrees to deliver Cash Collateral consisting of property other than cash or deposit account balances, an amount determined by the Administrative Agent and the Issuing Bank in their sole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 that is a nationally recognized rating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“New Parent” shall have the meaning assigned to such term in the definition of “Change in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the promissory notes of the Borrower described in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and being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with all amendments, modifications, replacements, extensions and rearrangements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Properties</w:t>
      </w:r>
      <w:r>
        <w:rPr>
          <w:rFonts w:ascii="Times New Roman" w:cs="Times New Roman" w:eastAsia="Times New Roman" w:hAnsi="Times New Roman"/>
          <w:sz w:val="18"/>
          <w:szCs w:val="18"/>
          <w:color w:val="auto"/>
        </w:rPr>
        <w:t>” means (a) Hydrocarbon Interests; (b) the Properties now or hereafter pooled or unitized with Hydrocarbon Interests; (c) 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hereinafter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and any other Loan Document.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(a) the Federal Funds Effective Rate and (b) an overnight rate determined by the Administrative Agent in accordance with banking industry rules on interbank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means Diamondback Energy, Inc.,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assigned to such term</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assigned to such term</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12.04(c)(iii)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 Target</w:t>
      </w:r>
      <w:r>
        <w:rPr>
          <w:rFonts w:ascii="Times New Roman" w:cs="Times New Roman" w:eastAsia="Times New Roman" w:hAnsi="Times New Roman"/>
          <w:sz w:val="18"/>
          <w:szCs w:val="18"/>
          <w:color w:val="auto"/>
        </w:rPr>
        <w:t>” has the meaning set forth in the definition of “Permitted Acquisitions”.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means Investments in Persons (each, a “</w:t>
      </w:r>
      <w:r>
        <w:rPr>
          <w:rFonts w:ascii="Times New Roman" w:cs="Times New Roman" w:eastAsia="Times New Roman" w:hAnsi="Times New Roman"/>
          <w:sz w:val="18"/>
          <w:szCs w:val="18"/>
          <w:u w:val="single" w:color="auto"/>
          <w:color w:val="auto"/>
        </w:rPr>
        <w:t>Permitted Acquisition Target</w:t>
      </w:r>
      <w:r>
        <w:rPr>
          <w:rFonts w:ascii="Times New Roman" w:cs="Times New Roman" w:eastAsia="Times New Roman" w:hAnsi="Times New Roman"/>
          <w:sz w:val="18"/>
          <w:szCs w:val="18"/>
          <w:color w:val="auto"/>
        </w:rPr>
        <w:t>”) engaged primarily in the business of acquiring, developing and producing Oil and Gas Properties or transporting or processing Hydrocarbons from or attributable to such Oil and Gas Properties</w:t>
      </w:r>
      <w:r>
        <w:rPr>
          <w:rFonts w:ascii="Times New Roman" w:cs="Times New Roman" w:eastAsia="Times New Roman" w:hAnsi="Times New Roman"/>
          <w:sz w:val="18"/>
          <w:szCs w:val="18"/>
          <w:color w:val="FF0000"/>
          <w:strike w:val="1"/>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Permitted Borrower Changeover Transaction</w:t>
      </w:r>
      <w:r>
        <w:rPr>
          <w:rFonts w:ascii="Times New Roman" w:cs="Times New Roman" w:eastAsia="Times New Roman" w:hAnsi="Times New Roman"/>
          <w:sz w:val="18"/>
          <w:szCs w:val="18"/>
          <w:color w:val="FF0000"/>
          <w:strike w:val="1"/>
        </w:rPr>
        <w:t xml:space="preserve">” means the merger of Diamondback O&amp;G with and into Diamondback E&amp;P, with Diamondback E&amp;P as the surviving entity, subject to satisfaction of the following conditions: (a) no Default or Event of Default has occurred and is then continuing at the time of such merger; (b) Diamondback E&amp;P will expressly assume, by joinder, executed and delivered to the Administrative Agent, in form and substance satisfactory to the Administrative Agent, all the obligations (including, without limitation, all of the Indebtedness) of the Borrower under this Agreement, the Guaranty Agreement and the other Loan Documents, together with customary resolutions, opinions of counsel and such other customary documentation as the Administrative Agent may reasonably request; (c) Diamondback E&amp;P shall have acquired, by way of such merger, all or substantially all of the Properties of Diamondback O&amp;G; and (d) Diamondback E&amp;P shall deliver to the Administrative Agent (i) a final, fully-executed copy of the merger agreement with respect to such Permitted Borrower Changeover Transaction and (ii) a certificate of a Responsible Officer of Diamondback E&amp;P, as successor borrower, and the Parent Guarantor certifying that such merger agreement referred and provided pursuant to the immediately preceding </w:t>
      </w:r>
      <w:r>
        <w:rPr>
          <w:rFonts w:ascii="Times New Roman" w:cs="Times New Roman" w:eastAsia="Times New Roman" w:hAnsi="Times New Roman"/>
          <w:sz w:val="18"/>
          <w:szCs w:val="18"/>
          <w:u w:val="single" w:color="auto"/>
          <w:color w:val="FF0000"/>
          <w:strike w:val="1"/>
        </w:rPr>
        <w:t xml:space="preserve">sub-clause (i) </w:t>
      </w:r>
      <w:r>
        <w:rPr>
          <w:rFonts w:ascii="Times New Roman" w:cs="Times New Roman" w:eastAsia="Times New Roman" w:hAnsi="Times New Roman"/>
          <w:sz w:val="18"/>
          <w:szCs w:val="18"/>
          <w:color w:val="FF0000"/>
          <w:strike w:val="1"/>
        </w:rPr>
        <w:t>is a true, correct, and complete copy thereof. The Permitted Borrower Changeover Transaction occurred on June 30, 2021</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u w:val="single" w:color="auto"/>
          <w:color w:val="0000FF"/>
          <w:strike w:val="1"/>
        </w:rPr>
        <w:t>or business activities</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u w:val="single" w:color="auto"/>
          <w:color w:val="0000FF"/>
          <w:strike w:val="1"/>
        </w:rPr>
        <w:t>reasonably related, incidental, complementary or ancillary to the foregoing</w:t>
      </w:r>
      <w:r>
        <w:rPr>
          <w:rFonts w:ascii="Times New Roman" w:cs="Times New Roman" w:eastAsia="Times New Roman" w:hAnsi="Times New Roman"/>
          <w:sz w:val="18"/>
          <w:szCs w:val="18"/>
          <w:color w:val="000000"/>
          <w:strike w:val="1"/>
        </w:rPr>
        <w:t>.</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Wexford Capital LP</w:t>
      </w:r>
      <w:r>
        <w:rPr>
          <w:rFonts w:ascii="Times New Roman" w:cs="Times New Roman" w:eastAsia="Times New Roman" w:hAnsi="Times New Roman"/>
          <w:sz w:val="18"/>
          <w:szCs w:val="18"/>
          <w:u w:val="single" w:color="auto"/>
          <w:color w:val="0000FF"/>
        </w:rPr>
        <w:t>the Parent Guarantor</w:t>
      </w:r>
      <w:r>
        <w:rPr>
          <w:rFonts w:ascii="Times New Roman" w:cs="Times New Roman" w:eastAsia="Times New Roman" w:hAnsi="Times New Roman"/>
          <w:sz w:val="18"/>
          <w:szCs w:val="18"/>
          <w:color w:val="auto"/>
        </w:rPr>
        <w:t xml:space="preserve"> and any </w:t>
      </w:r>
      <w:r>
        <w:rPr>
          <w:rFonts w:ascii="Times New Roman" w:cs="Times New Roman" w:eastAsia="Times New Roman" w:hAnsi="Times New Roman"/>
          <w:sz w:val="18"/>
          <w:szCs w:val="18"/>
          <w:color w:val="FF0000"/>
          <w:strike w:val="1"/>
        </w:rPr>
        <w:t>Affiliated funds, investment vehicles, holding companies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entities directly or indirectly owned, managed or controlled by Wexford Capital LP or any other Person that is a Permitted Holder, any general partner, managing member or managing partner of any of the Persons described in </w:t>
      </w:r>
      <w:r>
        <w:rPr>
          <w:rFonts w:ascii="Times New Roman" w:cs="Times New Roman" w:eastAsia="Times New Roman" w:hAnsi="Times New Roman"/>
          <w:sz w:val="18"/>
          <w:szCs w:val="18"/>
          <w:u w:val="single" w:color="auto"/>
          <w:color w:val="FF0000"/>
          <w:strike w:val="1"/>
        </w:rPr>
        <w:t>clause (a)</w:t>
      </w:r>
      <w:r>
        <w:rPr>
          <w:rFonts w:ascii="Times New Roman" w:cs="Times New Roman" w:eastAsia="Times New Roman" w:hAnsi="Times New Roman"/>
          <w:sz w:val="18"/>
          <w:szCs w:val="18"/>
          <w:color w:val="FF0000"/>
          <w:strike w:val="1"/>
        </w:rPr>
        <w:t xml:space="preserve"> above and the</w:t>
      </w:r>
      <w:r>
        <w:rPr>
          <w:rFonts w:ascii="Times New Roman" w:cs="Times New Roman" w:eastAsia="Times New Roman" w:hAnsi="Times New Roman"/>
          <w:sz w:val="18"/>
          <w:szCs w:val="18"/>
          <w:u w:val="single" w:color="auto"/>
          <w:color w:val="0000FF"/>
          <w:strike w:val="1"/>
        </w:rPr>
        <w:t>direct wholly owned Subsidiary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Parent Guarantor.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Permitted Refinancing Debt</w:t>
      </w:r>
      <w:r>
        <w:rPr>
          <w:rFonts w:ascii="Times New Roman" w:cs="Times New Roman" w:eastAsia="Times New Roman" w:hAnsi="Times New Roman"/>
          <w:sz w:val="18"/>
          <w:szCs w:val="18"/>
          <w:color w:val="FF0000"/>
          <w:strike w:val="1"/>
        </w:rPr>
        <w:t>” means Debt (for purposes of this definition, “</w:t>
      </w:r>
      <w:r>
        <w:rPr>
          <w:rFonts w:ascii="Times New Roman" w:cs="Times New Roman" w:eastAsia="Times New Roman" w:hAnsi="Times New Roman"/>
          <w:sz w:val="18"/>
          <w:szCs w:val="18"/>
          <w:u w:val="single" w:color="auto"/>
          <w:color w:val="FF0000"/>
          <w:strike w:val="1"/>
        </w:rPr>
        <w:t>new Debt</w:t>
      </w:r>
      <w:r>
        <w:rPr>
          <w:rFonts w:ascii="Times New Roman" w:cs="Times New Roman" w:eastAsia="Times New Roman" w:hAnsi="Times New Roman"/>
          <w:sz w:val="18"/>
          <w:szCs w:val="18"/>
          <w:color w:val="FF0000"/>
          <w:strike w:val="1"/>
        </w:rPr>
        <w:t>”) incurred in exchange for, or proceeds of which are used to repay, repurchase, redeem, defease, refund, replace, acquire or otherwise retire or refinance, all or part of any other Debt (the “</w:t>
      </w:r>
      <w:r>
        <w:rPr>
          <w:rFonts w:ascii="Times New Roman" w:cs="Times New Roman" w:eastAsia="Times New Roman" w:hAnsi="Times New Roman"/>
          <w:sz w:val="18"/>
          <w:szCs w:val="18"/>
          <w:u w:val="single" w:color="auto"/>
          <w:color w:val="FF0000"/>
          <w:strike w:val="1"/>
        </w:rPr>
        <w:t>Refinanced Debt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such new Debt is in an aggregate principal amount not in excess of the sum of the aggregate principal amount then outstanding of the Refinanced Debt (or, if the Refinanced Debt is exchanged or acquired for an amount less than the principal amount thereof to be due and payable upon a declaration of acceleration thereof, such lesser amount) and an amount necessary to pay any accrued and unpaid interest on such Refinanced Debt and any fees and expenses, including premiums, related to such exchange or refinancing; such new Debt has a stated maturity no earlier than the stated maturity of the Refinanced Debt and an average life no shorter than the average life of the Refinanced Debt; such new Debt’s stated interest rate, fees, and premiums are on “market” terms; such new Debt does not contain covenants that, taken as a whole, are materially more onerous to the Parent Guarantor, the Borrower and the Restricted Subsidiaries than those imposed by the Refinanced Debt and if the Refinanced Debt (or any guarantee thereof) is subordinated in right of payment to the Indebtedness (or, if applicable, the Guaranty Agreement), then such new Debt (and any guarantees thereof) is subordinated in right of payment to the Indebtedness (or, if applicable, the Guaranty Agreement) to at least the same extent as the Refinanced Debt or is otherwise subordinated on terms substantially reasonably satisfactory to the Administrative Agent.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which (a) is currently or hereafter sponsored, maintained or contributed to by the Parent Guarantor, the Borrower, a Subsidiary or an ERISA Affiliate or (b) was at any time during the six calendar years preceding the date hereof, sponsored, maintained or contributed to by the Parent Guarantor, Borrower, a Subsidiary or an ERISA Affiliate.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Level</w:t>
      </w:r>
      <w:r>
        <w:rPr>
          <w:rFonts w:ascii="Times New Roman" w:cs="Times New Roman" w:eastAsia="Times New Roman" w:hAnsi="Times New Roman"/>
          <w:sz w:val="18"/>
          <w:szCs w:val="18"/>
          <w:color w:val="auto"/>
        </w:rPr>
        <w:t>” means the applicable category of rating level contained in the definition of “Applicable Margin”, which is based on the rating of the Index Debt (or the Facility as provided for in the last sentence of the definition of “Applicable Margin”, as applicable) by one or more of the Rating Agencies.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interest in any kind of property or asset, whether real, personal or mixed, or tangible or intangible, including, without limitation, cash, securities, accounts and contract rights.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QEP</w:t>
      </w:r>
      <w:r>
        <w:rPr>
          <w:rFonts w:ascii="Times New Roman" w:cs="Times New Roman" w:eastAsia="Times New Roman" w:hAnsi="Times New Roman"/>
          <w:sz w:val="18"/>
          <w:szCs w:val="18"/>
          <w:color w:val="auto"/>
        </w:rPr>
        <w:t>” means QEP Resources, Inc.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QEP Merger</w:t>
      </w:r>
      <w:r>
        <w:rPr>
          <w:rFonts w:ascii="Times New Roman" w:cs="Times New Roman" w:eastAsia="Times New Roman" w:hAnsi="Times New Roman"/>
          <w:sz w:val="18"/>
          <w:szCs w:val="18"/>
          <w:color w:val="auto"/>
        </w:rPr>
        <w:t>” means the merger of a Subsidiary of Parent Guarantor with and into QEP, with QEP as the surviving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Midstream Assets</w:t>
      </w:r>
      <w:r>
        <w:rPr>
          <w:rFonts w:ascii="Times New Roman" w:cs="Times New Roman" w:eastAsia="Times New Roman" w:hAnsi="Times New Roman"/>
          <w:sz w:val="18"/>
          <w:szCs w:val="18"/>
          <w:color w:val="auto"/>
        </w:rPr>
        <w:t>” means assets used in the gathering, distributing, marketing, treating, processing, transporting of, or storage, disposal, or other handling of, Hydrocarbons, water, sand, minerals, chemicals or other products or substances commonly created, used, recovered, produced or processed in the conduct of the oil and gas business, including compression, pumping, treatment and disposal facilities, gathering lines and systems, and other assets commonly considered midstream assets or useful in connection with the conduct of midstream operations and Equity Interests in Qualified Midstream Persons.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Midstream Person</w:t>
      </w:r>
      <w:r>
        <w:rPr>
          <w:rFonts w:ascii="Times New Roman" w:cs="Times New Roman" w:eastAsia="Times New Roman" w:hAnsi="Times New Roman"/>
          <w:sz w:val="18"/>
          <w:szCs w:val="18"/>
          <w:color w:val="auto"/>
        </w:rPr>
        <w:t>” means (a) any Person if (i) substantially all of the assets of such Person consist of or will consist of Qualified Midstream Assets or (ii) all or substantially all of such Person’s business is ownership of, operation of, construction or development of, or direct or indirect investment in, Qualified Midstream Assets and (b) each of the Rattler Entities.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Professional Asset Manager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12.19(a)(iii)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S&amp;P, Moody’s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or Fitch.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Rattler Entities</w:t>
      </w:r>
      <w:r>
        <w:rPr>
          <w:rFonts w:ascii="Times New Roman" w:cs="Times New Roman" w:eastAsia="Times New Roman" w:hAnsi="Times New Roman"/>
          <w:sz w:val="18"/>
          <w:szCs w:val="18"/>
          <w:color w:val="auto"/>
        </w:rPr>
        <w:t>” means Rattler Midstream GP LLC, Rattler Midstream LP, Rattler Midstream Operating LLC, and their respective Subsidiaries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the same may be amended, supplemented or replaced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(including attorneys, accountants and experts) of such Person and such Person’s Affiliates.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Work</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as to any Person, the Chief Executive Officer, the President, any Financial Officer or any Vice President of such Person. Unless otherwise specified, all references to a Responsible Officer herein shall mean a Responsible Officer of the Parent Guarantor.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Parent Guarantor or the Borrower that is not an Unrestricted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(without duplication) of (a) the outstanding principal amount of such Lender’s Loans (including Swingline Loans) at such time, (b) its LC Exposure at such time, and (c) its Swingline Exposure (other than such Lender’s Swingline Exposure with respect to Swingline Loans made by such Lender in its capacity as a Swingline Lender, if any)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C000"/>
        </w:rPr>
        <w:t>“S&amp;P” means Standard &amp; Poor’s Rating Service, a division of S&amp;P Global Inc.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means, at any time, a country, region or territory which is itself the subject or target of any comprehensive Sanctions (which are, as of the </w:t>
      </w:r>
      <w:r>
        <w:rPr>
          <w:rFonts w:ascii="Times New Roman" w:cs="Times New Roman" w:eastAsia="Times New Roman" w:hAnsi="Times New Roman"/>
          <w:sz w:val="18"/>
          <w:szCs w:val="18"/>
          <w:u w:val="single" w:color="auto"/>
          <w:color w:val="0000FF"/>
        </w:rPr>
        <w:t>Fourteenth Amendment</w:t>
      </w:r>
      <w:r>
        <w:rPr>
          <w:rFonts w:ascii="Times New Roman" w:cs="Times New Roman" w:eastAsia="Times New Roman" w:hAnsi="Times New Roman"/>
          <w:sz w:val="18"/>
          <w:szCs w:val="18"/>
          <w:color w:val="auto"/>
        </w:rPr>
        <w:t xml:space="preserve"> Effective Date: </w:t>
      </w:r>
      <w:r>
        <w:rPr>
          <w:rFonts w:ascii="Times New Roman" w:cs="Times New Roman" w:eastAsia="Times New Roman" w:hAnsi="Times New Roman"/>
          <w:sz w:val="18"/>
          <w:szCs w:val="18"/>
          <w:color w:val="FF0000"/>
          <w:strike w:val="1"/>
        </w:rPr>
        <w:t>Crimea,</w:t>
      </w:r>
      <w:r>
        <w:rPr>
          <w:rFonts w:ascii="Times New Roman" w:cs="Times New Roman" w:eastAsia="Times New Roman" w:hAnsi="Times New Roman"/>
          <w:sz w:val="18"/>
          <w:szCs w:val="18"/>
          <w:color w:val="auto"/>
        </w:rPr>
        <w:t xml:space="preserve"> Cuba, Iran, North Korea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Syria</w:t>
      </w:r>
      <w:r>
        <w:rPr>
          <w:rFonts w:ascii="Times New Roman" w:cs="Times New Roman" w:eastAsia="Times New Roman" w:hAnsi="Times New Roman"/>
          <w:sz w:val="18"/>
          <w:szCs w:val="18"/>
          <w:u w:val="single" w:color="auto"/>
          <w:color w:val="0000FF"/>
        </w:rPr>
        <w:t>, the so-called Donetsk People’s Republic, the so-called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Luhansk People’s Republic and the Zaporizhzhia, Kherson and Crimea Regions of Ukraine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or the U.S. Department of State, (b) any Person operating, organized or resident in a Sanctioned Country or (c) any Person owned fifty percent (50%) or more, individually or in the aggregate, directly or indirectly, by any such Person or Persons described in the foregoing clause (a).</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including those administered by OFAC or the U.S. Department of State.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Governmental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Unsecured Notes</w:t>
      </w:r>
      <w:r>
        <w:rPr>
          <w:rFonts w:ascii="Times New Roman" w:cs="Times New Roman" w:eastAsia="Times New Roman" w:hAnsi="Times New Roman"/>
          <w:sz w:val="18"/>
          <w:szCs w:val="18"/>
          <w:color w:val="auto"/>
        </w:rPr>
        <w:t>” means Debt in the form of unsecured senior or senior subordinated notes issued by the Parent Guarantor or the Borrower, including exchange notes issued in exchange therefor pursuant to any registration rights agreement, and, in each case, any guarantees thereof by the Parent Guarantor, the Borrower or a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Sixth Amendment Closing Date</w:t>
      </w:r>
      <w:r>
        <w:rPr>
          <w:rFonts w:ascii="Times New Roman" w:cs="Times New Roman" w:eastAsia="Times New Roman" w:hAnsi="Times New Roman"/>
          <w:sz w:val="18"/>
          <w:szCs w:val="18"/>
          <w:color w:val="FF0000"/>
          <w:strike w:val="1"/>
        </w:rPr>
        <w:t>” means May 25,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means any Loan bearing interest at a rate based on Adjusted Term SOFR as provided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u w:val="single" w:color="auto"/>
          <w:color w:val="00C000"/>
          <w:strike w:val="1"/>
        </w:rPr>
        <w:t>S&amp;P</w:t>
      </w:r>
      <w:r>
        <w:rPr>
          <w:rFonts w:ascii="Times New Roman" w:cs="Times New Roman" w:eastAsia="Times New Roman" w:hAnsi="Times New Roman"/>
          <w:sz w:val="18"/>
          <w:szCs w:val="18"/>
          <w:color w:val="00C000"/>
          <w:strike w:val="1"/>
        </w:rPr>
        <w:t xml:space="preserve"> ” means Standard &amp; Poor’s Rating Service, a division of S&amp;P Global Inc. and any successor thereto.</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Equity</w:t>
      </w:r>
      <w:r>
        <w:rPr>
          <w:rFonts w:ascii="Times New Roman" w:cs="Times New Roman" w:eastAsia="Times New Roman" w:hAnsi="Times New Roman"/>
          <w:sz w:val="18"/>
          <w:szCs w:val="18"/>
          <w:color w:val="auto"/>
        </w:rPr>
        <w:t xml:space="preserve">” means, as of the time for which any determination thereof is to be made, (a) stockholders’ equity of the Parent Guarantor and its Consolidated Subsidiaries determined in accordance with GAAP as adjusted by (b)(i) excluding any interests in the Consolidated Subsidiaries that, in accordance with GAAP, would be required to be set forth as non-controlling interests on the consolidated balance sheet of the Parent Guarantor and its Consolidated Subsidiaries prepared in accordance with GAAP, (ii) either adding the amount by which such stockholders’ equity shall have been reduced by reason of any non-cash loss or subtracting the amount by which such stockholders’ equity shall have been increased by reason of any non-cash gain, in either case from changes in mark-to-market value of hedges, net of tax, resulting from the requirements of ASC Topic 815, in the case of this </w:t>
      </w:r>
      <w:r>
        <w:rPr>
          <w:rFonts w:ascii="Times New Roman" w:cs="Times New Roman" w:eastAsia="Times New Roman" w:hAnsi="Times New Roman"/>
          <w:sz w:val="18"/>
          <w:szCs w:val="18"/>
          <w:u w:val="single" w:color="auto"/>
          <w:color w:val="auto"/>
        </w:rPr>
        <w:t>sub-clause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commencing with the fiscal quarter ending December 31, 2019, and attributable to any Consolidated Subsidiary to the extent of the Parent Guarantor’s direct and indirect ownership interests in such Subsidiary, and (iii) adding the amount by which such stockholders’ equity shall have been reduced by reason of any losses attributable to ceiling test impairment writedowns, in the case of this </w:t>
      </w:r>
      <w:r>
        <w:rPr>
          <w:rFonts w:ascii="Times New Roman" w:cs="Times New Roman" w:eastAsia="Times New Roman" w:hAnsi="Times New Roman"/>
          <w:sz w:val="18"/>
          <w:szCs w:val="18"/>
          <w:u w:val="single" w:color="auto"/>
          <w:color w:val="auto"/>
        </w:rPr>
        <w:t>sub-clause (iii)</w:t>
      </w:r>
      <w:r>
        <w:rPr>
          <w:rFonts w:ascii="Times New Roman" w:cs="Times New Roman" w:eastAsia="Times New Roman" w:hAnsi="Times New Roman"/>
          <w:sz w:val="18"/>
          <w:szCs w:val="18"/>
          <w:color w:val="auto"/>
        </w:rPr>
        <w:t>, commencing with the fiscal quarter ending September 30, 2021, and attributable to any Consolidated Subsidiary to the extent of the Parent Guarantor’s direct and indirect ownership interests in such Subsidiary, in each case as set forth in the financial statements of the Parent Guarantor and its Consolidated Subsidiaries as furnished pursuant to Section 8.01(a) or (b).</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any Person of which at least a majority of the outstanding Equity Interests having by the terms thereof ordinary voting power to elect a majority of the board of directors, managers or other governing body of such Person (irrespective of whether or not at the time Equity Interests of any other class or classes of such Person shall have or might have voting power by reason of the happening of any contingency) is at the time directly or indirectly owned or controlled by the Parent Guarantor, the Borrower or one or more of their Subsidiaries and (b) any partnership of which the Parent Guarantor, the Borrower or any of their Subsidiaries is a general partner. Unless otherwise indicated herein, each reference to the term “Subsidiary” shall mean a Subsidiary of the Parent Guarantor or the Borrower, as the context requires.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any agreement with respect to any swap, forward, future or derivative transaction or option or similar agreement, whether exchange traded, “</w:t>
      </w:r>
      <w:r>
        <w:rPr>
          <w:rFonts w:ascii="Times New Roman" w:cs="Times New Roman" w:eastAsia="Times New Roman" w:hAnsi="Times New Roman"/>
          <w:sz w:val="18"/>
          <w:szCs w:val="18"/>
          <w:u w:val="single" w:color="auto"/>
          <w:color w:val="auto"/>
        </w:rPr>
        <w:t>over-the-counter</w:t>
      </w:r>
      <w:r>
        <w:rPr>
          <w:rFonts w:ascii="Times New Roman" w:cs="Times New Roman" w:eastAsia="Times New Roman" w:hAnsi="Times New Roman"/>
          <w:sz w:val="18"/>
          <w:szCs w:val="18"/>
          <w:color w:val="auto"/>
        </w:rPr>
        <w:t xml:space="preserve">”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Parent Guarantor or its Subsidiaries shall be a Swap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Person, any obligation to pay or perform under any agreement, contract or transaction that constitutes a “swap” within the meaning of section 1a(47) of the Commodity Exchange Act, including any such obligation comprised of a guaranty or a security interest or other Lien.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Agreements, as determined by the counterparties to such Swap Agreements.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xml:space="preserve">” means the commitment of the Swingline Lender to make Swingline Loans. As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Twelfth</w:t>
      </w:r>
      <w:r>
        <w:rPr>
          <w:rFonts w:ascii="Times New Roman" w:cs="Times New Roman" w:eastAsia="Times New Roman" w:hAnsi="Times New Roman"/>
          <w:sz w:val="18"/>
          <w:szCs w:val="18"/>
          <w:u w:val="single" w:color="auto"/>
          <w:color w:val="0000FF"/>
        </w:rPr>
        <w:t>Fourteenth</w:t>
      </w:r>
      <w:r>
        <w:rPr>
          <w:rFonts w:ascii="Times New Roman" w:cs="Times New Roman" w:eastAsia="Times New Roman" w:hAnsi="Times New Roman"/>
          <w:sz w:val="18"/>
          <w:szCs w:val="18"/>
          <w:color w:val="auto"/>
        </w:rPr>
        <w:t xml:space="preserve"> Amendment Effective Date, the total Swingline Commitment is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50,000,000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Due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xml:space="preserve">” means Wells Fargo Bank, National Association and its successors in such capacity as provided in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PNC Bank, National Association, Truist Bank, Bank of America, N.A., Capital One, National Association, Citibank, N.A., Credit Suisse AG, New York Branch, Goldman Sachs Bank USA, JPMorgan Chase Bank, N.A., The Bank of Nova Scotia, Houston Branch, U.S. Bank National Association, The Toronto-Dominion Bank, New York Branch, Barclays Bank PLC, Morgan Stanley Senior Funding, Inc.</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and Royal Bank of Canada, as co-syndication agents for the Lenders under this Agreement and the other Loan Documents.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Leases</w:t>
      </w:r>
      <w:r>
        <w:rPr>
          <w:rFonts w:ascii="Times New Roman" w:cs="Times New Roman" w:eastAsia="Times New Roman" w:hAnsi="Times New Roman"/>
          <w:sz w:val="18"/>
          <w:szCs w:val="18"/>
          <w:color w:val="auto"/>
        </w:rPr>
        <w:t>” means, in respect of any Person, all leases which shall have been, or should have been, in accordance with GAAP, treated as operating leases on the financial statements of the Person liable (whether contingently or otherwise) for the payment of rent thereunder and which were properly treated as indebtedness for borrowed money for purposes of U.S. federal income taxes, if the lessee in respect thereof is obligated to either purchase for an amount in excess of, or pay upon early termination an amount in excess of, 80% of the residual value of the Property subject to such operating lease upon expiration or early termination of such lease.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“Term Loan Credit Agreement” means that Term Loan Credit Agreement, dated as of February 29, 2024, among the Parent Guarantor, the Borrower, the lenders party thereto from time to time, and Citibank, N.A. as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“Term Loan Funding Date” shall have the meaning assigned to the term “Funding Date” in the Term Loan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54" w:lineRule="auto"/>
        <w:tabs>
          <w:tab w:leader="none" w:pos="1826"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844"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means, for any calculation (a) with respect to an ABR Loan (if calculated pursuant to clause (c) of the definition of “Alternate Base Rate”), a percentage per annum equal to 0.10% for such ABR Loan or (b) with respect to a SOFR Loan, a percentage per annum as set forth below for such SOFR Loan and Interest Period therefor:</w:t>
      </w:r>
    </w:p>
    <w:p>
      <w:pPr>
        <w:spacing w:after="0" w:line="174" w:lineRule="exact"/>
        <w:rPr>
          <w:sz w:val="20"/>
          <w:szCs w:val="20"/>
          <w:color w:val="auto"/>
        </w:rPr>
      </w:pPr>
    </w:p>
    <w:tbl>
      <w:tblPr>
        <w:tblLayout w:type="fixed"/>
        <w:tblInd w:w="1710" w:type="dxa"/>
        <w:tblCellMar>
          <w:top w:w="0" w:type="dxa"/>
          <w:left w:w="0" w:type="dxa"/>
          <w:bottom w:w="0" w:type="dxa"/>
          <w:right w:w="0" w:type="dxa"/>
        </w:tblCellMar>
      </w:tblPr>
      <w:tr>
        <w:trPr>
          <w:trHeight w:val="189"/>
        </w:trPr>
        <w:tc>
          <w:tcPr>
            <w:tcW w:w="1380" w:type="dxa"/>
            <w:vAlign w:val="bottom"/>
            <w:tcBorders>
              <w:top w:val="single" w:sz="8" w:color="auto"/>
              <w:left w:val="single" w:sz="8" w:color="auto"/>
            </w:tcBorders>
          </w:tcPr>
          <w:p>
            <w:pPr>
              <w:spacing w:after="0"/>
              <w:rPr>
                <w:sz w:val="16"/>
                <w:szCs w:val="16"/>
                <w:color w:val="auto"/>
              </w:rPr>
            </w:pPr>
          </w:p>
        </w:tc>
        <w:tc>
          <w:tcPr>
            <w:tcW w:w="2620" w:type="dxa"/>
            <w:vAlign w:val="bottom"/>
            <w:tcBorders>
              <w:top w:val="single" w:sz="8" w:color="auto"/>
            </w:tcBorders>
            <w:gridSpan w:val="2"/>
          </w:tcPr>
          <w:p>
            <w:pPr>
              <w:jc w:val="center"/>
              <w:ind w:right="1460"/>
              <w:spacing w:after="0" w:line="189" w:lineRule="exact"/>
              <w:rPr>
                <w:sz w:val="20"/>
                <w:szCs w:val="20"/>
                <w:color w:val="auto"/>
              </w:rPr>
            </w:pPr>
            <w:r>
              <w:rPr>
                <w:rFonts w:ascii="Times New Roman" w:cs="Times New Roman" w:eastAsia="Times New Roman" w:hAnsi="Times New Roman"/>
                <w:sz w:val="18"/>
                <w:szCs w:val="18"/>
                <w:b w:val="1"/>
                <w:bCs w:val="1"/>
                <w:color w:val="auto"/>
              </w:rPr>
              <w:t>Interest Period</w:t>
            </w:r>
          </w:p>
        </w:tc>
        <w:tc>
          <w:tcPr>
            <w:tcW w:w="3860" w:type="dxa"/>
            <w:vAlign w:val="bottom"/>
            <w:tcBorders>
              <w:top w:val="single" w:sz="8" w:color="auto"/>
              <w:right w:val="single" w:sz="8" w:color="auto"/>
            </w:tcBorders>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
        </w:trPr>
        <w:tc>
          <w:tcPr>
            <w:tcW w:w="1380" w:type="dxa"/>
            <w:vAlign w:val="bottom"/>
            <w:tcBorders>
              <w:left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r>
      <w:tr>
        <w:trPr>
          <w:trHeight w:val="216"/>
        </w:trPr>
        <w:tc>
          <w:tcPr>
            <w:tcW w:w="1380" w:type="dxa"/>
            <w:vAlign w:val="bottom"/>
            <w:tcBorders>
              <w:left w:val="single" w:sz="8" w:color="auto"/>
            </w:tcBorders>
            <w:shd w:val="clear" w:color="auto" w:fill="CCEEFF"/>
          </w:tcPr>
          <w:p>
            <w:pPr>
              <w:spacing w:after="0"/>
              <w:rPr>
                <w:sz w:val="18"/>
                <w:szCs w:val="18"/>
                <w:color w:val="auto"/>
              </w:rPr>
            </w:pPr>
          </w:p>
        </w:tc>
        <w:tc>
          <w:tcPr>
            <w:tcW w:w="2620" w:type="dxa"/>
            <w:vAlign w:val="bottom"/>
            <w:gridSpan w:val="2"/>
            <w:shd w:val="clear" w:color="auto" w:fill="CCEEFF"/>
          </w:tcPr>
          <w:p>
            <w:pPr>
              <w:jc w:val="center"/>
              <w:ind w:right="1460"/>
              <w:spacing w:after="0"/>
              <w:rPr>
                <w:sz w:val="20"/>
                <w:szCs w:val="20"/>
                <w:color w:val="auto"/>
              </w:rPr>
            </w:pPr>
            <w:r>
              <w:rPr>
                <w:rFonts w:ascii="Times New Roman" w:cs="Times New Roman" w:eastAsia="Times New Roman" w:hAnsi="Times New Roman"/>
                <w:sz w:val="18"/>
                <w:szCs w:val="18"/>
                <w:color w:val="auto"/>
                <w:w w:val="99"/>
              </w:rPr>
              <w:t>One month</w:t>
            </w:r>
          </w:p>
        </w:tc>
        <w:tc>
          <w:tcPr>
            <w:tcW w:w="2300" w:type="dxa"/>
            <w:vAlign w:val="bottom"/>
            <w:gridSpan w:val="2"/>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8"/>
              </w:rPr>
              <w:t>0.10%</w:t>
            </w:r>
          </w:p>
        </w:tc>
        <w:tc>
          <w:tcPr>
            <w:tcW w:w="1560" w:type="dxa"/>
            <w:vAlign w:val="bottom"/>
            <w:tcBorders>
              <w:right w:val="single" w:sz="8" w:color="auto"/>
            </w:tcBorders>
            <w:shd w:val="clear" w:color="auto" w:fill="CCEEFF"/>
          </w:tcPr>
          <w:p>
            <w:pPr>
              <w:spacing w:after="0"/>
              <w:rPr>
                <w:sz w:val="18"/>
                <w:szCs w:val="18"/>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26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Three months</w:t>
            </w:r>
          </w:p>
        </w:tc>
        <w:tc>
          <w:tcPr>
            <w:tcW w:w="23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8"/>
              </w:rPr>
              <w:t>0.10%</w:t>
            </w:r>
          </w:p>
        </w:tc>
        <w:tc>
          <w:tcPr>
            <w:tcW w:w="156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2"/>
            <w:shd w:val="clear" w:color="auto" w:fill="CCEEFF"/>
          </w:tcPr>
          <w:p>
            <w:pPr>
              <w:jc w:val="center"/>
              <w:ind w:right="1460"/>
              <w:spacing w:after="0"/>
              <w:rPr>
                <w:sz w:val="20"/>
                <w:szCs w:val="20"/>
                <w:color w:val="auto"/>
              </w:rPr>
            </w:pPr>
            <w:r>
              <w:rPr>
                <w:rFonts w:ascii="Times New Roman" w:cs="Times New Roman" w:eastAsia="Times New Roman" w:hAnsi="Times New Roman"/>
                <w:sz w:val="18"/>
                <w:szCs w:val="18"/>
                <w:color w:val="auto"/>
                <w:w w:val="98"/>
              </w:rPr>
              <w:t>Six months</w:t>
            </w:r>
          </w:p>
        </w:tc>
        <w:tc>
          <w:tcPr>
            <w:tcW w:w="2300" w:type="dxa"/>
            <w:vAlign w:val="bottom"/>
            <w:tcBorders>
              <w:bottom w:val="single" w:sz="8" w:color="auto"/>
            </w:tcBorders>
            <w:gridSpan w:val="2"/>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8"/>
              </w:rPr>
              <w:t>0.10%</w:t>
            </w:r>
          </w:p>
        </w:tc>
        <w:tc>
          <w:tcPr>
            <w:tcW w:w="156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the earlier of the Maturity Date and the date of termination </w:t>
      </w:r>
      <w:r>
        <w:rPr>
          <w:rFonts w:ascii="Times New Roman" w:cs="Times New Roman" w:eastAsia="Times New Roman" w:hAnsi="Times New Roman"/>
          <w:sz w:val="18"/>
          <w:szCs w:val="18"/>
          <w:u w:val="single" w:color="auto"/>
          <w:color w:val="0000FF"/>
        </w:rPr>
        <w:t>of all</w:t>
      </w:r>
      <w:r>
        <w:rPr>
          <w:rFonts w:ascii="Times New Roman" w:cs="Times New Roman" w:eastAsia="Times New Roman" w:hAnsi="Times New Roman"/>
          <w:sz w:val="18"/>
          <w:szCs w:val="18"/>
          <w:color w:val="auto"/>
        </w:rPr>
        <w:t xml:space="preserve"> of the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Thirteenth Amendment Effective Date</w:t>
      </w:r>
      <w:r>
        <w:rPr>
          <w:rFonts w:ascii="Times New Roman" w:cs="Times New Roman" w:eastAsia="Times New Roman" w:hAnsi="Times New Roman"/>
          <w:sz w:val="18"/>
          <w:szCs w:val="18"/>
          <w:color w:val="FF0000"/>
          <w:strike w:val="1"/>
        </w:rPr>
        <w:t>” means June 2,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xml:space="preserve">” means, at any date, all Debt </w:t>
      </w:r>
      <w:r>
        <w:rPr>
          <w:rFonts w:ascii="Times New Roman" w:cs="Times New Roman" w:eastAsia="Times New Roman" w:hAnsi="Times New Roman"/>
          <w:sz w:val="18"/>
          <w:szCs w:val="18"/>
          <w:u w:val="single" w:color="auto"/>
          <w:color w:val="0000FF"/>
        </w:rPr>
        <w:t>referred to in clause (a) of the definition thereof</w:t>
      </w:r>
      <w:r>
        <w:rPr>
          <w:rFonts w:ascii="Times New Roman" w:cs="Times New Roman" w:eastAsia="Times New Roman" w:hAnsi="Times New Roman"/>
          <w:sz w:val="18"/>
          <w:szCs w:val="18"/>
          <w:color w:val="auto"/>
        </w:rPr>
        <w:t xml:space="preserve"> of the Parent Guarantor</w:t>
      </w:r>
      <w:r>
        <w:rPr>
          <w:rFonts w:ascii="Times New Roman" w:cs="Times New Roman" w:eastAsia="Times New Roman" w:hAnsi="Times New Roman"/>
          <w:sz w:val="18"/>
          <w:szCs w:val="18"/>
          <w:u w:val="single" w:color="auto"/>
          <w:color w:val="00C000"/>
        </w:rPr>
        <w:t>, the Borrower</w:t>
      </w:r>
      <w:r>
        <w:rPr>
          <w:rFonts w:ascii="Times New Roman" w:cs="Times New Roman" w:eastAsia="Times New Roman" w:hAnsi="Times New Roman"/>
          <w:sz w:val="18"/>
          <w:szCs w:val="18"/>
          <w:color w:val="auto"/>
        </w:rPr>
        <w:t xml:space="preserve"> and the Consolidated Restricted Subsidiaries on a consolidated basis</w:t>
      </w:r>
      <w:r>
        <w:rPr>
          <w:rFonts w:ascii="Times New Roman" w:cs="Times New Roman" w:eastAsia="Times New Roman" w:hAnsi="Times New Roman"/>
          <w:sz w:val="18"/>
          <w:szCs w:val="18"/>
          <w:color w:val="FF0000"/>
          <w:strike w:val="1"/>
        </w:rPr>
        <w:t>, excluding non-cash obligations under ASC 815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Debt</w:t>
      </w:r>
      <w:r>
        <w:rPr>
          <w:rFonts w:ascii="Times New Roman" w:cs="Times New Roman" w:eastAsia="Times New Roman" w:hAnsi="Times New Roman"/>
          <w:sz w:val="18"/>
          <w:szCs w:val="18"/>
          <w:color w:val="auto"/>
        </w:rPr>
        <w:t>” means Total Debt, net of all cash and cash equivalents of the Parent Guarantor</w:t>
      </w:r>
      <w:r>
        <w:rPr>
          <w:rFonts w:ascii="Times New Roman" w:cs="Times New Roman" w:eastAsia="Times New Roman" w:hAnsi="Times New Roman"/>
          <w:sz w:val="18"/>
          <w:szCs w:val="18"/>
          <w:u w:val="single" w:color="auto"/>
          <w:color w:val="0000FF"/>
        </w:rPr>
        <w:t>, the Borrower</w:t>
      </w:r>
      <w:r>
        <w:rPr>
          <w:rFonts w:ascii="Times New Roman" w:cs="Times New Roman" w:eastAsia="Times New Roman" w:hAnsi="Times New Roman"/>
          <w:sz w:val="18"/>
          <w:szCs w:val="18"/>
          <w:color w:val="auto"/>
        </w:rPr>
        <w:t xml:space="preserve"> and the Restricted Subsidiaries as of such date determined on a consolidated basis in accordance with GAAP (excluding any portion of such aggregate amount of such cash and cash equivalents that appears (or would be required to appear) as “restricted” on a consolidated </w:t>
      </w:r>
      <w:r>
        <w:rPr>
          <w:rFonts w:ascii="Times New Roman" w:cs="Times New Roman" w:eastAsia="Times New Roman" w:hAnsi="Times New Roman"/>
          <w:sz w:val="18"/>
          <w:szCs w:val="18"/>
          <w:u w:val="single" w:color="auto"/>
          <w:color w:val="0000FF"/>
        </w:rPr>
        <w:t>balance</w:t>
      </w:r>
      <w:r>
        <w:rPr>
          <w:rFonts w:ascii="Times New Roman" w:cs="Times New Roman" w:eastAsia="Times New Roman" w:hAnsi="Times New Roman"/>
          <w:sz w:val="18"/>
          <w:szCs w:val="18"/>
          <w:color w:val="auto"/>
        </w:rPr>
        <w:t xml:space="preserve"> sheet of the Parent </w:t>
      </w:r>
      <w:r>
        <w:rPr>
          <w:rFonts w:ascii="Times New Roman" w:cs="Times New Roman" w:eastAsia="Times New Roman" w:hAnsi="Times New Roman"/>
          <w:sz w:val="18"/>
          <w:szCs w:val="18"/>
          <w:color w:val="FF0000"/>
          <w:strike w:val="1"/>
        </w:rPr>
        <w:t>Guarantors</w:t>
      </w:r>
      <w:r>
        <w:rPr>
          <w:rFonts w:ascii="Times New Roman" w:cs="Times New Roman" w:eastAsia="Times New Roman" w:hAnsi="Times New Roman"/>
          <w:sz w:val="18"/>
          <w:szCs w:val="18"/>
          <w:u w:val="single" w:color="auto"/>
          <w:color w:val="0000FF"/>
        </w:rPr>
        <w:t>Guarantor, the Borrower</w:t>
      </w:r>
      <w:r>
        <w:rPr>
          <w:rFonts w:ascii="Times New Roman" w:cs="Times New Roman" w:eastAsia="Times New Roman" w:hAnsi="Times New Roman"/>
          <w:sz w:val="18"/>
          <w:szCs w:val="18"/>
          <w:color w:val="auto"/>
        </w:rPr>
        <w:t xml:space="preserve"> and the Restricted Subsidiaries prepared in accordance with GAAP</w:t>
      </w:r>
      <w:r>
        <w:rPr>
          <w:rFonts w:ascii="Times New Roman" w:cs="Times New Roman" w:eastAsia="Times New Roman" w:hAnsi="Times New Roman"/>
          <w:sz w:val="18"/>
          <w:szCs w:val="18"/>
          <w:u w:val="single" w:color="auto"/>
          <w:color w:val="0000FF"/>
        </w:rPr>
        <w:t>; provided that, for the avoidance of doubt, in the event that the Parent Guarantor,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Borrower or any Restricted Subsidiary issues notes that are subject to a special mandatory redemption, the net cash proceeds of any such notes offering shall not be considered “restricted” cash for purposes of the foregoing if such cash proceeds would not be considered “restricted” absent the existence of such special mandatory redemption provisions</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Debt to Capitalization Ratio</w:t>
      </w:r>
      <w:r>
        <w:rPr>
          <w:rFonts w:ascii="Times New Roman" w:cs="Times New Roman" w:eastAsia="Times New Roman" w:hAnsi="Times New Roman"/>
          <w:sz w:val="18"/>
          <w:szCs w:val="18"/>
          <w:color w:val="auto"/>
        </w:rPr>
        <w:t>” means the ratio of (a) Total Net Debt to (b) Capitalization.</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with respect to (a) the Borrower, the execution, delivery and performance by the Borrower of this Agreement and each other Loan Document to which it is a party, the borrowing of Loans, the use of the proceeds thereof and the issuance of Letters of Credit hereunder, and (b) each Guarantor, the execution, delivery and performance by such Guarantor of each Loan Document to which it is a party, and the guaranteeing of the Indebtedness and the other obligations under the Guaranty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Twelfth Amendment Effective Date</w:t>
      </w:r>
      <w:r>
        <w:rPr>
          <w:rFonts w:ascii="Times New Roman" w:cs="Times New Roman" w:eastAsia="Times New Roman" w:hAnsi="Times New Roman"/>
          <w:sz w:val="18"/>
          <w:szCs w:val="18"/>
          <w:color w:val="auto"/>
        </w:rPr>
        <w:t>” means June 2, 2021.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Alternate Base Rate, Adjusted Term SOFR or any Benchmark Replacement.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of the Parent Guarantor </w:t>
      </w:r>
      <w:r>
        <w:rPr>
          <w:rFonts w:ascii="Times New Roman" w:cs="Times New Roman" w:eastAsia="Times New Roman" w:hAnsi="Times New Roman"/>
          <w:sz w:val="18"/>
          <w:szCs w:val="18"/>
          <w:u w:val="single" w:color="auto"/>
          <w:color w:val="0000FF"/>
        </w:rPr>
        <w:t>(other than the Borrower)</w:t>
      </w:r>
      <w:r>
        <w:rPr>
          <w:rFonts w:ascii="Times New Roman" w:cs="Times New Roman" w:eastAsia="Times New Roman" w:hAnsi="Times New Roman"/>
          <w:sz w:val="18"/>
          <w:szCs w:val="18"/>
          <w:color w:val="auto"/>
        </w:rPr>
        <w:t xml:space="preserve"> or the Borrower which the Parent Guarantor or the Borrower has designated in writing to the Administrative Agent to be an Unrestricted Subsidiary pursuant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until such time as the Parent Guarantor or the Borrower redesignates such </w:t>
      </w:r>
      <w:r>
        <w:rPr>
          <w:rFonts w:ascii="Times New Roman" w:cs="Times New Roman" w:eastAsia="Times New Roman" w:hAnsi="Times New Roman"/>
          <w:sz w:val="18"/>
          <w:szCs w:val="18"/>
          <w:color w:val="FF0000"/>
          <w:strike w:val="1"/>
        </w:rPr>
        <w:t>Unrestricted Subsidiary</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auto"/>
        </w:rPr>
        <w:t xml:space="preserve"> as a Restricted Subsidiary in accordance with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USA PATRIOT Act (Title III of Pub. L. 107-56 (signed into law October 26, 2001)), as amended from time to time, and any successor statute.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in each case, such day is also a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assigned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auto"/>
        </w:rPr>
        <w:t xml:space="preserve">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Viper Entities</w:t>
      </w:r>
      <w:r>
        <w:rPr>
          <w:rFonts w:ascii="Times New Roman" w:cs="Times New Roman" w:eastAsia="Times New Roman" w:hAnsi="Times New Roman"/>
          <w:sz w:val="18"/>
          <w:szCs w:val="18"/>
          <w:color w:val="auto"/>
        </w:rPr>
        <w:t xml:space="preserve">” means Viper Energy Partners GP LLC, Viper Energy </w:t>
      </w:r>
      <w:r>
        <w:rPr>
          <w:rFonts w:ascii="Times New Roman" w:cs="Times New Roman" w:eastAsia="Times New Roman" w:hAnsi="Times New Roman"/>
          <w:sz w:val="18"/>
          <w:szCs w:val="18"/>
          <w:color w:val="FF0000"/>
          <w:strike w:val="1"/>
        </w:rPr>
        <w:t>Partners LP</w:t>
      </w:r>
      <w:r>
        <w:rPr>
          <w:rFonts w:ascii="Times New Roman" w:cs="Times New Roman" w:eastAsia="Times New Roman" w:hAnsi="Times New Roman"/>
          <w:sz w:val="18"/>
          <w:szCs w:val="18"/>
          <w:u w:val="single" w:color="auto"/>
          <w:color w:val="0000FF"/>
        </w:rPr>
        <w:t>Inc.</w:t>
      </w:r>
      <w:r>
        <w:rPr>
          <w:rFonts w:ascii="Times New Roman" w:cs="Times New Roman" w:eastAsia="Times New Roman" w:hAnsi="Times New Roman"/>
          <w:sz w:val="18"/>
          <w:szCs w:val="18"/>
          <w:color w:val="auto"/>
        </w:rPr>
        <w:t>, Viper Energy Partners LLC, and their respective Subsidiaries from time to time.</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1.03 </w:t>
      </w:r>
      <w:r>
        <w:rPr>
          <w:rFonts w:ascii="Times New Roman" w:cs="Times New Roman" w:eastAsia="Times New Roman" w:hAnsi="Times New Roman"/>
          <w:sz w:val="18"/>
          <w:szCs w:val="18"/>
          <w:u w:val="single" w:color="auto"/>
          <w:color w:val="000000"/>
        </w:rPr>
        <w:t>Types of Loans and Borrowings</w:t>
      </w:r>
      <w:r>
        <w:rPr>
          <w:rFonts w:ascii="Times New Roman" w:cs="Times New Roman" w:eastAsia="Times New Roman" w:hAnsi="Times New Roman"/>
          <w:sz w:val="18"/>
          <w:szCs w:val="18"/>
          <w:color w:val="000000"/>
        </w:rPr>
        <w:t>. For purposes of this Agreement, Loans may be classified and referred to by Class (e.g.,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Revolving Loan</w:t>
      </w:r>
      <w:r>
        <w:rPr>
          <w:rFonts w:ascii="Times New Roman" w:cs="Times New Roman" w:eastAsia="Times New Roman" w:hAnsi="Times New Roman"/>
          <w:sz w:val="18"/>
          <w:szCs w:val="18"/>
          <w:color w:val="000000"/>
        </w:rPr>
        <w:t>”) or by Type (e.g., a “</w:t>
      </w:r>
      <w:r>
        <w:rPr>
          <w:rFonts w:ascii="Times New Roman" w:cs="Times New Roman" w:eastAsia="Times New Roman" w:hAnsi="Times New Roman"/>
          <w:sz w:val="18"/>
          <w:szCs w:val="18"/>
          <w:u w:val="single" w:color="auto"/>
          <w:color w:val="000000"/>
        </w:rPr>
        <w:t>SOFR Loan</w:t>
      </w:r>
      <w:r>
        <w:rPr>
          <w:rFonts w:ascii="Times New Roman" w:cs="Times New Roman" w:eastAsia="Times New Roman" w:hAnsi="Times New Roman"/>
          <w:sz w:val="18"/>
          <w:szCs w:val="18"/>
          <w:color w:val="000000"/>
        </w:rPr>
        <w:t>”) or by Class and Type (e.g., a “</w:t>
      </w:r>
      <w:r>
        <w:rPr>
          <w:rFonts w:ascii="Times New Roman" w:cs="Times New Roman" w:eastAsia="Times New Roman" w:hAnsi="Times New Roman"/>
          <w:sz w:val="18"/>
          <w:szCs w:val="18"/>
          <w:u w:val="single" w:color="auto"/>
          <w:color w:val="000000"/>
        </w:rPr>
        <w:t>SOFR Revolving Loan</w:t>
      </w:r>
      <w:r>
        <w:rPr>
          <w:rFonts w:ascii="Times New Roman" w:cs="Times New Roman" w:eastAsia="Times New Roman" w:hAnsi="Times New Roman"/>
          <w:sz w:val="18"/>
          <w:szCs w:val="18"/>
          <w:color w:val="000000"/>
        </w:rPr>
        <w:t>”). Borrowings also may be classified and referred to by Class (e.g., a “</w:t>
      </w:r>
      <w:r>
        <w:rPr>
          <w:rFonts w:ascii="Times New Roman" w:cs="Times New Roman" w:eastAsia="Times New Roman" w:hAnsi="Times New Roman"/>
          <w:sz w:val="18"/>
          <w:szCs w:val="18"/>
          <w:u w:val="single" w:color="auto"/>
          <w:color w:val="000000"/>
        </w:rPr>
        <w:t>Revolving Borrowing</w:t>
      </w:r>
      <w:r>
        <w:rPr>
          <w:rFonts w:ascii="Times New Roman" w:cs="Times New Roman" w:eastAsia="Times New Roman" w:hAnsi="Times New Roman"/>
          <w:sz w:val="18"/>
          <w:szCs w:val="18"/>
          <w:color w:val="000000"/>
        </w:rPr>
        <w:t>”) or by Type (e.g., a “</w:t>
      </w:r>
      <w:r>
        <w:rPr>
          <w:rFonts w:ascii="Times New Roman" w:cs="Times New Roman" w:eastAsia="Times New Roman" w:hAnsi="Times New Roman"/>
          <w:sz w:val="18"/>
          <w:szCs w:val="18"/>
          <w:u w:val="single" w:color="auto"/>
          <w:color w:val="000000"/>
        </w:rPr>
        <w:t>SOFR Borrowing</w:t>
      </w:r>
      <w:r>
        <w:rPr>
          <w:rFonts w:ascii="Times New Roman" w:cs="Times New Roman" w:eastAsia="Times New Roman" w:hAnsi="Times New Roman"/>
          <w:sz w:val="18"/>
          <w:szCs w:val="18"/>
          <w:color w:val="000000"/>
        </w:rPr>
        <w:t>”) or by Class and Type (e.g., a “</w:t>
      </w:r>
      <w:r>
        <w:rPr>
          <w:rFonts w:ascii="Times New Roman" w:cs="Times New Roman" w:eastAsia="Times New Roman" w:hAnsi="Times New Roman"/>
          <w:sz w:val="18"/>
          <w:szCs w:val="18"/>
          <w:u w:val="single" w:color="auto"/>
          <w:color w:val="000000"/>
        </w:rPr>
        <w:t>SOFR Revolving Borrowing</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1.04 </w:t>
      </w:r>
      <w:r>
        <w:rPr>
          <w:rFonts w:ascii="Times New Roman" w:cs="Times New Roman" w:eastAsia="Times New Roman" w:hAnsi="Times New Roman"/>
          <w:sz w:val="18"/>
          <w:szCs w:val="18"/>
          <w:u w:val="single" w:color="auto"/>
          <w:color w:val="000000"/>
        </w:rPr>
        <w:t>Terms Generally; Rules of Construction</w:t>
      </w:r>
      <w:r>
        <w:rPr>
          <w:rFonts w:ascii="Times New Roman" w:cs="Times New Roman" w:eastAsia="Times New Roman" w:hAnsi="Times New Roman"/>
          <w:sz w:val="18"/>
          <w:szCs w:val="18"/>
          <w:color w:val="000000"/>
        </w:rPr>
        <w:t>. The definitions of terms herein shall apply equally to the singular and plural forms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terms defined. Whenever the context may require, any pronoun shall include the corresponding masculine, feminine and neuter forms. The words “include”, “includes” and “including” as used in this Agreement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Loan Documents), (b)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Loan Documents), (d) the words “herein”, “hereof” and “hereunder”, and words of similar import, shall be construed to refer to this Agreement in its entirety and not to any particular provision hereof, (e) with respect to the determination of any time period, the word “from” means “from and including” and the word “to” means “to and including” and (f) any reference herein to Articles, Sections, Annexes, Exhibits and Schedules shall be construed to refer to Articles and Sections of, and Annexes, Exhibits and Schedules to, this Agreement. No provision of this Agreement or any other Loan Document shall be interpreted or construed against any Person solely because such Person or its legal representative drafted such provision.</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1.05 </w:t>
      </w:r>
      <w:r>
        <w:rPr>
          <w:rFonts w:ascii="Times New Roman" w:cs="Times New Roman" w:eastAsia="Times New Roman" w:hAnsi="Times New Roman"/>
          <w:sz w:val="18"/>
          <w:szCs w:val="18"/>
          <w:u w:val="single" w:color="auto"/>
          <w:color w:val="000000"/>
        </w:rPr>
        <w:t>Accounting Terms and Determinations; GAAP</w:t>
      </w:r>
      <w:r>
        <w:rPr>
          <w:rFonts w:ascii="Times New Roman" w:cs="Times New Roman" w:eastAsia="Times New Roman" w:hAnsi="Times New Roman"/>
          <w:sz w:val="18"/>
          <w:szCs w:val="18"/>
          <w:color w:val="000000"/>
        </w:rPr>
        <w:t>. Unless otherwise specified herein, all accounting terms used herein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interpreted, all determinations with respect to accounting matters hereunder shall be made, and all financial statements and certificates and reports as to financial matters required to be furnished to the Administrative Agent or the Lenders hereunder shall be prepared, in accordance with GAAP, applied on a basis consistent with the Financial Statements except for changes in which the Parent Guarantor’s or the Borrower’s independent certified public accountants concur and which are disclosed to Administrative Agent on the next date on which financial statements are required to be delivered to the Lenders pursuant to </w:t>
      </w:r>
      <w:r>
        <w:rPr>
          <w:rFonts w:ascii="Times New Roman" w:cs="Times New Roman" w:eastAsia="Times New Roman" w:hAnsi="Times New Roman"/>
          <w:sz w:val="18"/>
          <w:szCs w:val="18"/>
          <w:u w:val="single" w:color="auto"/>
          <w:color w:val="000000"/>
        </w:rPr>
        <w:t>Section 8.01(a)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unless the Parent Guarantor, the Borrower and the Majority Lenders shall otherwise agree in writing, no such change shall modify or affect the manner in which compliance with the covenants contained herein is computed such that all such computations shall be conducted utilizing financial information presented consistently with prior periods.</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1.06 </w:t>
      </w:r>
      <w:r>
        <w:rPr>
          <w:rFonts w:ascii="Times New Roman" w:cs="Times New Roman" w:eastAsia="Times New Roman" w:hAnsi="Times New Roman"/>
          <w:sz w:val="18"/>
          <w:szCs w:val="18"/>
          <w:u w:val="single" w:color="auto"/>
          <w:color w:val="000000"/>
        </w:rPr>
        <w:t>Divisions</w:t>
      </w:r>
      <w:r>
        <w:rPr>
          <w:rFonts w:ascii="Times New Roman" w:cs="Times New Roman" w:eastAsia="Times New Roman" w:hAnsi="Times New Roman"/>
          <w:sz w:val="18"/>
          <w:szCs w:val="18"/>
          <w:color w:val="000000"/>
        </w:rPr>
        <w:t>. For all purposes under the Loan Documents, in connection with any division or plan of division under Delaware law</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1.07 </w:t>
      </w:r>
      <w:r>
        <w:rPr>
          <w:rFonts w:ascii="Times New Roman" w:cs="Times New Roman" w:eastAsia="Times New Roman" w:hAnsi="Times New Roman"/>
          <w:sz w:val="18"/>
          <w:szCs w:val="18"/>
          <w:u w:val="single" w:color="auto"/>
          <w:color w:val="000000"/>
        </w:rPr>
        <w:t>Interest Rates</w:t>
      </w:r>
      <w:r>
        <w:rPr>
          <w:rFonts w:ascii="Times New Roman" w:cs="Times New Roman" w:eastAsia="Times New Roman" w:hAnsi="Times New Roman"/>
          <w:sz w:val="18"/>
          <w:szCs w:val="18"/>
          <w:color w:val="000000"/>
        </w:rPr>
        <w:t>. The Administrative Agent does not warrant or accept any responsibility for, and shall not have any liability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respect to, (a) the continuation of, administration of, submission of, calculation of or any other matter related to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000000"/>
        </w:rPr>
        <w:t>Section 3.03(c)</w:t>
      </w:r>
      <w:r>
        <w:rPr>
          <w:rFonts w:ascii="Times New Roman" w:cs="Times New Roman" w:eastAsia="Times New Roman" w:hAnsi="Times New Roman"/>
          <w:sz w:val="18"/>
          <w:szCs w:val="18"/>
          <w:color w:val="000000"/>
        </w:rPr>
        <w: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u w:val="single" w:color="auto"/>
          <w:color w:val="000000"/>
        </w:rPr>
        <w:t>Commitments</w:t>
      </w:r>
      <w:r>
        <w:rPr>
          <w:rFonts w:ascii="Times New Roman" w:cs="Times New Roman" w:eastAsia="Times New Roman" w:hAnsi="Times New Roman"/>
          <w:sz w:val="18"/>
          <w:szCs w:val="18"/>
          <w:color w:val="000000"/>
        </w:rPr>
        <w:t>. Subject to the terms and conditions set forth herein, each Lender severally agrees to make Revolving Loans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dollars to the Borrower during the Availability Period in an aggregate principal amount that will not result in (a) such Lender’s Revolving Credit Exposure exceeding such Lender’s Commitment or (b) the total Revolving Credit Exposures exceeding </w:t>
      </w:r>
      <w:r>
        <w:rPr>
          <w:rFonts w:ascii="Times New Roman" w:cs="Times New Roman" w:eastAsia="Times New Roman" w:hAnsi="Times New Roman"/>
          <w:sz w:val="18"/>
          <w:szCs w:val="18"/>
          <w:u w:val="single" w:color="auto"/>
          <w:color w:val="0000FF"/>
        </w:rPr>
        <w:t>(x) prior to the Endeavor Acquisition Effective Date,</w:t>
      </w:r>
      <w:r>
        <w:rPr>
          <w:rFonts w:ascii="Times New Roman" w:cs="Times New Roman" w:eastAsia="Times New Roman" w:hAnsi="Times New Roman"/>
          <w:sz w:val="18"/>
          <w:szCs w:val="18"/>
          <w:color w:val="000000"/>
        </w:rPr>
        <w:t xml:space="preserve"> the total </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(y) from and after the Endeavor Acquisition Effective Date, the total Commitments (it being understood and agreed,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avoidance of doubt, that prior to the Endeavor Acquisition Effective Date, the Existing Lenders will make Revolving Loans in accordance with their Existing Commitments, and from and after the Endeavor Acquisition Effective Date, the Lenders (including the Increased Lenders) will make Revolving Loans in accordance with their Commitments)</w:t>
      </w:r>
      <w:r>
        <w:rPr>
          <w:rFonts w:ascii="Times New Roman" w:cs="Times New Roman" w:eastAsia="Times New Roman" w:hAnsi="Times New Roman"/>
          <w:sz w:val="18"/>
          <w:szCs w:val="18"/>
          <w:color w:val="000000"/>
        </w:rPr>
        <w:t>. Within the foregoing limits and subject to the terms and conditions set forth herein, the Borrower may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borrow, repay and reborrow the Revolving Loans.</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2.02</w:t>
      </w:r>
      <w:r>
        <w:rPr>
          <w:sz w:val="20"/>
          <w:szCs w:val="20"/>
          <w:color w:val="auto"/>
        </w:rPr>
        <w:tab/>
      </w:r>
      <w:r>
        <w:rPr>
          <w:rFonts w:ascii="Times New Roman" w:cs="Times New Roman" w:eastAsia="Times New Roman" w:hAnsi="Times New Roman"/>
          <w:sz w:val="17"/>
          <w:szCs w:val="17"/>
          <w:u w:val="single" w:color="auto"/>
          <w:color w:val="auto"/>
        </w:rPr>
        <w:t>Revolving Loans and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77"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Borrowings; Several Obligations</w:t>
      </w:r>
      <w:r>
        <w:rPr>
          <w:rFonts w:ascii="Times New Roman" w:cs="Times New Roman" w:eastAsia="Times New Roman" w:hAnsi="Times New Roman"/>
          <w:sz w:val="18"/>
          <w:szCs w:val="18"/>
          <w:color w:val="auto"/>
        </w:rPr>
        <w:t xml:space="preserve">.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are several and no Lender shall be responsible for any other Lender’s failure to make Loans as required.</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866"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Types of Loans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each Revolving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79"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2085"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Minimum Amounts; Limitation on Number of Borrowings</w:t>
      </w:r>
      <w:r>
        <w:rPr>
          <w:rFonts w:ascii="Times New Roman" w:cs="Times New Roman" w:eastAsia="Times New Roman" w:hAnsi="Times New Roman"/>
          <w:sz w:val="18"/>
          <w:szCs w:val="18"/>
          <w:color w:val="auto"/>
        </w:rPr>
        <w:t xml:space="preserve">. At the commencement of each Interest Period for any SOFR Revolving Borrowing, such Borrowing shall be in an aggregate amount that is an integral multiple of $250,000 and not less than $250,000. At the time that each ABR Revolving Borrowing is made, such Borrowing shall be in an aggregate amount that is an integral multiple of $250,000 and not less than $250,000;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 ABR Revolving Borrowing may be in an aggregate amount that is equal to the entire unused balance of the total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Revolving Borrowings of more than one Type may be outstanding at the same time. Notwithstanding any other provision of this Agreement, the Borrower shall not be entitled to request, or to elect to convert or continue, any Revolving Borrowing if the Interest Period requested with respect thereto would end after the Maturity Date.</w:t>
      </w:r>
    </w:p>
    <w:p>
      <w:pPr>
        <w:spacing w:after="0" w:line="191"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06"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The Loans made by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Lender</w:t>
      </w:r>
      <w:r>
        <w:rPr>
          <w:rFonts w:ascii="Times New Roman" w:cs="Times New Roman" w:eastAsia="Times New Roman" w:hAnsi="Times New Roman"/>
          <w:sz w:val="18"/>
          <w:szCs w:val="18"/>
          <w:u w:val="single" w:color="auto"/>
          <w:color w:val="0000FF"/>
        </w:rPr>
        <w:t>, at the request of such Lender,</w:t>
      </w:r>
      <w:r>
        <w:rPr>
          <w:rFonts w:ascii="Times New Roman" w:cs="Times New Roman" w:eastAsia="Times New Roman" w:hAnsi="Times New Roman"/>
          <w:sz w:val="18"/>
          <w:szCs w:val="18"/>
          <w:color w:val="auto"/>
        </w:rPr>
        <w:t xml:space="preserve"> shall be evidenced by a single promissory note of the Borrower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dated, in the case of (i) any Lender party hereto as of the date of this Agreement, as of the date of this Agreement or (ii) any Lender that becomes a party hereto pursuant to an Assignment and Assumption, as of the effective date of the Assignment and Assumption, payable to such Lender in a principal amount equal to its Commitment as in effect on such date, and otherwise duly completed. In the event that any Lender’s Commitment increases or decreases for any reason (whether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or otherwise), the Borrower shall deliver or cause to be delivered on the effective date of such increase or decrease, a new Note payable to such Lender in a principal amount equal to its Commitment after giving effect to such increase or decrease, and otherwise duly completed. The date, amount, Type, interest rate and, if applicable, Interest Period of each Loan made by each Lender, and all payments made on account of the principal thereof, shall be recorded by such Lender on its books for its Note, and, prior to any transfer, may be endorsed by such Lender on a schedule attached to such Note or any continuation thereof or on any separate record maintained by such Lender. Failure to make any such notation or to attach a schedule shall not affect any Lender’s or the Borrower’s rights or obligations in respect of such Loans or affect the validity of such transfer by any Lender of its Note.</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ind w:left="1960" w:hanging="656"/>
        <w:spacing w:after="0"/>
        <w:tabs>
          <w:tab w:leader="none" w:pos="1960" w:val="left"/>
        </w:tabs>
        <w:numPr>
          <w:ilvl w:val="0"/>
          <w:numId w:val="12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rPr>
        <w:t>Loans and Borrowings under the Existing Credit Agreement</w:t>
      </w:r>
      <w:r>
        <w:rPr>
          <w:rFonts w:ascii="Times New Roman" w:cs="Times New Roman" w:eastAsia="Times New Roman" w:hAnsi="Times New Roman"/>
          <w:sz w:val="18"/>
          <w:szCs w:val="18"/>
          <w:color w:val="FF0000"/>
        </w:rPr>
        <w:t>. On the Effective Date:</w:t>
      </w:r>
    </w:p>
    <w:p>
      <w:pPr>
        <w:spacing w:after="0" w:line="225" w:lineRule="exact"/>
        <w:rPr>
          <w:rFonts w:ascii="Times New Roman" w:cs="Times New Roman" w:eastAsia="Times New Roman" w:hAnsi="Times New Roman"/>
          <w:sz w:val="18"/>
          <w:szCs w:val="18"/>
          <w:color w:val="FF0000"/>
        </w:rPr>
      </w:pPr>
    </w:p>
    <w:p>
      <w:pPr>
        <w:ind w:firstLine="1952"/>
        <w:spacing w:after="0" w:line="282" w:lineRule="auto"/>
        <w:tabs>
          <w:tab w:leader="none" w:pos="2451" w:val="left"/>
        </w:tabs>
        <w:numPr>
          <w:ilvl w:val="1"/>
          <w:numId w:val="12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Borrower shall pay all accrued and unpaid commitment fees, break funding fees under </w:t>
      </w:r>
      <w:r>
        <w:rPr>
          <w:rFonts w:ascii="Times New Roman" w:cs="Times New Roman" w:eastAsia="Times New Roman" w:hAnsi="Times New Roman"/>
          <w:sz w:val="18"/>
          <w:szCs w:val="18"/>
          <w:u w:val="single" w:color="auto"/>
          <w:color w:val="FF0000"/>
        </w:rPr>
        <w:t>Section 5.02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 all other fees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that are outstanding under the Existing Credit Agreement for the account of each “Lender” under the Existing Credit Agreement;</w:t>
      </w:r>
    </w:p>
    <w:p>
      <w:pPr>
        <w:spacing w:after="0" w:line="161" w:lineRule="exact"/>
        <w:rPr>
          <w:rFonts w:ascii="Times New Roman" w:cs="Times New Roman" w:eastAsia="Times New Roman" w:hAnsi="Times New Roman"/>
          <w:sz w:val="18"/>
          <w:szCs w:val="18"/>
          <w:color w:val="FF0000"/>
        </w:rPr>
      </w:pPr>
    </w:p>
    <w:p>
      <w:pPr>
        <w:ind w:firstLine="1952"/>
        <w:spacing w:after="0" w:line="282" w:lineRule="auto"/>
        <w:tabs>
          <w:tab w:leader="none" w:pos="2489" w:val="left"/>
        </w:tabs>
        <w:numPr>
          <w:ilvl w:val="1"/>
          <w:numId w:val="12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“ABR Loan” and “Eurodollar Loan” (as defined in the Existing Credit Agreement) outstanding under the Existing Credit Agreement shall be deemed to be continued as existing Loans under this Agreement and not as a novation;</w:t>
      </w:r>
    </w:p>
    <w:p>
      <w:pPr>
        <w:spacing w:after="0" w:line="161" w:lineRule="exact"/>
        <w:rPr>
          <w:rFonts w:ascii="Times New Roman" w:cs="Times New Roman" w:eastAsia="Times New Roman" w:hAnsi="Times New Roman"/>
          <w:sz w:val="18"/>
          <w:szCs w:val="18"/>
          <w:color w:val="FF0000"/>
          <w:strike w:val="1"/>
        </w:rPr>
      </w:pPr>
    </w:p>
    <w:p>
      <w:pPr>
        <w:ind w:left="2440" w:hanging="488"/>
        <w:spacing w:after="0"/>
        <w:tabs>
          <w:tab w:leader="none" w:pos="2440" w:val="left"/>
        </w:tabs>
        <w:numPr>
          <w:ilvl w:val="1"/>
          <w:numId w:val="12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letters of credit outstanding under the Existing Credit Agreement shall be deemed issued under this Agreement; and</w:t>
      </w:r>
    </w:p>
    <w:p>
      <w:pPr>
        <w:spacing w:after="0" w:line="225" w:lineRule="exact"/>
        <w:rPr>
          <w:rFonts w:ascii="Times New Roman" w:cs="Times New Roman" w:eastAsia="Times New Roman" w:hAnsi="Times New Roman"/>
          <w:sz w:val="18"/>
          <w:szCs w:val="18"/>
          <w:color w:val="FF0000"/>
          <w:strike w:val="1"/>
        </w:rPr>
      </w:pPr>
    </w:p>
    <w:p>
      <w:pPr>
        <w:ind w:left="2440" w:hanging="488"/>
        <w:spacing w:after="0"/>
        <w:tabs>
          <w:tab w:leader="none" w:pos="2440" w:val="left"/>
        </w:tabs>
        <w:numPr>
          <w:ilvl w:val="1"/>
          <w:numId w:val="12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Existing Credit Agreement and the commitments thereunder shall be superseded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-1430655</wp:posOffset>
            </wp:positionV>
            <wp:extent cx="42557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5577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-1156335</wp:posOffset>
            </wp:positionV>
            <wp:extent cx="50679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6793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FF0000"/>
          <w:strike w:val="1"/>
        </w:rPr>
        <w:t>It is the intent of the parties hereto that this Agreement not constitute a novation of the obligations and liabilities existing under the Existing Credit Agreement or evidence repayment of any such obligations and liabilities and that this Agreement amend and restate in its entirety the Existing Credit Agreement and re-evidence the obligations of the Borrower outstanding thereunder. To the extent not amended and restated or otherwise released or modified as of or after the Effective Date, the Loan Documents executed in connection with the Existing Credit Agreement and in effect prior to the Effective Date (the “</w:t>
      </w:r>
      <w:r>
        <w:rPr>
          <w:rFonts w:ascii="Times New Roman" w:cs="Times New Roman" w:eastAsia="Times New Roman" w:hAnsi="Times New Roman"/>
          <w:sz w:val="18"/>
          <w:szCs w:val="18"/>
          <w:u w:val="single" w:color="auto"/>
          <w:color w:val="FF0000"/>
          <w:strike w:val="1"/>
        </w:rPr>
        <w:t>Existing Loan Documents</w:t>
      </w:r>
      <w:r>
        <w:rPr>
          <w:rFonts w:ascii="Times New Roman" w:cs="Times New Roman" w:eastAsia="Times New Roman" w:hAnsi="Times New Roman"/>
          <w:sz w:val="18"/>
          <w:szCs w:val="18"/>
          <w:color w:val="FF0000"/>
          <w:strike w:val="1"/>
        </w:rPr>
        <w:t>”) shall continue in full force and effect, are hereby ratified, reaffirmed and confirmed in all respects, and shall, for the avoidance of doubt, constitute “Loan Documents” under this Agreement. The terms of the Loan Documents that correspond to the Existing Loan Documents that have been amended and restated as of the Effective Date shall govern for any period occurring on or after the Effective Date (in each case, unless and until subsequently further amended), and the terms of such Existing Loan Documents prior to their amendment and restatement shall govern for any period beginning before the Effective Date and ending on the day immediately preceding the Effective Date. In furtherance of the foregoing, each reference in any Loan Document to the “Credit Agreement”, any other Loan Document that is being amended and restated as of the Effective Date, “thereunder”, “thereof” or words of like import, is hereby amended, mutatis mutandis, as applicable in the context, to be a reference to, and shall thereafter mean, this Agreement or such other amended and restated Loan Document, as applicable in the context (as each may be amended, modified or supplemented and in effect from time to time) and the definition of any term defined in any Loan Document by reference to the terms defined in the “Credit Agreement” or any other Loan Document that is being amended and restated as of the Effective Date is hereby amended to be defined by reference to the defined term in this Agreement or such other amended and restated Loan Document, as applicable (as each may be amended, modified or supplemented and in effect from time to time).</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2.03 </w:t>
      </w:r>
      <w:r>
        <w:rPr>
          <w:rFonts w:ascii="Times New Roman" w:cs="Times New Roman" w:eastAsia="Times New Roman" w:hAnsi="Times New Roman"/>
          <w:sz w:val="18"/>
          <w:szCs w:val="18"/>
          <w:u w:val="single" w:color="auto"/>
          <w:color w:val="000000"/>
        </w:rPr>
        <w:t>Requests for Revolving Borrowings</w:t>
      </w:r>
      <w:r>
        <w:rPr>
          <w:rFonts w:ascii="Times New Roman" w:cs="Times New Roman" w:eastAsia="Times New Roman" w:hAnsi="Times New Roman"/>
          <w:sz w:val="18"/>
          <w:szCs w:val="18"/>
          <w:color w:val="000000"/>
        </w:rPr>
        <w:t>. To request a Revolving Borrowing, the Borrower shall notify the Administrative Agent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such request by telephone </w:t>
      </w:r>
      <w:r>
        <w:rPr>
          <w:rFonts w:ascii="Times New Roman" w:cs="Times New Roman" w:eastAsia="Times New Roman" w:hAnsi="Times New Roman"/>
          <w:sz w:val="18"/>
          <w:szCs w:val="18"/>
          <w:u w:val="single" w:color="auto"/>
          <w:color w:val="0000FF"/>
        </w:rPr>
        <w:t>or in writing</w:t>
      </w:r>
      <w:r>
        <w:rPr>
          <w:rFonts w:ascii="Times New Roman" w:cs="Times New Roman" w:eastAsia="Times New Roman" w:hAnsi="Times New Roman"/>
          <w:sz w:val="18"/>
          <w:szCs w:val="18"/>
          <w:color w:val="000000"/>
        </w:rPr>
        <w:t xml:space="preserve"> (a) in the case of a SOFR Borrowing, not later than </w:t>
      </w:r>
      <w:r>
        <w:rPr>
          <w:rFonts w:ascii="Times New Roman" w:cs="Times New Roman" w:eastAsia="Times New Roman" w:hAnsi="Times New Roman"/>
          <w:sz w:val="18"/>
          <w:szCs w:val="18"/>
          <w:color w:val="FF0000"/>
          <w:strike w:val="1"/>
        </w:rPr>
        <w:t>12:00 noon</w:t>
      </w:r>
      <w:r>
        <w:rPr>
          <w:rFonts w:ascii="Times New Roman" w:cs="Times New Roman" w:eastAsia="Times New Roman" w:hAnsi="Times New Roman"/>
          <w:sz w:val="18"/>
          <w:szCs w:val="18"/>
          <w:u w:val="single" w:color="auto"/>
          <w:color w:val="0000FF"/>
        </w:rPr>
        <w:t>1:00 P.M.</w:t>
      </w:r>
      <w:r>
        <w:rPr>
          <w:rFonts w:ascii="Times New Roman" w:cs="Times New Roman" w:eastAsia="Times New Roman" w:hAnsi="Times New Roman"/>
          <w:sz w:val="18"/>
          <w:szCs w:val="18"/>
          <w:color w:val="000000"/>
        </w:rPr>
        <w:t xml:space="preserve">, Houston, Texas time, three U.S. Government Securities Business Days before the date of the proposed SOFR Borrowing or (b) in the case of an ABR Borrowing, not later than 11:00 A.M., Houston, Texas time, on the Business Day of the proposed ABR Borrowing;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notice shall be required for any deemed request of an ABR Borrowing to finance the reimbursement of an LC Disbursement as provided in </w:t>
      </w:r>
      <w:r>
        <w:rPr>
          <w:rFonts w:ascii="Times New Roman" w:cs="Times New Roman" w:eastAsia="Times New Roman" w:hAnsi="Times New Roman"/>
          <w:sz w:val="18"/>
          <w:szCs w:val="18"/>
          <w:u w:val="single" w:color="auto"/>
          <w:color w:val="000000"/>
        </w:rPr>
        <w:t>Section 2.08(e)</w:t>
      </w:r>
      <w:r>
        <w:rPr>
          <w:rFonts w:ascii="Times New Roman" w:cs="Times New Roman" w:eastAsia="Times New Roman" w:hAnsi="Times New Roman"/>
          <w:sz w:val="18"/>
          <w:szCs w:val="18"/>
          <w:color w:val="000000"/>
        </w:rPr>
        <w:t xml:space="preserve">. Each such telephonic </w:t>
      </w:r>
      <w:r>
        <w:rPr>
          <w:rFonts w:ascii="Times New Roman" w:cs="Times New Roman" w:eastAsia="Times New Roman" w:hAnsi="Times New Roman"/>
          <w:sz w:val="18"/>
          <w:szCs w:val="18"/>
          <w:u w:val="single" w:color="auto"/>
          <w:color w:val="0000FF"/>
        </w:rPr>
        <w:t>and written</w:t>
      </w:r>
      <w:r>
        <w:rPr>
          <w:rFonts w:ascii="Times New Roman" w:cs="Times New Roman" w:eastAsia="Times New Roman" w:hAnsi="Times New Roman"/>
          <w:sz w:val="18"/>
          <w:szCs w:val="18"/>
          <w:color w:val="000000"/>
        </w:rPr>
        <w:t xml:space="preserve"> Borrowing Request shall be irrevocable and shall be confirmed promptly </w:t>
      </w:r>
      <w:r>
        <w:rPr>
          <w:rFonts w:ascii="Times New Roman" w:cs="Times New Roman" w:eastAsia="Times New Roman" w:hAnsi="Times New Roman"/>
          <w:sz w:val="18"/>
          <w:szCs w:val="18"/>
          <w:u w:val="single" w:color="auto"/>
          <w:color w:val="0000FF"/>
        </w:rPr>
        <w:t>(in the case of a telephonic request) and delivered (in the case of a written request)</w:t>
      </w:r>
      <w:r>
        <w:rPr>
          <w:rFonts w:ascii="Times New Roman" w:cs="Times New Roman" w:eastAsia="Times New Roman" w:hAnsi="Times New Roman"/>
          <w:sz w:val="18"/>
          <w:szCs w:val="18"/>
          <w:color w:val="000000"/>
        </w:rPr>
        <w:t xml:space="preserve"> by </w:t>
      </w:r>
      <w:r>
        <w:rPr>
          <w:rFonts w:ascii="Times New Roman" w:cs="Times New Roman" w:eastAsia="Times New Roman" w:hAnsi="Times New Roman"/>
          <w:sz w:val="18"/>
          <w:szCs w:val="18"/>
          <w:color w:val="FF0000"/>
          <w:strike w:val="1"/>
        </w:rPr>
        <w:t>hand</w:t>
      </w:r>
      <w:r>
        <w:rPr>
          <w:rFonts w:ascii="Times New Roman" w:cs="Times New Roman" w:eastAsia="Times New Roman" w:hAnsi="Times New Roman"/>
          <w:sz w:val="18"/>
          <w:szCs w:val="18"/>
          <w:color w:val="000000"/>
        </w:rPr>
        <w:t xml:space="preserve"> delivery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electronic communication or telecopy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the Administrative Agent of a written Borrowing Request in substantially the form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Exhibit 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signed by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Parent Guarantor and the Borrower. Each such telephonic and written Borrowing Request shall specify the following information in compliance with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ind w:left="2520" w:hanging="568"/>
        <w:spacing w:after="0"/>
        <w:tabs>
          <w:tab w:leader="none" w:pos="2520"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amount of the requested Borrowing;</w:t>
      </w:r>
    </w:p>
    <w:p>
      <w:pPr>
        <w:spacing w:after="0" w:line="225" w:lineRule="exact"/>
        <w:rPr>
          <w:rFonts w:ascii="Times New Roman" w:cs="Times New Roman" w:eastAsia="Times New Roman" w:hAnsi="Times New Roman"/>
          <w:sz w:val="18"/>
          <w:szCs w:val="18"/>
          <w:color w:val="010000"/>
        </w:rPr>
      </w:pPr>
    </w:p>
    <w:p>
      <w:pPr>
        <w:ind w:left="2540" w:hanging="588"/>
        <w:spacing w:after="0"/>
        <w:tabs>
          <w:tab w:leader="none" w:pos="2540"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010000"/>
        </w:rPr>
      </w:pPr>
    </w:p>
    <w:p>
      <w:pPr>
        <w:ind w:left="2540" w:hanging="588"/>
        <w:spacing w:after="0"/>
        <w:tabs>
          <w:tab w:leader="none" w:pos="2540"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such Borrowing is to be an ABR Borrowing or a SOFR Borrowing;</w:t>
      </w:r>
    </w:p>
    <w:p>
      <w:pPr>
        <w:spacing w:after="0" w:line="225" w:lineRule="exact"/>
        <w:rPr>
          <w:rFonts w:ascii="Times New Roman" w:cs="Times New Roman" w:eastAsia="Times New Roman" w:hAnsi="Times New Roman"/>
          <w:sz w:val="18"/>
          <w:szCs w:val="18"/>
          <w:color w:val="010000"/>
        </w:rPr>
      </w:pPr>
    </w:p>
    <w:p>
      <w:pPr>
        <w:ind w:firstLine="1952"/>
        <w:spacing w:after="0" w:line="282" w:lineRule="auto"/>
        <w:tabs>
          <w:tab w:leader="none" w:pos="2775"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SOFR Borrowing, the initial Interest Period to be applicable thereto, which shall be a period contemplated by the definition of the term “Interest Period”;</w:t>
      </w:r>
    </w:p>
    <w:p>
      <w:pPr>
        <w:spacing w:after="0" w:line="161" w:lineRule="exact"/>
        <w:rPr>
          <w:rFonts w:ascii="Times New Roman" w:cs="Times New Roman" w:eastAsia="Times New Roman" w:hAnsi="Times New Roman"/>
          <w:sz w:val="18"/>
          <w:szCs w:val="18"/>
          <w:color w:val="010000"/>
        </w:rPr>
      </w:pPr>
    </w:p>
    <w:p>
      <w:pPr>
        <w:ind w:firstLine="1952"/>
        <w:spacing w:after="0" w:line="282" w:lineRule="auto"/>
        <w:tabs>
          <w:tab w:leader="none" w:pos="2703"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current total Revolving Credit Exposures (without regard to the requested Borrowing) and the pro forma total Revolving Credit Exposures (giving effect to the requested Borrowing); and</w:t>
      </w:r>
    </w:p>
    <w:p>
      <w:pPr>
        <w:spacing w:after="0" w:line="161" w:lineRule="exact"/>
        <w:rPr>
          <w:rFonts w:ascii="Times New Roman" w:cs="Times New Roman" w:eastAsia="Times New Roman" w:hAnsi="Times New Roman"/>
          <w:sz w:val="18"/>
          <w:szCs w:val="18"/>
          <w:color w:val="010000"/>
        </w:rPr>
      </w:pPr>
    </w:p>
    <w:p>
      <w:pPr>
        <w:ind w:left="2640" w:hanging="688"/>
        <w:spacing w:after="0"/>
        <w:tabs>
          <w:tab w:leader="none" w:pos="2640"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location and number of the Borrower’s account to which funds are to be disbursed, which shall comply with the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requirements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no election as to the Type of Revolving Borrowing is specified, then the requested Borrowing shall be an ABR Borrowing. If no Interest Period is specified with respect to any requested SOFR Revolving Borrowing, then the Borrower shall be deemed to have selected an Interest Period of one month’s duration. Each Borrowing Request shall constitute a representation that the amount of the requested Borrowing shall not cause the total Revolving Credit Exposures to exceed </w:t>
      </w:r>
      <w:r>
        <w:rPr>
          <w:rFonts w:ascii="Times New Roman" w:cs="Times New Roman" w:eastAsia="Times New Roman" w:hAnsi="Times New Roman"/>
          <w:sz w:val="18"/>
          <w:szCs w:val="18"/>
          <w:u w:val="single" w:color="auto"/>
          <w:color w:val="0000FF"/>
        </w:rPr>
        <w:t>(x) prior to the Endeavor Acquisition Effective Date, the total Existing Commitments and (y) from and after the Endeavor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 Commitments.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Lender of the details thereof and of the amount of such Lender’s Loan to be made as part of the requested Borrowing.</w:t>
      </w:r>
    </w:p>
    <w:p>
      <w:pPr>
        <w:spacing w:after="0" w:line="16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2.04</w:t>
      </w:r>
      <w:r>
        <w:rPr>
          <w:sz w:val="20"/>
          <w:szCs w:val="20"/>
          <w:color w:val="auto"/>
        </w:rPr>
        <w:tab/>
      </w:r>
      <w:r>
        <w:rPr>
          <w:rFonts w:ascii="Times New Roman" w:cs="Times New Roman" w:eastAsia="Times New Roman" w:hAnsi="Times New Roman"/>
          <w:sz w:val="17"/>
          <w:szCs w:val="17"/>
          <w:u w:val="single" w:color="auto"/>
          <w:color w:val="auto"/>
        </w:rPr>
        <w:t>Interest Elections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77"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and Continuance</w:t>
      </w:r>
      <w:r>
        <w:rPr>
          <w:rFonts w:ascii="Times New Roman" w:cs="Times New Roman" w:eastAsia="Times New Roman" w:hAnsi="Times New Roman"/>
          <w:sz w:val="18"/>
          <w:szCs w:val="18"/>
          <w:color w:val="auto"/>
        </w:rPr>
        <w:t xml:space="preserve">. Each Revolving Borrowing initially shall be of the Type specified in the applicable Borrowing Request and, in the case of a SOFR Revolving Borrowing, shall have an initial Interest Period as specified in such Borrowing Request. Thereafter, the Borrower may elect to convert such Borrowing to a different Type or to continue such Borrowing and, in the case of a SOFR Revolving Borrowing, may elect Interest Periods therefor, all as provided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both"/>
        <w:ind w:firstLine="1304"/>
        <w:spacing w:after="0" w:line="258" w:lineRule="auto"/>
        <w:tabs>
          <w:tab w:leader="none" w:pos="2117"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Interest Election Requests</w:t>
      </w:r>
      <w:r>
        <w:rPr>
          <w:rFonts w:ascii="Times New Roman" w:cs="Times New Roman" w:eastAsia="Times New Roman" w:hAnsi="Times New Roman"/>
          <w:sz w:val="18"/>
          <w:szCs w:val="18"/>
          <w:color w:val="auto"/>
        </w:rPr>
        <w:t xml:space="preserve">. To make an election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Borrower shall notify the Administrative Agent of such election by telephone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was requesting a Revolving Borrowing of the Type resulting from such election to be made on the effective date of such election. Each such telephonic Interest Election Request shall be irrevocable and shall be confirmed promptly by hand delivery, electronic communication or telecopy to the Administrative Agent of a written Interest Election Request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signed by the Parent Guarantor and the Borrower.</w:t>
      </w:r>
    </w:p>
    <w:p>
      <w:pPr>
        <w:spacing w:after="0" w:line="183" w:lineRule="exact"/>
        <w:rPr>
          <w:rFonts w:ascii="Times New Roman" w:cs="Times New Roman" w:eastAsia="Times New Roman" w:hAnsi="Times New Roman"/>
          <w:sz w:val="18"/>
          <w:szCs w:val="18"/>
          <w:color w:val="010000"/>
        </w:rPr>
      </w:pPr>
    </w:p>
    <w:p>
      <w:pPr>
        <w:ind w:right="20" w:firstLine="1304"/>
        <w:spacing w:after="0" w:line="282" w:lineRule="auto"/>
        <w:tabs>
          <w:tab w:leader="none" w:pos="2094"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Information in Interest Election Requests</w:t>
      </w:r>
      <w:r>
        <w:rPr>
          <w:rFonts w:ascii="Times New Roman" w:cs="Times New Roman" w:eastAsia="Times New Roman" w:hAnsi="Times New Roman"/>
          <w:sz w:val="18"/>
          <w:szCs w:val="18"/>
          <w:color w:val="auto"/>
        </w:rPr>
        <w:t xml:space="preserve">. 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46" w:val="left"/>
        </w:tabs>
        <w:numPr>
          <w:ilvl w:val="1"/>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specified for each resulting Borrowing);</w:t>
      </w:r>
    </w:p>
    <w:p>
      <w:pPr>
        <w:spacing w:after="0" w:line="175" w:lineRule="exact"/>
        <w:rPr>
          <w:rFonts w:ascii="Times New Roman" w:cs="Times New Roman" w:eastAsia="Times New Roman" w:hAnsi="Times New Roman"/>
          <w:sz w:val="18"/>
          <w:szCs w:val="18"/>
          <w:color w:val="010000"/>
        </w:rPr>
      </w:pPr>
    </w:p>
    <w:p>
      <w:pPr>
        <w:ind w:left="2540" w:hanging="588"/>
        <w:spacing w:after="0"/>
        <w:tabs>
          <w:tab w:leader="none" w:pos="2540" w:val="left"/>
        </w:tabs>
        <w:numPr>
          <w:ilvl w:val="1"/>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010000"/>
        </w:rPr>
      </w:pPr>
    </w:p>
    <w:p>
      <w:pPr>
        <w:ind w:left="2540" w:hanging="588"/>
        <w:spacing w:after="0"/>
        <w:tabs>
          <w:tab w:leader="none" w:pos="2540" w:val="left"/>
        </w:tabs>
        <w:numPr>
          <w:ilvl w:val="1"/>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the resulting Borrowing is to be an ABR Borrowing or a SOFR Borrowing; and</w:t>
      </w:r>
    </w:p>
    <w:p>
      <w:pPr>
        <w:spacing w:after="0" w:line="225" w:lineRule="exact"/>
        <w:rPr>
          <w:rFonts w:ascii="Times New Roman" w:cs="Times New Roman" w:eastAsia="Times New Roman" w:hAnsi="Times New Roman"/>
          <w:sz w:val="18"/>
          <w:szCs w:val="18"/>
          <w:color w:val="010000"/>
        </w:rPr>
      </w:pPr>
    </w:p>
    <w:p>
      <w:pPr>
        <w:ind w:firstLine="1952"/>
        <w:spacing w:after="0" w:line="282" w:lineRule="auto"/>
        <w:tabs>
          <w:tab w:leader="none" w:pos="2572" w:val="left"/>
        </w:tabs>
        <w:numPr>
          <w:ilvl w:val="1"/>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the Borrower shall be deemed to have selected an Interest Period of one month’s duration.</w:t>
      </w:r>
    </w:p>
    <w:p>
      <w:pPr>
        <w:spacing w:after="0" w:line="162" w:lineRule="exact"/>
        <w:rPr>
          <w:sz w:val="20"/>
          <w:szCs w:val="20"/>
          <w:color w:val="auto"/>
        </w:rPr>
      </w:pPr>
    </w:p>
    <w:p>
      <w:pPr>
        <w:ind w:firstLine="1304"/>
        <w:spacing w:after="0" w:line="282" w:lineRule="auto"/>
        <w:tabs>
          <w:tab w:leader="none" w:pos="2009"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to Lenders by the Administrative Agent</w:t>
      </w:r>
      <w:r>
        <w:rPr>
          <w:rFonts w:ascii="Times New Roman" w:cs="Times New Roman" w:eastAsia="Times New Roman" w:hAnsi="Times New Roman"/>
          <w:sz w:val="18"/>
          <w:szCs w:val="18"/>
          <w:color w:val="auto"/>
        </w:rPr>
        <w:t>. 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72"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 of Failure to Deliver Timely Interest Election Request and Events of Default on Interest Election</w:t>
      </w:r>
      <w:r>
        <w:rPr>
          <w:rFonts w:ascii="Times New Roman" w:cs="Times New Roman" w:eastAsia="Times New Roman" w:hAnsi="Times New Roman"/>
          <w:sz w:val="18"/>
          <w:szCs w:val="18"/>
          <w:color w:val="auto"/>
        </w:rPr>
        <w:t>. If the Borrower fails to deliver a timely Interest Election Request with respect to a SOFR Borrowing prior to the end of the Interest Period applicable thereto, then, unless such Borrowing is repaid as provided herein, at the end of such Interest Period such Borrowing shall be automatically continued as a SOFR Borrowing with an Interest Period of one-month’s duration. Any such continuation shall be effective as of the last day of the Interest Period then in effect with respect to the applicable SOFR Loan. Notwithstanding any contrary provision hereof, if an Event of Default has occurred and is continuing, no outstanding Borrowing may be converted to or continued as a SOFR Borrowing (and any Interest Election Request that requests the conversion of any Borrowing to, or continuation of any Borrowing as, a SOFR Borrowing shall be ineffective) and unless repaid, each SOFR Borrowing shall be converted to an ABR Borrowing at the end of the Interest Period applicable thereto.</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2.05</w:t>
      </w:r>
      <w:r>
        <w:rPr>
          <w:sz w:val="20"/>
          <w:szCs w:val="20"/>
          <w:color w:val="auto"/>
        </w:rPr>
        <w:tab/>
      </w:r>
      <w:r>
        <w:rPr>
          <w:rFonts w:ascii="Times New Roman" w:cs="Times New Roman" w:eastAsia="Times New Roman" w:hAnsi="Times New Roman"/>
          <w:sz w:val="17"/>
          <w:szCs w:val="17"/>
          <w:u w:val="single" w:color="auto"/>
          <w:color w:val="auto"/>
        </w:rPr>
        <w:t>Funding of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69"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Funding by Lenders</w:t>
      </w:r>
      <w:r>
        <w:rPr>
          <w:rFonts w:ascii="Times New Roman" w:cs="Times New Roman" w:eastAsia="Times New Roman" w:hAnsi="Times New Roman"/>
          <w:sz w:val="18"/>
          <w:szCs w:val="18"/>
          <w:color w:val="auto"/>
        </w:rPr>
        <w:t xml:space="preserve">. Each Lender shall make each Loan to be made by it hereunder on the proposed date thereof by wire transfer of immediately available funds by </w:t>
      </w:r>
      <w:r>
        <w:rPr>
          <w:rFonts w:ascii="Times New Roman" w:cs="Times New Roman" w:eastAsia="Times New Roman" w:hAnsi="Times New Roman"/>
          <w:sz w:val="18"/>
          <w:szCs w:val="18"/>
          <w:color w:val="FF0000"/>
          <w:strike w:val="1"/>
        </w:rPr>
        <w:t>1:00 p</w:t>
      </w:r>
      <w:r>
        <w:rPr>
          <w:rFonts w:ascii="Times New Roman" w:cs="Times New Roman" w:eastAsia="Times New Roman" w:hAnsi="Times New Roman"/>
          <w:sz w:val="18"/>
          <w:szCs w:val="18"/>
          <w:u w:val="single" w:color="auto"/>
          <w:color w:val="0000FF"/>
        </w:rPr>
        <w:t>(i) in the case of a SOFR Loan, 10:00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m</w:t>
      </w: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auto"/>
        </w:rPr>
        <w:t xml:space="preserve">., Houston, Texas time </w:t>
      </w:r>
      <w:r>
        <w:rPr>
          <w:rFonts w:ascii="Times New Roman" w:cs="Times New Roman" w:eastAsia="Times New Roman" w:hAnsi="Times New Roman"/>
          <w:sz w:val="18"/>
          <w:szCs w:val="18"/>
          <w:u w:val="single" w:color="auto"/>
          <w:color w:val="0000FF"/>
        </w:rPr>
        <w:t>and (ii) in the case of an ABR Loan, 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P.M., Houston, Texas time, in each case</w:t>
      </w:r>
      <w:r>
        <w:rPr>
          <w:rFonts w:ascii="Times New Roman" w:cs="Times New Roman" w:eastAsia="Times New Roman" w:hAnsi="Times New Roman"/>
          <w:sz w:val="18"/>
          <w:szCs w:val="18"/>
          <w:color w:val="000000"/>
        </w:rPr>
        <w:t>, to the account of the Administrative Agent most recently designated by it for such purpose by notice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Lenders;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Swingline Loans shall be made as provided in </w:t>
      </w:r>
      <w:r>
        <w:rPr>
          <w:rFonts w:ascii="Times New Roman" w:cs="Times New Roman" w:eastAsia="Times New Roman" w:hAnsi="Times New Roman"/>
          <w:sz w:val="18"/>
          <w:szCs w:val="18"/>
          <w:u w:val="single" w:color="auto"/>
          <w:color w:val="000000"/>
        </w:rPr>
        <w:t>Section 2.11</w:t>
      </w:r>
      <w:r>
        <w:rPr>
          <w:rFonts w:ascii="Times New Roman" w:cs="Times New Roman" w:eastAsia="Times New Roman" w:hAnsi="Times New Roman"/>
          <w:sz w:val="18"/>
          <w:szCs w:val="18"/>
          <w:color w:val="000000"/>
        </w:rPr>
        <w:t xml:space="preserve">. The Administrative Agent will make such Loans available to the Borrower by promptly crediting the amounts so received, in like funds, to an account of the Borrower maintained with the Administrative Agent in Houston, Texas and designated by the Borrower in the applicable Borrowing Request;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ABR Revolving Loans made to finance the reimbursement of an LC Disbursement as provided in </w:t>
      </w:r>
      <w:r>
        <w:rPr>
          <w:rFonts w:ascii="Times New Roman" w:cs="Times New Roman" w:eastAsia="Times New Roman" w:hAnsi="Times New Roman"/>
          <w:sz w:val="18"/>
          <w:szCs w:val="18"/>
          <w:u w:val="single" w:color="auto"/>
          <w:color w:val="000000"/>
        </w:rPr>
        <w:t>Section 2.08(e)</w:t>
      </w:r>
      <w:r>
        <w:rPr>
          <w:rFonts w:ascii="Times New Roman" w:cs="Times New Roman" w:eastAsia="Times New Roman" w:hAnsi="Times New Roman"/>
          <w:sz w:val="18"/>
          <w:szCs w:val="18"/>
          <w:color w:val="000000"/>
        </w:rPr>
        <w:t xml:space="preserve"> shall be remitted by the Administrative Agent to the Issuing Bank. Nothing herein shall be deemed to obligate any Lender to obtain the funds for its Loan in any particular place or manner or to constitute a representation by any Lender that it has obtained or will obtain the funds for its Loan in any particular place or manner.</w:t>
      </w:r>
    </w:p>
    <w:p>
      <w:pPr>
        <w:spacing w:after="0" w:line="188"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20"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Presumption of Funding by the Lenders</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9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2.06</w:t>
      </w:r>
      <w:r>
        <w:rPr>
          <w:sz w:val="20"/>
          <w:szCs w:val="20"/>
          <w:color w:val="auto"/>
        </w:rPr>
        <w:tab/>
      </w:r>
      <w:r>
        <w:rPr>
          <w:rFonts w:ascii="Times New Roman" w:cs="Times New Roman" w:eastAsia="Times New Roman" w:hAnsi="Times New Roman"/>
          <w:sz w:val="17"/>
          <w:szCs w:val="17"/>
          <w:u w:val="single" w:color="auto"/>
          <w:color w:val="auto"/>
        </w:rPr>
        <w:t>Termination, Reduction, and Increase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09"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Scheduled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Commitments</w:t>
      </w:r>
      <w:r>
        <w:rPr>
          <w:rFonts w:ascii="Times New Roman" w:cs="Times New Roman" w:eastAsia="Times New Roman" w:hAnsi="Times New Roman"/>
          <w:sz w:val="18"/>
          <w:szCs w:val="18"/>
          <w:color w:val="auto"/>
        </w:rPr>
        <w:t xml:space="preserve">. Unless previously terminated, the Commitments shall terminate on the Maturity Date. </w:t>
      </w:r>
      <w:r>
        <w:rPr>
          <w:rFonts w:ascii="Times New Roman" w:cs="Times New Roman" w:eastAsia="Times New Roman" w:hAnsi="Times New Roman"/>
          <w:sz w:val="18"/>
          <w:szCs w:val="18"/>
          <w:u w:val="single" w:color="auto"/>
          <w:color w:val="0000FF"/>
        </w:rPr>
        <w:t>In addition, upon the Endeavor Acquisition Termination Date, if the Endeavor Acquisition Effective Date has not occurred, the Increased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 shall be automatically terminated.</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ind w:left="1960" w:hanging="656"/>
        <w:spacing w:after="0"/>
        <w:tabs>
          <w:tab w:leader="none" w:pos="1960"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Optional Termination and Reduction of Commitments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58" w:lineRule="auto"/>
        <w:tabs>
          <w:tab w:leader="none" w:pos="2662" w:val="left"/>
        </w:tabs>
        <w:numPr>
          <w:ilvl w:val="1"/>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at any time terminate, or from time to time reduce, the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reduction of the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color w:val="auto"/>
        </w:rPr>
        <w:t xml:space="preserve"> Commitments shall be in an amount that is an integral multiple of $1,000,000 and not less than $1,000,000 and (B) the Borrower shall not terminate or reduce the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color w:val="auto"/>
        </w:rPr>
        <w:t xml:space="preserv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the total Revolving Credit Exposures would exceed </w:t>
      </w:r>
      <w:r>
        <w:rPr>
          <w:rFonts w:ascii="Times New Roman" w:cs="Times New Roman" w:eastAsia="Times New Roman" w:hAnsi="Times New Roman"/>
          <w:sz w:val="18"/>
          <w:szCs w:val="18"/>
          <w:u w:val="single" w:color="auto"/>
          <w:color w:val="0000FF"/>
        </w:rPr>
        <w:t>(x) prior to the Endeavor Acquisition Effective Date, the total Existing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(y) from and after the Endeavor Acquisition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 Commitments.</w:t>
      </w:r>
    </w:p>
    <w:p>
      <w:pPr>
        <w:spacing w:after="0" w:line="183"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776" w:val="left"/>
        </w:tabs>
        <w:numPr>
          <w:ilvl w:val="1"/>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notify the Administrative Agent of any election to terminate or reduce the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color w:val="auto"/>
        </w:rPr>
        <w:t xml:space="preserve"> Commitments under </w:t>
      </w:r>
      <w:r>
        <w:rPr>
          <w:rFonts w:ascii="Times New Roman" w:cs="Times New Roman" w:eastAsia="Times New Roman" w:hAnsi="Times New Roman"/>
          <w:sz w:val="18"/>
          <w:szCs w:val="18"/>
          <w:u w:val="single" w:color="auto"/>
          <w:color w:val="auto"/>
        </w:rPr>
        <w:t>Section 2.06(b)(i)</w:t>
      </w:r>
      <w:r>
        <w:rPr>
          <w:rFonts w:ascii="Times New Roman" w:cs="Times New Roman" w:eastAsia="Times New Roman" w:hAnsi="Times New Roman"/>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18"/>
          <w:szCs w:val="18"/>
          <w:u w:val="single" w:color="auto"/>
          <w:color w:val="auto"/>
        </w:rPr>
        <w:t>Section 2.06(b)(ii)</w:t>
      </w:r>
      <w:r>
        <w:rPr>
          <w:rFonts w:ascii="Times New Roman" w:cs="Times New Roman" w:eastAsia="Times New Roman" w:hAnsi="Times New Roman"/>
          <w:sz w:val="18"/>
          <w:szCs w:val="18"/>
          <w:color w:val="auto"/>
        </w:rPr>
        <w:t xml:space="preserve"> shall be irrevocable. Any termination or reduction of the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color w:val="auto"/>
        </w:rPr>
        <w:t xml:space="preserve"> Commitments shall be permanent and may not be reinstated, in each case except pursuant to an increase of the total Commitments pursuant to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or an amendment to this Agreement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Prior to the Endeavor Acquisition Effective Date, each</w:t>
      </w:r>
      <w:r>
        <w:rPr>
          <w:rFonts w:ascii="Times New Roman" w:cs="Times New Roman" w:eastAsia="Times New Roman" w:hAnsi="Times New Roman"/>
          <w:sz w:val="18"/>
          <w:szCs w:val="18"/>
          <w:color w:val="auto"/>
        </w:rPr>
        <w:t xml:space="preserve"> reduction of the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color w:val="auto"/>
        </w:rPr>
        <w:t xml:space="preserve"> Commitments shall </w:t>
      </w:r>
      <w:r>
        <w:rPr>
          <w:rFonts w:ascii="Times New Roman" w:cs="Times New Roman" w:eastAsia="Times New Roman" w:hAnsi="Times New Roman"/>
          <w:sz w:val="18"/>
          <w:szCs w:val="18"/>
          <w:u w:val="single" w:color="auto"/>
          <w:color w:val="0000FF"/>
        </w:rPr>
        <w:t>made between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Existing Commitments and the Increased Commitments as determined by the Borrower. At all times, each reduction of the Commitments shall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 made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ratably among the Lenders in accordance with each Lender’s Applicable Percentage </w:t>
      </w:r>
      <w:r>
        <w:rPr>
          <w:rFonts w:ascii="Times New Roman" w:cs="Times New Roman" w:eastAsia="Times New Roman" w:hAnsi="Times New Roman"/>
          <w:sz w:val="18"/>
          <w:szCs w:val="18"/>
          <w:u w:val="single" w:color="auto"/>
          <w:color w:val="0000FF"/>
        </w:rPr>
        <w:t>of the class of Commitments being reduced</w:t>
      </w:r>
      <w:r>
        <w:rPr>
          <w:rFonts w:ascii="Times New Roman" w:cs="Times New Roman" w:eastAsia="Times New Roman" w:hAnsi="Times New Roman"/>
          <w:sz w:val="18"/>
          <w:szCs w:val="18"/>
          <w:color w:val="000000"/>
        </w:rPr>
        <w:t>.</w:t>
      </w:r>
    </w:p>
    <w:p>
      <w:pPr>
        <w:spacing w:after="0" w:line="19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Optional Increase of Commitments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622" w:val="left"/>
        </w:tabs>
        <w:numPr>
          <w:ilvl w:val="1"/>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the conditions set forth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xml:space="preserve">, the Borrower may, without the consent of the Lenders but with the prior written approval of the Administrative Agent, the Swingline Lender, and the Issuing Bank (in each case, such approval not to be unreasonably withheld, delayed, or conditioned) increase the total Commitments then in effect by increasing the Commitments of a Lender or by causing a Person that is acceptable to the Administrative Agent (and not excluded by </w:t>
      </w:r>
      <w:r>
        <w:rPr>
          <w:rFonts w:ascii="Times New Roman" w:cs="Times New Roman" w:eastAsia="Times New Roman" w:hAnsi="Times New Roman"/>
          <w:sz w:val="18"/>
          <w:szCs w:val="18"/>
          <w:u w:val="single" w:color="auto"/>
          <w:color w:val="auto"/>
        </w:rPr>
        <w:t>Section 12.04(b)(ii)(E)</w:t>
      </w:r>
      <w:r>
        <w:rPr>
          <w:rFonts w:ascii="Times New Roman" w:cs="Times New Roman" w:eastAsia="Times New Roman" w:hAnsi="Times New Roman"/>
          <w:sz w:val="18"/>
          <w:szCs w:val="18"/>
          <w:color w:val="auto"/>
        </w:rPr>
        <w:t>) that at such time is not a Lender to become a Lender (an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Notwithstanding anything to the contrary contained in this Agreement, in no case shall an Additional Lender be the Borrower or an Affiliate of a Borrower.</w:t>
      </w:r>
    </w:p>
    <w:p>
      <w:pPr>
        <w:spacing w:after="0" w:line="187"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increase in the total Commitments shall be subject to the following additional conditions:</w:t>
      </w:r>
    </w:p>
    <w:p>
      <w:pPr>
        <w:spacing w:after="0" w:line="225" w:lineRule="exact"/>
        <w:rPr>
          <w:rFonts w:ascii="Times New Roman" w:cs="Times New Roman" w:eastAsia="Times New Roman" w:hAnsi="Times New Roman"/>
          <w:sz w:val="18"/>
          <w:szCs w:val="18"/>
          <w:color w:val="010000"/>
        </w:rPr>
      </w:pPr>
    </w:p>
    <w:p>
      <w:pPr>
        <w:ind w:left="1300" w:firstLine="1300"/>
        <w:spacing w:after="0" w:line="282" w:lineRule="auto"/>
        <w:tabs>
          <w:tab w:leader="none" w:pos="3143" w:val="left"/>
        </w:tabs>
        <w:numPr>
          <w:ilvl w:val="2"/>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increase shall not be less than $25,000,000 unless the Administrative Agent otherwise consents in writing, and no such increase shall be permitted if, after giving effect thereto, the total Commitments would exceed $2,600,000,000;</w:t>
      </w:r>
    </w:p>
    <w:p>
      <w:pPr>
        <w:spacing w:after="0" w:line="161" w:lineRule="exact"/>
        <w:rPr>
          <w:rFonts w:ascii="Times New Roman" w:cs="Times New Roman" w:eastAsia="Times New Roman" w:hAnsi="Times New Roman"/>
          <w:sz w:val="18"/>
          <w:szCs w:val="18"/>
          <w:color w:val="010000"/>
        </w:rPr>
      </w:pPr>
    </w:p>
    <w:p>
      <w:pPr>
        <w:ind w:left="3160" w:hanging="560"/>
        <w:spacing w:after="0"/>
        <w:tabs>
          <w:tab w:leader="none" w:pos="3160" w:val="left"/>
        </w:tabs>
        <w:numPr>
          <w:ilvl w:val="2"/>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Default or Event of Default shall have occurred and be continuing on the effective date of such increase;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jc w:val="both"/>
        <w:ind w:left="1300" w:firstLine="1300"/>
        <w:spacing w:after="0" w:line="261" w:lineRule="auto"/>
        <w:tabs>
          <w:tab w:leader="none" w:pos="3218"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on the effective date of such increase, if any SOFR Borrowings are outstanding, then (I) the effective date of such increase shall be the last day of the Interest Period in respect of such SOFR Borrowings, (II) the Lenders shall each take a ratable share of such increase, (III) the Borrower shall pay compensation required by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(IV) such compensation shall have been waived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ind w:left="3160" w:hanging="560"/>
        <w:spacing w:after="0"/>
        <w:tabs>
          <w:tab w:leader="none" w:pos="3160"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Lender’s Commitment may be increased without the consent of such Lender;</w:t>
      </w:r>
    </w:p>
    <w:p>
      <w:pPr>
        <w:spacing w:after="0" w:line="225" w:lineRule="exact"/>
        <w:rPr>
          <w:rFonts w:ascii="Times New Roman" w:cs="Times New Roman" w:eastAsia="Times New Roman" w:hAnsi="Times New Roman"/>
          <w:sz w:val="18"/>
          <w:szCs w:val="18"/>
          <w:color w:val="010000"/>
        </w:rPr>
      </w:pPr>
    </w:p>
    <w:p>
      <w:pPr>
        <w:jc w:val="both"/>
        <w:ind w:left="1300" w:firstLine="1300"/>
        <w:spacing w:after="0" w:line="258" w:lineRule="auto"/>
        <w:tabs>
          <w:tab w:leader="none" w:pos="3253"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Borrower elects to increase the total Commitments by increasing the Commitment of a Lender, then (I) the Borrower and such Lender shall execute and deliver to the Administrative Agent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Commitment Increase Certificate</w:t>
      </w:r>
      <w:r>
        <w:rPr>
          <w:rFonts w:ascii="Times New Roman" w:cs="Times New Roman" w:eastAsia="Times New Roman" w:hAnsi="Times New Roman"/>
          <w:sz w:val="18"/>
          <w:szCs w:val="18"/>
          <w:color w:val="auto"/>
        </w:rPr>
        <w:t>”) and (II) the Borrower shall (y) if requested by such Lender, deliver a replacement Note payable to such Lender in a principal amount equal to its increased Commitment, and otherwise duly completed and (z) pay any applicable fees as may have been agreed to between the Borrower, such Lender and/or the Administrative Agent; and</w:t>
      </w:r>
    </w:p>
    <w:p>
      <w:pPr>
        <w:spacing w:after="0" w:line="183" w:lineRule="exact"/>
        <w:rPr>
          <w:rFonts w:ascii="Times New Roman" w:cs="Times New Roman" w:eastAsia="Times New Roman" w:hAnsi="Times New Roman"/>
          <w:sz w:val="18"/>
          <w:szCs w:val="18"/>
          <w:color w:val="010000"/>
        </w:rPr>
      </w:pPr>
    </w:p>
    <w:p>
      <w:pPr>
        <w:jc w:val="both"/>
        <w:ind w:left="1300" w:firstLine="1300"/>
        <w:spacing w:after="0" w:line="256" w:lineRule="auto"/>
        <w:tabs>
          <w:tab w:leader="none" w:pos="3189"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Borrower elects to increase the total Commitments by causing an Additional Lender to become a party to this Agreement, then (I) the Borrower and such Additional Lender shall execute and deliver to the Administrative Agent a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Additional Lender Certificate</w:t>
      </w:r>
      <w:r>
        <w:rPr>
          <w:rFonts w:ascii="Times New Roman" w:cs="Times New Roman" w:eastAsia="Times New Roman" w:hAnsi="Times New Roman"/>
          <w:sz w:val="18"/>
          <w:szCs w:val="18"/>
          <w:color w:val="auto"/>
        </w:rPr>
        <w:t>”), together with an Administrative Questionnaire and a processing and recordation fee of $3,500, and (II) the Borrower shall (y) if requested by the Additional Lender, deliver a Note payable to such Additional Lender in a principal amount equal to its Commitment, and otherwise duly completed and (z) pay any fees as may have been agreed to between the Borrower, the Additional Lender and/or the Administrative Agent.</w:t>
      </w:r>
    </w:p>
    <w:p>
      <w:pPr>
        <w:spacing w:after="0" w:line="187"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677"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acceptance and recording thereof pursuant to </w:t>
      </w:r>
      <w:r>
        <w:rPr>
          <w:rFonts w:ascii="Times New Roman" w:cs="Times New Roman" w:eastAsia="Times New Roman" w:hAnsi="Times New Roman"/>
          <w:sz w:val="18"/>
          <w:szCs w:val="18"/>
          <w:u w:val="single" w:color="auto"/>
          <w:color w:val="auto"/>
        </w:rPr>
        <w:t>Section 2.06(c)(iv)</w:t>
      </w:r>
      <w:r>
        <w:rPr>
          <w:rFonts w:ascii="Times New Roman" w:cs="Times New Roman" w:eastAsia="Times New Roman" w:hAnsi="Times New Roman"/>
          <w:sz w:val="18"/>
          <w:szCs w:val="18"/>
          <w:color w:val="auto"/>
        </w:rPr>
        <w:t xml:space="preserve">, from and after the effective date specified in the Commitment Increase Certificate or the Additional Lender Certificate (or if any SOFR Borrowings are outstanding, then the last day of the Interest Period in respect of such SOFR Borrowings, unless the Borrower has otherwise satisfied the condition set forth in </w:t>
      </w:r>
      <w:r>
        <w:rPr>
          <w:rFonts w:ascii="Times New Roman" w:cs="Times New Roman" w:eastAsia="Times New Roman" w:hAnsi="Times New Roman"/>
          <w:sz w:val="18"/>
          <w:szCs w:val="18"/>
          <w:u w:val="single" w:color="auto"/>
          <w:color w:val="auto"/>
        </w:rPr>
        <w:t>Section 2.06(c)(ii)(C)</w:t>
      </w:r>
      <w:r>
        <w:rPr>
          <w:rFonts w:ascii="Times New Roman" w:cs="Times New Roman" w:eastAsia="Times New Roman" w:hAnsi="Times New Roman"/>
          <w:sz w:val="18"/>
          <w:szCs w:val="18"/>
          <w:color w:val="auto"/>
        </w:rPr>
        <w:t>): (A) the amount of the total Commitments shall be increased as set forth therein, and (B) in the case of an Additional Lender Certificate, any Additional Lender party thereto shall be a party to this Agreement and have the rights and obligations of a Lender under this Agreement and the other Loan Documents. In addition, the Lender or the Additional Lender, as applicable, shall purchase a pro rata portion of the outstanding Loans (and participation interests in Letters of Credit) of each of the other Lenders (and such Lenders hereby agree to sell and to take all such further action to effectuate such sale) such that each Lender (including any Additional Lender, if applicable) shall hold its Applicable Percentage of the outstanding Loans (and participation interests) after giving effect to the increase in the total Commitments.</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both"/>
        <w:ind w:firstLine="1952"/>
        <w:spacing w:after="0" w:line="256" w:lineRule="auto"/>
        <w:tabs>
          <w:tab w:leader="none" w:pos="2608"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its receipt of a duly completed Commitment Increase Certificate or an Additional Lender Certificate, executed by the Borrower and the Lender or by the Borrower and the Additional Lender party thereto, as applicable, the processing and recording fee referred to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xml:space="preserve"> and the Administrative Questionnaire referred to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xml:space="preserve">, if applicable, the Administrative Agent shall accept such Commitment Increase Certificate or Additional Lender Certificate and record the information contained therein in the Register required to be maintained by the Administrative Agent pursuant to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 xml:space="preserve">. No increase in the total Commitments shall be effective for purposes of this Agreement unless it has been recorded in the Register as provided in this </w:t>
      </w:r>
      <w:r>
        <w:rPr>
          <w:rFonts w:ascii="Times New Roman" w:cs="Times New Roman" w:eastAsia="Times New Roman" w:hAnsi="Times New Roman"/>
          <w:sz w:val="18"/>
          <w:szCs w:val="18"/>
          <w:u w:val="single" w:color="auto"/>
          <w:color w:val="auto"/>
        </w:rPr>
        <w:t>Section 2.06(c)(iv)</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630"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any increase in the total Commitments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this Agreement shall be deemed amended to reflect the Commitment of each Lender (including any Additional Lender) as thereby increased and any resulting changes in the Lenders’ Applicable Percentages.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010000"/>
              </w:rPr>
              <w:t>Section 2.07</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010000"/>
              </w:rPr>
              <w:t>Section 2.08</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Letters of Credit.</w:t>
            </w:r>
          </w:p>
        </w:tc>
      </w:tr>
      <w:tr>
        <w:trPr>
          <w:trHeight w:val="20"/>
        </w:trPr>
        <w:tc>
          <w:tcPr>
            <w:tcW w:w="1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4"/>
        <w:spacing w:after="0" w:line="251" w:lineRule="auto"/>
        <w:tabs>
          <w:tab w:leader="none" w:pos="2139" w:val="left"/>
        </w:tabs>
        <w:numPr>
          <w:ilvl w:val="0"/>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may request the issuance of dollar denominated Letters of Credit for its own account or for the account of any of its, or the Parent Guarantor’s, Restricted Subsidiaries,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Notwithstanding anything to the contrary contained in this Agreement,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be subject to the terms and conditions of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Notwithstanding anything herein to the contrary, the Issuing Bank shall have no obligation hereunder to issue, and shall not issue, any Letter of Credit (i) the proceeds of which would be made available to any Person (A) to fund, in each case in violation of Sanctions, any activity or business of or with any Sanctioned Person, or involving any country or territory that, at the time of such funding, is a Sanctioned Country or (B) in any other manner that would result in a violation of any Sanctions by any party to this Agreement, (ii) if any order, judgment or decree of any Governmental Authority or arbitrator, in either case, with jurisdiction over the Issuing Bank, shall by its terms purport to enjoin or restrain the Issuing Bank from issuing such Letter of Credit, or any Governmental Requirement relating to the Issuing Bank or any Governmental Authority with jurisdiction over the Issuing Bank shall prohibit, the issuance of letters of credit generally or such Letter of Credit in particular or shall impose upon the Issuing Bank with respect to such Letter of Credit any reserve or capital requirement (for which the Issuing Bank is not otherwise compensated hereunder) not in effect on the Eleventh Amendment Effective Date, or shall impose upon the Issuing Bank any unreimbursed loss, cost or expense which was not applicable on the Eleventh Amendment Effective Date and which the Issuing Bank in good faith deems material to it or (iii) if the issuance of such Letter of Credit would violate one or more policies of the Issuing Bank applicable to letters of credit generally under similar circumstances for similarly situated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 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Eleventh Amendment Effective Date for purposes of clause (ii) above, regardless of the date enacted, adopted, issued or implemented.</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both"/>
        <w:ind w:firstLine="1304"/>
        <w:spacing w:after="0" w:line="261" w:lineRule="auto"/>
        <w:tabs>
          <w:tab w:leader="none" w:pos="1991"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(not less than </w:t>
      </w:r>
      <w:r>
        <w:rPr>
          <w:rFonts w:ascii="Times New Roman" w:cs="Times New Roman" w:eastAsia="Times New Roman" w:hAnsi="Times New Roman"/>
          <w:sz w:val="18"/>
          <w:szCs w:val="18"/>
          <w:color w:val="FF0000"/>
          <w:strike w:val="1"/>
        </w:rPr>
        <w:t>five</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5</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 Business Days in advance of the requested date of issuance, amendment, renewal or extension) a notice:</w:t>
      </w:r>
    </w:p>
    <w:p>
      <w:pPr>
        <w:spacing w:after="0" w:line="179" w:lineRule="exact"/>
        <w:rPr>
          <w:rFonts w:ascii="Times New Roman" w:cs="Times New Roman" w:eastAsia="Times New Roman" w:hAnsi="Times New Roman"/>
          <w:sz w:val="18"/>
          <w:szCs w:val="18"/>
          <w:color w:val="010000"/>
        </w:rPr>
      </w:pPr>
    </w:p>
    <w:p>
      <w:pPr>
        <w:ind w:left="2660" w:hanging="708"/>
        <w:spacing w:after="0"/>
        <w:tabs>
          <w:tab w:leader="none" w:pos="2660" w:val="left"/>
        </w:tabs>
        <w:numPr>
          <w:ilvl w:val="1"/>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requesting the issuance of a Letter of Credit or identifying the Letter of Credit to be amended, renewed or extended;</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specifying the date of issuance, amendment, renewal or extension (which shall be a Business Day);</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specifying the date on which such Letter of Credit is to expire (which shall comply with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specifying the amount of such Letter of Credit;</w:t>
      </w:r>
    </w:p>
    <w:p>
      <w:pPr>
        <w:spacing w:after="0" w:line="225" w:lineRule="exact"/>
        <w:rPr>
          <w:rFonts w:ascii="Times New Roman" w:cs="Times New Roman" w:eastAsia="Times New Roman" w:hAnsi="Times New Roman"/>
          <w:sz w:val="18"/>
          <w:szCs w:val="18"/>
          <w:color w:val="010000"/>
        </w:rPr>
      </w:pPr>
    </w:p>
    <w:p>
      <w:pPr>
        <w:ind w:right="20" w:firstLine="1952"/>
        <w:spacing w:after="0" w:line="282" w:lineRule="auto"/>
        <w:tabs>
          <w:tab w:leader="none" w:pos="2630" w:val="left"/>
        </w:tabs>
        <w:numPr>
          <w:ilvl w:val="1"/>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specifying the name and address of the beneficiary thereof and such other information as shall be necessary to prepare, amend, renew or extend such Letter of Credit; and</w:t>
      </w:r>
    </w:p>
    <w:p>
      <w:pPr>
        <w:spacing w:after="0" w:line="161"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716" w:val="left"/>
        </w:tabs>
        <w:numPr>
          <w:ilvl w:val="1"/>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specifying (A) the current total Revolving Credit Exposures (without regard to the requested Letter of Credit or the requested amendment, renewal or extension of an outstanding Letter of Credit) and (B)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total Revolving Credit Exposures (giving effect to the requested Letter of Credit or the requested amendment, renewal or extension of an outstanding Letter of Credit).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Each such notice shall constitute a representation that after giving effect to the requested issuance, amendment, renewal or extension, as applicable,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(x</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the LC Commitment of such Issuing Bank, (ii</w:t>
      </w:r>
      <w:r>
        <w:rPr>
          <w:rFonts w:ascii="Times New Roman" w:cs="Times New Roman" w:eastAsia="Times New Roman" w:hAnsi="Times New Roman"/>
          <w:sz w:val="18"/>
          <w:szCs w:val="18"/>
          <w:color w:val="000000"/>
        </w:rPr>
        <w:t>) the LC Exposure shall not exceed the LC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Commitment</w:t>
      </w:r>
      <w:r>
        <w:rPr>
          <w:rFonts w:ascii="Times New Roman" w:cs="Times New Roman" w:eastAsia="Times New Roman" w:hAnsi="Times New Roman"/>
          <w:sz w:val="18"/>
          <w:szCs w:val="18"/>
          <w:u w:val="single" w:color="auto"/>
          <w:color w:val="0000FF"/>
        </w:rPr>
        <w:t>Sublimit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the total Revolving Credit Exposures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shall not exceed </w:t>
      </w:r>
      <w:r>
        <w:rPr>
          <w:rFonts w:ascii="Times New Roman" w:cs="Times New Roman" w:eastAsia="Times New Roman" w:hAnsi="Times New Roman"/>
          <w:sz w:val="18"/>
          <w:szCs w:val="18"/>
          <w:u w:val="single" w:color="auto"/>
          <w:color w:val="0000FF"/>
        </w:rPr>
        <w:t>(x) prior to the Endeavor Acquisition Effective Date, the total Existing Commitments and (y) from and after the Endeavor Acquisition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 Commitments.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requested by the Issuing Bank, the Borrower also shall submit a letter of credit application on the Issuing Bank’s standard form in connection with any request for a Letter of Credit</w:t>
      </w:r>
      <w:r>
        <w:rPr>
          <w:rFonts w:ascii="Times New Roman" w:cs="Times New Roman" w:eastAsia="Times New Roman" w:hAnsi="Times New Roman"/>
          <w:sz w:val="18"/>
          <w:szCs w:val="18"/>
          <w:u w:val="single" w:color="auto"/>
          <w:color w:val="0000FF"/>
        </w:rPr>
        <w:t>; provided that, in the event of any conflict between such application and the terms of this Agreement, the terms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 shall control</w:t>
      </w:r>
      <w:r>
        <w:rPr>
          <w:rFonts w:ascii="Times New Roman" w:cs="Times New Roman" w:eastAsia="Times New Roman" w:hAnsi="Times New Roman"/>
          <w:sz w:val="18"/>
          <w:szCs w:val="18"/>
          <w:color w:val="000000"/>
        </w:rPr>
        <w:t>.</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jc w:val="both"/>
        <w:ind w:firstLine="1304"/>
        <w:spacing w:after="0" w:line="255" w:lineRule="auto"/>
        <w:tabs>
          <w:tab w:leader="none" w:pos="1950" w:val="left"/>
        </w:tabs>
        <w:numPr>
          <w:ilvl w:val="0"/>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fifteen (15) months after the date of the issuance of such Letter of Credit (or, in the case of any renewal or extension thereof, fifteen (15) months after such renewal or extension) and (ii) the date that is five (5) Business Days prior to the Maturity Date; provided, however, that (A) any Letter of Credit may provide for the renewal thereof for additional periods, each of which shall not exceed fifteen (15) months (which shall in no event extend beyond the date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and (B) no Letter of Credit may expire after the date that is five (5) Business Days prior to an Existing Maturity Date in respect of any Declining Lenders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if, after giving effect to such Letter of Credit, the aggregate Commitments of the Consenting Lenders (including any replacement Lenders) for the period following such Existing Maturity Date would be less than the LC Exposure following such Existing Maturity Date.</w:t>
      </w:r>
    </w:p>
    <w:p>
      <w:pPr>
        <w:spacing w:after="0" w:line="188"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33" w:val="left"/>
        </w:tabs>
        <w:numPr>
          <w:ilvl w:val="0"/>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or of any reimbursement payment required to be refunded to the Borrower for any reason. Each Lender acknowledges and agrees that its obligation to acquire participations pursuant to this </w:t>
      </w:r>
      <w:r>
        <w:rPr>
          <w:rFonts w:ascii="Times New Roman" w:cs="Times New Roman" w:eastAsia="Times New Roman" w:hAnsi="Times New Roman"/>
          <w:sz w:val="18"/>
          <w:szCs w:val="18"/>
          <w:u w:val="single" w:color="auto"/>
          <w:color w:val="auto"/>
        </w:rPr>
        <w:t>Section 2.08(d)</w:t>
      </w:r>
      <w:r>
        <w:rPr>
          <w:rFonts w:ascii="Times New Roman" w:cs="Times New Roman" w:eastAsia="Times New Roman" w:hAnsi="Times New Roman"/>
          <w:sz w:val="18"/>
          <w:szCs w:val="18"/>
          <w:color w:val="auto"/>
        </w:rPr>
        <w:t xml:space="preserve">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4"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2044" w:val="left"/>
        </w:tabs>
        <w:numPr>
          <w:ilvl w:val="0"/>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the Issuing Bank shall make any LC Disbursement in respect of a Letter of Credit, the Borrower shall reimburse such LC Disbursement by paying to the Administrative Agent an amount equal to such LC Disbursement not later than 12:00 noon, Houston, Texas time, on the date that such LC Disbursement is made, if the Borrower shall have received notice of such LC Disbursement prior to 10:00 a.m., Houston, Texas time, on such date, or, if such notice has not been received by the Borrower prior to such time on such date, then not later than 12:00 noon, Houston, Texas time, on (i) the Business Day that the Borrower receives such notice, if such notice is received prior to 10:00 a.m., Houston, Texas time, on the day of receipt, or (ii) the Business Day immediately following the day that the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$1,000,000, the Borrower shall, subject to the conditions to Borrowing set forth herein, be deemed to have requested, and the Borrower does hereby request under such circumstances,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obligations of the Lenders), and the Administrative Agent shall promptly pay to the Issuing Bank the amounts so received by it from the Lenders. Promptly following receipt by the Administrative Agent of any payment from the Borrower pursuant to this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the Administrative Agent shall distribute such payment to the Issuing Bank or, to the extent that Lenders have made payments pursuant to this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to reimburse the Issuing Bank, then to such Lenders and the Issuing Bank as their interests may appear. Any payment made by a Lender pursuant to this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to reimburse the Issuing Bank for any LC Disbursement (other than the funding of ABR Revolving Loans or Swingline Loan as contemplated above) shall not constitute a Loan and shall not relieve the Borrower of its obligation to reimburse such LC Disbursement.</w:t>
      </w: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jc w:val="both"/>
        <w:ind w:firstLine="1304"/>
        <w:spacing w:after="0" w:line="251" w:lineRule="auto"/>
        <w:tabs>
          <w:tab w:leader="none" w:pos="1836"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any Letter of Credit Agreement, or (iv)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2.08(f)</w:t>
      </w:r>
      <w:r>
        <w:rPr>
          <w:rFonts w:ascii="Times New Roman" w:cs="Times New Roman" w:eastAsia="Times New Roman" w:hAnsi="Times New Roman"/>
          <w:sz w:val="18"/>
          <w:szCs w:val="18"/>
          <w:color w:val="auto"/>
        </w:rPr>
        <w:t xml:space="preserve">,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all requisite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jc w:val="both"/>
        <w:ind w:firstLine="1304"/>
        <w:spacing w:after="0" w:line="258" w:lineRule="auto"/>
        <w:tabs>
          <w:tab w:leader="none" w:pos="1947"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shall, promptly following its receipt thereof, examine all documents purporting to represent a demand for payment under a Letter of Credit. The Issuing Bank shall promptly notify the Administrative Agent and the Borrower by telephone (confirmed by telecopy) of such demand for payment and whether the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the Issuing Bank and the Lenders with respect to any such LC Disbursement.</w:t>
      </w:r>
    </w:p>
    <w:p>
      <w:pPr>
        <w:spacing w:after="0" w:line="183"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879"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Issuing Bank shall make any LC Disbursement, then, until the Borrower shall have reimbursed the Issuing Bank for such LC Disbursement (either with its own funds or a Borrowing under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Interest accrued pursuant to this </w:t>
      </w:r>
      <w:r>
        <w:rPr>
          <w:rFonts w:ascii="Times New Roman" w:cs="Times New Roman" w:eastAsia="Times New Roman" w:hAnsi="Times New Roman"/>
          <w:sz w:val="18"/>
          <w:szCs w:val="18"/>
          <w:u w:val="single" w:color="auto"/>
          <w:color w:val="auto"/>
        </w:rPr>
        <w:t>Section 2.08(h)</w:t>
      </w:r>
      <w:r>
        <w:rPr>
          <w:rFonts w:ascii="Times New Roman" w:cs="Times New Roman" w:eastAsia="Times New Roman" w:hAnsi="Times New Roman"/>
          <w:sz w:val="18"/>
          <w:szCs w:val="18"/>
          <w:color w:val="auto"/>
        </w:rPr>
        <w:t xml:space="preserve"> shall be for the account of the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to reimburse the Issuing Bank shall be for the account of such Lender to the extent of such payment.</w:t>
      </w:r>
    </w:p>
    <w:p>
      <w:pPr>
        <w:spacing w:after="0" w:line="187"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11"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Replacement of the Issuing Bank</w:t>
      </w:r>
      <w:r>
        <w:rPr>
          <w:rFonts w:ascii="Times New Roman" w:cs="Times New Roman" w:eastAsia="Times New Roman" w:hAnsi="Times New Roman"/>
          <w:sz w:val="18"/>
          <w:szCs w:val="18"/>
          <w:color w:val="auto"/>
        </w:rPr>
        <w:t xml:space="preserve">.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the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both"/>
        <w:ind w:firstLine="1304"/>
        <w:spacing w:after="0" w:line="251" w:lineRule="auto"/>
        <w:tabs>
          <w:tab w:leader="none" w:pos="2033"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(i) any Event of Default shall occur and be continuing and the Borrower receives notice from the Administrative Agent or the Majority Lenders demanding the deposit of cash collateral pursuant to this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xml:space="preserve">, or (ii) the Borrower is required to pay to the Administrative Agent the excess attributable to an LC Exposure in connection with any prepayment pursuant to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then the Borrower shall deposit, in an account with the Administrative Agent, in the name of the Administrative Agent and for the benefit of the Lenders, an amount in cash equal to, in the case of an Event of Default, the LC Exposure, and in the case of a payment required by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the amount of such excess as provided in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Parent Guarantor, the Borrower or any Restricted Subsidiary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The Borrower hereby grants to the Administrative Agent, for the benefit of the Issuing Bank and the Lenders, an exclusive first priority and continuing perfected security interest in and Lien on such account and all cash, checks, drafts, certificates and instruments, if any, from time to time deposited or held in such account, all deposits or wire transfers made thereto, any and all investments purchased with funds deposited in such account, all interest, dividends, cash, instruments, financial assets and other Property from time to time received, receivable or otherwise payable in respect of, or in exchange for, any or all of the foregoing, and all proceeds, products, accessions, rents, profits, income and benefits therefrom, and any substitutions and replacements therefor. The Borrower’s obligation to deposit amounts pursuant to this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xml:space="preserve"> shall be absolute and unconditional, without regard to whether any beneficiary of any such Letter of Credit has attempted to draw down all or a portion of such amount under the terms of a Letter of Credit, and, to the fullest extent permitted by applicable law, shall not be subject to any defense or be affected by a right of set-off, counterclaim or recoupment which the Parent Guarantor, the Borrower or any Restricted Subsidiaries may now or hereafter have against any such beneficiary, the Issuing Bank, the Administrative Agent, the Lenders or any other Person for any reason whatsoever. Such deposit shall be held as collateral securing the payment and performance of the obligations of the Parent Guarantor, the Borrower and the other Guarantors under this Agreement and the other Loan Documents. The Administrative Agent shall have exclusive dominion and control, including the exclusive right of withdrawal, over such account. Other than any interest earned on the investment of such deposits, which investments, if any, shall be made at the option and sole discretion of the Administrative Agent, but subject to the consent (not to be unreasonably withheld) of the Borrower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be applied to satisfy other obligations of the Parent Guarantor, the Borrower and any Restricted Subsidiary under this Agreement or the other Loan Documents. If the Borrower is required to provide an amount of cash collateral hereunder as a result of the occurrence of an Event of Default, and the Borrower is not otherwise required to pay to the Administrative Agent the excess attributable to an LC Exposure in connection with any prepayment pursuant to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then such amount (to the extent not applied as aforesaid) shall be returned to the Borrower within three Business Days after all Events of Default have been cured or waived.</w:t>
      </w:r>
    </w:p>
    <w:p>
      <w:pPr>
        <w:spacing w:after="0" w:line="20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2.09</w:t>
      </w:r>
      <w:r>
        <w:rPr>
          <w:sz w:val="20"/>
          <w:szCs w:val="20"/>
          <w:color w:val="auto"/>
        </w:rPr>
        <w:tab/>
      </w: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166" w:val="left"/>
        </w:tabs>
        <w:numPr>
          <w:ilvl w:val="0"/>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any time that there shall exist a Defaulting Lender, within one Business Day following the written request of the Administrative Agent or the Issuing Bank (with a copy to the Administrative Agent), the Borrower shall Cash Collateralize the Fronting Exposure of the Issuing Bank with respect to such Defaulting Lender (determined after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 The Borrower may use proceeds of Borrowings for the provision of Cash Collateral (so long as no Default or Event of Default exists).</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both"/>
        <w:ind w:firstLine="1952"/>
        <w:spacing w:after="0" w:line="255" w:lineRule="auto"/>
        <w:tabs>
          <w:tab w:leader="none" w:pos="2608" w:val="left"/>
        </w:tabs>
        <w:numPr>
          <w:ilvl w:val="0"/>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LC Exposure, to be applied pursuant to </w:t>
      </w:r>
      <w:r>
        <w:rPr>
          <w:rFonts w:ascii="Times New Roman" w:cs="Times New Roman" w:eastAsia="Times New Roman" w:hAnsi="Times New Roman"/>
          <w:sz w:val="18"/>
          <w:szCs w:val="18"/>
          <w:u w:val="single" w:color="auto"/>
          <w:color w:val="auto"/>
        </w:rPr>
        <w:t>subsection (ii)</w:t>
      </w:r>
      <w:r>
        <w:rPr>
          <w:rFonts w:ascii="Times New Roman" w:cs="Times New Roman" w:eastAsia="Times New Roman" w:hAnsi="Times New Roman"/>
          <w:sz w:val="18"/>
          <w:szCs w:val="18"/>
          <w:color w:val="auto"/>
        </w:rPr>
        <w:t xml:space="preserve"> below. If at any time the Administrative Agent determines that Cash Collateral is subject to any right or claim of any Person other than the Administrative Agent and the Issuing Bank as herein provided, or that the total amount of such Cash Collateral is less than the Minimum Collateral Amount, the Borrower will, within 2 Business Days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8" w:lineRule="exact"/>
        <w:rPr>
          <w:rFonts w:ascii="Times New Roman" w:cs="Times New Roman" w:eastAsia="Times New Roman" w:hAnsi="Times New Roman"/>
          <w:sz w:val="18"/>
          <w:szCs w:val="18"/>
          <w:color w:val="010000"/>
        </w:rPr>
      </w:pPr>
    </w:p>
    <w:p>
      <w:pPr>
        <w:jc w:val="both"/>
        <w:ind w:firstLine="1952"/>
        <w:spacing w:after="0" w:line="261" w:lineRule="auto"/>
        <w:tabs>
          <w:tab w:leader="none" w:pos="2735" w:val="left"/>
        </w:tabs>
        <w:numPr>
          <w:ilvl w:val="0"/>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LC Exposure (including, as to Cash Collateral provided by a Defaulting Lender, any interest accrued on such obligation) for which the Cash Collateral was so provided, prior to any other application of such property as may otherwise be provided for herein.</w:t>
      </w:r>
    </w:p>
    <w:p>
      <w:pPr>
        <w:spacing w:after="0" w:line="179" w:lineRule="exact"/>
        <w:rPr>
          <w:rFonts w:ascii="Times New Roman" w:cs="Times New Roman" w:eastAsia="Times New Roman" w:hAnsi="Times New Roman"/>
          <w:sz w:val="18"/>
          <w:szCs w:val="18"/>
          <w:color w:val="010000"/>
        </w:rPr>
      </w:pPr>
    </w:p>
    <w:p>
      <w:pPr>
        <w:jc w:val="both"/>
        <w:ind w:firstLine="1952"/>
        <w:spacing w:after="0" w:line="255" w:lineRule="auto"/>
        <w:tabs>
          <w:tab w:leader="none" w:pos="2794" w:val="left"/>
        </w:tabs>
        <w:numPr>
          <w:ilvl w:val="0"/>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Termination of Requirement</w:t>
      </w:r>
      <w:r>
        <w:rPr>
          <w:rFonts w:ascii="Times New Roman" w:cs="Times New Roman" w:eastAsia="Times New Roman" w:hAnsi="Times New Roman"/>
          <w:sz w:val="18"/>
          <w:szCs w:val="18"/>
          <w:color w:val="auto"/>
        </w:rPr>
        <w:t xml:space="preserve">. Cash Collateral (or the appropriate portion thereof) provided to reduce the Fronting Exposure of the Issuing Bank shall no longer be required to be held as Cash Collateral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following (A) the elimination of the applicable Fronting Exposure (including by the termination of Defaulting Lender status of the applicable Lender), or (B) the determination by the Administrative Agent and the Issuing Bank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the Person providing Cash Collateral and the Issuing Bank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010000"/>
        </w:rPr>
        <w:t>Section 2.10</w:t>
      </w:r>
      <w:r>
        <w:rPr>
          <w:sz w:val="20"/>
          <w:szCs w:val="20"/>
          <w:color w:val="auto"/>
        </w:rPr>
        <w:tab/>
      </w: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2017"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61" w:lineRule="exact"/>
        <w:rPr>
          <w:rFonts w:ascii="Times New Roman" w:cs="Times New Roman" w:eastAsia="Times New Roman" w:hAnsi="Times New Roman"/>
          <w:sz w:val="18"/>
          <w:szCs w:val="18"/>
          <w:color w:val="010000"/>
        </w:rPr>
      </w:pPr>
    </w:p>
    <w:p>
      <w:pPr>
        <w:ind w:firstLine="1952"/>
        <w:spacing w:after="0" w:line="282" w:lineRule="auto"/>
        <w:tabs>
          <w:tab w:leader="none" w:pos="2608" w:val="left"/>
        </w:tabs>
        <w:numPr>
          <w:ilvl w:val="1"/>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Majority Lenders.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jc w:val="both"/>
        <w:ind w:firstLine="1952"/>
        <w:spacing w:after="0" w:line="251" w:lineRule="auto"/>
        <w:tabs>
          <w:tab w:leader="none" w:pos="2654"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 and/or Swingline Lender hereunder; third, to Cash Collateralize the Fronting Exposure of the Issuing Bank and/or Swingline Lender with respect to such Defaulting Lender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fourth,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(A) satisfy such Defaulting Lender’s potential future funding obligations with respect to Loans and funded participations under this Agreement and (B) Cash Collateralize the Issuing Bank’s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sixth, to the payment of any amounts owing to the Lenders or the Issuing Bank or the Swingline Lender as a result of any judgment of a court of competent jurisdiction obtained by any Lender or the Issuing Bank or the Swingline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(1) such payment is a payment of the principal amount of any Revolving Loans or funded participations in Letters of Credit or Swingline Loans in respect of which such Defaulting Lender has not fully funded its appropriate share, and (2) such Revolving Loans or funded participations in Swingline Loans or Letters of Credit were made at a time when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were satisfied or waived, such payment shall be applied solely to pay the Revolving Loans of, and funded participations in Letters of Credit owed to, all Non-Defaulting Lenders on a pro rata basis prior to being applied to the payment of any Revolving Loans of, or funded participations in Letters of Credit or Swingline Loans owed to, such Defaulting Lender until such time as all Loans and funded and unfunded participations in LC Exposure or Swingline Loans are held by the Lenders pro rata in accordance with the Commitment under the Agreement without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2.10(a)(ii)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010000"/>
        </w:rPr>
      </w:pPr>
    </w:p>
    <w:p>
      <w:pPr>
        <w:ind w:left="2680" w:hanging="728"/>
        <w:spacing w:after="0"/>
        <w:tabs>
          <w:tab w:leader="none" w:pos="2680"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1300" w:firstLine="1300"/>
        <w:spacing w:after="0" w:line="266" w:lineRule="auto"/>
        <w:tabs>
          <w:tab w:leader="none" w:pos="3282" w:val="left"/>
        </w:tabs>
        <w:numPr>
          <w:ilvl w:val="1"/>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Defaulting Lender shall be entitled to receive any commitment fee </w:t>
      </w:r>
      <w:r>
        <w:rPr>
          <w:rFonts w:ascii="Times New Roman" w:cs="Times New Roman" w:eastAsia="Times New Roman" w:hAnsi="Times New Roman"/>
          <w:sz w:val="18"/>
          <w:szCs w:val="18"/>
          <w:u w:val="single" w:color="auto"/>
          <w:color w:val="0000FF"/>
        </w:rPr>
        <w:t>or ticking fee</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010000"/>
        </w:rPr>
      </w:pPr>
    </w:p>
    <w:p>
      <w:pPr>
        <w:jc w:val="both"/>
        <w:ind w:left="1300" w:firstLine="1300"/>
        <w:spacing w:after="0" w:line="266" w:lineRule="auto"/>
        <w:tabs>
          <w:tab w:leader="none" w:pos="3317" w:val="left"/>
        </w:tabs>
        <w:numPr>
          <w:ilvl w:val="1"/>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Defaulting Lender shall be entitled to receive letter of credit fees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jc w:val="both"/>
        <w:ind w:left="1300" w:firstLine="1300"/>
        <w:spacing w:after="0" w:line="256" w:lineRule="auto"/>
        <w:tabs>
          <w:tab w:leader="none" w:pos="3209" w:val="left"/>
        </w:tabs>
        <w:numPr>
          <w:ilvl w:val="2"/>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any commitment fee</w:t>
      </w:r>
      <w:r>
        <w:rPr>
          <w:rFonts w:ascii="Times New Roman" w:cs="Times New Roman" w:eastAsia="Times New Roman" w:hAnsi="Times New Roman"/>
          <w:sz w:val="18"/>
          <w:szCs w:val="18"/>
          <w:u w:val="single" w:color="auto"/>
          <w:color w:val="0000FF"/>
        </w:rPr>
        <w:t>, ticking fee</w:t>
      </w:r>
      <w:r>
        <w:rPr>
          <w:rFonts w:ascii="Times New Roman" w:cs="Times New Roman" w:eastAsia="Times New Roman" w:hAnsi="Times New Roman"/>
          <w:sz w:val="18"/>
          <w:szCs w:val="18"/>
          <w:color w:val="auto"/>
        </w:rPr>
        <w:t xml:space="preserve"> or letter of credit fee not required to be paid to any Defaulting Lender pursuant to clause (A) or (B) above, the Borrower shall (1) pay to each Non-Defaulting Lender that portion of any such fee otherwise payable to such Defaulting Lender with respect to such Defaulting Lender’s participation in LC Exposure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(2) pay to each Issuing Bank, as applicable, the amount of any such fee otherwise payable to such Defaulting Lender to the extent allocable to such Issuing Bank’s Fronting Exposure to such Defaulting Lender, and (3) not be required to pay the remaining amount of any such fee.</w:t>
      </w:r>
    </w:p>
    <w:p>
      <w:pPr>
        <w:spacing w:after="0" w:line="187"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564" w:val="left"/>
        </w:tabs>
        <w:numPr>
          <w:ilvl w:val="1"/>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LC Exposure or Swingline Exposure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Applicable Percentage of the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1"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558" w:val="left"/>
        </w:tabs>
        <w:numPr>
          <w:ilvl w:val="1"/>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cannot, or can only partially, be effected, the Borrower shall, without prejudice to any right or remedy available to it hereunder or under law, Cash Collateralize the Issuing Bank’s Fronting Exposure in accordance with the procedures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2050"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Commitments under this Agreement (without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ind w:firstLine="1304"/>
        <w:spacing w:after="0" w:line="282" w:lineRule="auto"/>
        <w:tabs>
          <w:tab w:leader="none" w:pos="1824"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New Letters of Credit</w:t>
      </w:r>
      <w:r>
        <w:rPr>
          <w:rFonts w:ascii="Times New Roman" w:cs="Times New Roman" w:eastAsia="Times New Roman" w:hAnsi="Times New Roman"/>
          <w:sz w:val="18"/>
          <w:szCs w:val="18"/>
          <w:color w:val="auto"/>
        </w:rPr>
        <w:t>. So long as any Lender is a Defaulting Lender, no Issuing Bank shall be required to issue, extend, renew or increase any Letter of Credit unless it is satisfied that it will have no Fronting Exposure after giving effect thereto.</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88"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Prepayment of Swingline Loans</w:t>
      </w:r>
      <w:r>
        <w:rPr>
          <w:rFonts w:ascii="Times New Roman" w:cs="Times New Roman" w:eastAsia="Times New Roman" w:hAnsi="Times New Roman"/>
          <w:sz w:val="18"/>
          <w:szCs w:val="18"/>
          <w:color w:val="auto"/>
        </w:rPr>
        <w:t xml:space="preserve">. Promptly on demand by the Swingline Lender or the Administrative Agent from time to time, the Borrower shall prepay Swingline Loans in an amount of all Fronting Exposure with respect to such Swingline Lender (after giving effect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2.10(a)(iv)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010000"/>
        </w:rPr>
        <w:t>Section 2.11</w:t>
      </w:r>
      <w:r>
        <w:rPr>
          <w:sz w:val="20"/>
          <w:szCs w:val="20"/>
          <w:color w:val="auto"/>
        </w:rPr>
        <w:tab/>
      </w:r>
      <w:r>
        <w:rPr>
          <w:rFonts w:ascii="Times New Roman" w:cs="Times New Roman" w:eastAsia="Times New Roman" w:hAnsi="Times New Roman"/>
          <w:sz w:val="17"/>
          <w:szCs w:val="17"/>
          <w:u w:val="single" w:color="auto"/>
          <w:color w:val="auto"/>
        </w:rPr>
        <w:t>Swingline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64"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Swingline Lender agree to make Swingline Loans in dollars to the Borrower from time to time during the Availability Period in an aggregate principal amount at any time outstanding that will not result in (i) the aggregate principal amount of outstanding Swingline Loans exceeding the Swingline Commitment, (ii) the total Revolving Credit Exposures exceeding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prior to the Endeavor Acquisition Effective Date, the total Existing Commitments and (y) from and after the Endeavor Acquisition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Commitments, or (iii) the Swingline Lender’s Revolving Credit Exposure exceeding its Commitment;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Each Swingline Loan shall be in an amount that is an integral multiple of $1,000,000 and not less than $5,000,000;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Swingline Loan may be in an aggregate amount that is equal to the entire available balance of the total Swingline Commitments or that is required to finance the reimbursement of an LC Disbursement as contemplated by </w:t>
      </w:r>
      <w:r>
        <w:rPr>
          <w:rFonts w:ascii="Times New Roman" w:cs="Times New Roman" w:eastAsia="Times New Roman" w:hAnsi="Times New Roman"/>
          <w:sz w:val="18"/>
          <w:szCs w:val="18"/>
          <w:u w:val="single" w:color="auto"/>
          <w:color w:val="000000"/>
        </w:rPr>
        <w:t>Section 2.08(e)</w:t>
      </w:r>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01"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Request and Funding of Swingline Loans</w:t>
      </w:r>
      <w:r>
        <w:rPr>
          <w:rFonts w:ascii="Times New Roman" w:cs="Times New Roman" w:eastAsia="Times New Roman" w:hAnsi="Times New Roman"/>
          <w:sz w:val="18"/>
          <w:szCs w:val="18"/>
          <w:color w:val="auto"/>
        </w:rPr>
        <w:t xml:space="preserve">. To request a Swingline Loan, the Borrower shall notify the Administrative Agent of such request by telephone (confirmed by telecopy or electronic mail), not later than 1:00 p.m., Houston, Texas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Administrative Agent who will in turn make such amount received available to the Borrower by means of a credit to the general deposit account of the Borrower with the Administrative Agent (or,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by remittance to the Issuing Bank) by 3:00 p.m., Houston, Texas time, on the requested date of such Swingline Loan.</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both"/>
        <w:ind w:firstLine="1304"/>
        <w:spacing w:after="0" w:line="252" w:lineRule="auto"/>
        <w:tabs>
          <w:tab w:leader="none" w:pos="1824" w:val="left"/>
        </w:tabs>
        <w:numPr>
          <w:ilvl w:val="0"/>
          <w:numId w:val="1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The Swingline Lender may by written notice given to the Administrative Agent not later than 10:00 a.m., Houston, Texas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each Swingline Lender, such Lender’s Applicable Percentage of such Swingline Loan or Loans. Each Lender acknowledges and agrees that its obligation to acquire participations in Swingline Loans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Lender shall comply with its obligation under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by wire transfer of immediately available funds, in the same manner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and to such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not relieve the Borrower of any default in the payment thereof.</w:t>
      </w:r>
    </w:p>
    <w:p>
      <w:pPr>
        <w:spacing w:after="0" w:line="18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96" w:val="left"/>
        </w:tabs>
        <w:numPr>
          <w:ilvl w:val="0"/>
          <w:numId w:val="1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no Swingline Lender shall be obligated to make any Swingline Loan at a time when any other Lender is a Defaulting Lender, unless such Swingline Lender has entered into arrangements (which may include the delivery of cash collateral) with the Borrower or such Defaulting Lender which are satisfactory to such Swingline Lender to eliminate such Swingline Lender’s Fronting Exposure (after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with respect to any such Defaulting Lender.</w:t>
      </w:r>
    </w:p>
    <w:p>
      <w:pPr>
        <w:spacing w:after="0" w:line="179"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59" w:val="left"/>
        </w:tabs>
        <w:numPr>
          <w:ilvl w:val="0"/>
          <w:numId w:val="1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Replacement of the Swingline Lender</w:t>
      </w:r>
      <w:r>
        <w:rPr>
          <w:rFonts w:ascii="Times New Roman" w:cs="Times New Roman" w:eastAsia="Times New Roman" w:hAnsi="Times New Roman"/>
          <w:sz w:val="18"/>
          <w:szCs w:val="18"/>
          <w:color w:val="auto"/>
        </w:rPr>
        <w:t>. The Swingline Lender may be replaced at any time by written agreement among the Borrower, the Administrative Agent, the replaced Swingline Lender, and the successor Swingline Lender. The Administrative Agent shall notify the Lenders of any such replacement of the Swingline Lender. After the resignation of the Swingline Lender hereunder, the replaced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2.12 </w:t>
      </w:r>
      <w:r>
        <w:rPr>
          <w:rFonts w:ascii="Times New Roman" w:cs="Times New Roman" w:eastAsia="Times New Roman" w:hAnsi="Times New Roman"/>
          <w:sz w:val="18"/>
          <w:szCs w:val="18"/>
          <w:u w:val="single" w:color="auto"/>
          <w:color w:val="000000"/>
        </w:rPr>
        <w:t>Extension of Maturity Date</w:t>
      </w:r>
      <w:r>
        <w:rPr>
          <w:rFonts w:ascii="Times New Roman" w:cs="Times New Roman" w:eastAsia="Times New Roman" w:hAnsi="Times New Roman"/>
          <w:sz w:val="18"/>
          <w:szCs w:val="18"/>
          <w:color w:val="000000"/>
        </w:rPr>
        <w:t>. The Borrower may, by delivery of a Maturity Date Extension Request to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(which shall promptly deliver a copy to each of the Lenders) not less than forty-five (45) days and not more than seventy-five (75) days prior to any anniversary of the Twelfth Amendment Effective Date, request that the Lenders extend the Maturity Date for an additional period of one year;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only three such extensions will be granted during the tenure of the Facility (it being acknowledged and understood that after the </w:t>
      </w:r>
      <w:r>
        <w:rPr>
          <w:rFonts w:ascii="Times New Roman" w:cs="Times New Roman" w:eastAsia="Times New Roman" w:hAnsi="Times New Roman"/>
          <w:sz w:val="18"/>
          <w:szCs w:val="18"/>
          <w:color w:val="FF0000"/>
          <w:strike w:val="1"/>
        </w:rPr>
        <w:t>Thirteenth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Amendment Effective Date</w:t>
      </w:r>
      <w:r>
        <w:rPr>
          <w:rFonts w:ascii="Times New Roman" w:cs="Times New Roman" w:eastAsia="Times New Roman" w:hAnsi="Times New Roman"/>
          <w:sz w:val="18"/>
          <w:szCs w:val="18"/>
          <w:u w:val="single" w:color="auto"/>
          <w:color w:val="0000FF"/>
        </w:rPr>
        <w:t>extension of the Maturity Date that became effective on June 2, 2023</w:t>
      </w:r>
      <w:r>
        <w:rPr>
          <w:rFonts w:ascii="Times New Roman" w:cs="Times New Roman" w:eastAsia="Times New Roman" w:hAnsi="Times New Roman"/>
          <w:sz w:val="18"/>
          <w:szCs w:val="18"/>
          <w:color w:val="000000"/>
        </w:rPr>
        <w:t>, only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two</w:t>
      </w:r>
      <w:r>
        <w:rPr>
          <w:rFonts w:ascii="Times New Roman" w:cs="Times New Roman" w:eastAsia="Times New Roman" w:hAnsi="Times New Roman"/>
          <w:sz w:val="18"/>
          <w:szCs w:val="18"/>
          <w:u w:val="single" w:color="auto"/>
          <w:color w:val="0000FF"/>
        </w:rPr>
        <w:t>one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extensions</w:t>
      </w:r>
      <w:r>
        <w:rPr>
          <w:rFonts w:ascii="Times New Roman" w:cs="Times New Roman" w:eastAsia="Times New Roman" w:hAnsi="Times New Roman"/>
          <w:sz w:val="18"/>
          <w:szCs w:val="18"/>
          <w:u w:val="single" w:color="auto"/>
          <w:color w:val="0000FF"/>
        </w:rPr>
        <w:t>extension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will be granted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during the tenure of the Facility) and (b) for the avoidance of doubt, after giving effect to any permitted extension pursuant to this </w:t>
      </w:r>
      <w:r>
        <w:rPr>
          <w:rFonts w:ascii="Times New Roman" w:cs="Times New Roman" w:eastAsia="Times New Roman" w:hAnsi="Times New Roman"/>
          <w:sz w:val="18"/>
          <w:szCs w:val="18"/>
          <w:u w:val="single" w:color="auto"/>
          <w:color w:val="000000"/>
        </w:rPr>
        <w:t>Section 2.12</w:t>
      </w:r>
      <w:r>
        <w:rPr>
          <w:rFonts w:ascii="Times New Roman" w:cs="Times New Roman" w:eastAsia="Times New Roman" w:hAnsi="Times New Roman"/>
          <w:sz w:val="18"/>
          <w:szCs w:val="18"/>
          <w:color w:val="000000"/>
        </w:rPr>
        <w:t>, the resulting maturity of the Facility shall not exceed five (5) years as of any date of determination. Each Lender shall, by written notice to the Borrower and the Administrative Agent given not later than the twentieth (20th) day after the date of the Administrative Agent’s receipt of the Borrower’s Maturity Date Extension Request, advise the Borrower and the Administrative Agent whether or not it agrees to the requested extension (each Lender agreeing to a requested extension being called a “</w:t>
      </w:r>
      <w:r>
        <w:rPr>
          <w:rFonts w:ascii="Times New Roman" w:cs="Times New Roman" w:eastAsia="Times New Roman" w:hAnsi="Times New Roman"/>
          <w:sz w:val="18"/>
          <w:szCs w:val="18"/>
          <w:u w:val="single" w:color="auto"/>
          <w:color w:val="000000"/>
        </w:rPr>
        <w:t>Consenting Lender</w:t>
      </w:r>
      <w:r>
        <w:rPr>
          <w:rFonts w:ascii="Times New Roman" w:cs="Times New Roman" w:eastAsia="Times New Roman" w:hAnsi="Times New Roman"/>
          <w:sz w:val="18"/>
          <w:szCs w:val="18"/>
          <w:color w:val="000000"/>
        </w:rPr>
        <w:t>” and each Lender declining to agree to a requested extension being called a “</w:t>
      </w:r>
      <w:r>
        <w:rPr>
          <w:rFonts w:ascii="Times New Roman" w:cs="Times New Roman" w:eastAsia="Times New Roman" w:hAnsi="Times New Roman"/>
          <w:sz w:val="18"/>
          <w:szCs w:val="18"/>
          <w:u w:val="single" w:color="auto"/>
          <w:color w:val="000000"/>
        </w:rPr>
        <w:t>Declining Lender</w:t>
      </w:r>
      <w:r>
        <w:rPr>
          <w:rFonts w:ascii="Times New Roman" w:cs="Times New Roman" w:eastAsia="Times New Roman" w:hAnsi="Times New Roman"/>
          <w:sz w:val="18"/>
          <w:szCs w:val="18"/>
          <w:color w:val="000000"/>
        </w:rPr>
        <w:t>”). Any Lender that has not so advised the Borrower and the Administrative Agent by such day shall be deemed to have declined to agree to such extension and shall be a Declining Lender. If Lenders constituting the Majority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Times New Roman" w:cs="Times New Roman" w:eastAsia="Times New Roman" w:hAnsi="Times New Roman"/>
          <w:sz w:val="18"/>
          <w:szCs w:val="18"/>
          <w:u w:val="single" w:color="auto"/>
          <w:color w:val="000000"/>
        </w:rPr>
        <w:t>Existing Maturity Date</w:t>
      </w:r>
      <w:r>
        <w:rPr>
          <w:rFonts w:ascii="Times New Roman" w:cs="Times New Roman" w:eastAsia="Times New Roman" w:hAnsi="Times New Roman"/>
          <w:sz w:val="18"/>
          <w:szCs w:val="18"/>
          <w:color w:val="000000"/>
        </w:rPr>
        <w:t xml:space="preserve">”). The principal amount of any outstanding Loans made by Declining Lenders, together with any accrued interest thereon and any accrued fees and other amounts payable to or for the account of such Declining Lenders hereunder, shall be due and payable on the Existing Maturity Date, and on the Existing Maturity Date, the Borrower shall also make such other prepayments of its Loans pursuant to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00000"/>
        </w:rPr>
        <w:t xml:space="preserve"> as shall be required in order that, after giving effect to the termination of the Commitments of, and all payments to, Declining Lenders pursuant to this sentence, the sum of the total Revolving Credit Exposures shall not exceed </w:t>
      </w:r>
      <w:r>
        <w:rPr>
          <w:rFonts w:ascii="Times New Roman" w:cs="Times New Roman" w:eastAsia="Times New Roman" w:hAnsi="Times New Roman"/>
          <w:sz w:val="18"/>
          <w:szCs w:val="18"/>
          <w:u w:val="single" w:color="auto"/>
          <w:color w:val="0000FF"/>
        </w:rPr>
        <w:t>(x) prior to the Endeavor Acquisition Effective Date, the total Existing Commitments and (y) from and after the Endeavor Acquisition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 Commitments. Notwithstanding the foregoing provisions of this paragraph, the Borrower shall have the right, pursuant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12.04</w:t>
      </w:r>
      <w:r>
        <w:rPr>
          <w:rFonts w:ascii="Times New Roman" w:cs="Times New Roman" w:eastAsia="Times New Roman" w:hAnsi="Times New Roman"/>
          <w:sz w:val="18"/>
          <w:szCs w:val="18"/>
          <w:color w:val="000000"/>
        </w:rPr>
        <w:t xml:space="preserve">, at any time prior to the Existing Maturity Date, to replace a Declining Lender with a Lender or other financial institution that will agree to a Maturity Date Extension Request,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delivered with respect to the Borrower under </w:t>
      </w:r>
      <w:r>
        <w:rPr>
          <w:rFonts w:ascii="Times New Roman" w:cs="Times New Roman" w:eastAsia="Times New Roman" w:hAnsi="Times New Roman"/>
          <w:sz w:val="18"/>
          <w:szCs w:val="18"/>
          <w:u w:val="single" w:color="auto"/>
          <w:color w:val="000000"/>
        </w:rPr>
        <w:t>Sections 6.01(b)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(c)</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of the Existing Credit Agreement</w:t>
      </w:r>
      <w:r>
        <w:rPr>
          <w:rFonts w:ascii="Times New Roman" w:cs="Times New Roman" w:eastAsia="Times New Roman" w:hAnsi="Times New Roman"/>
          <w:sz w:val="18"/>
          <w:szCs w:val="18"/>
          <w:color w:val="000000"/>
        </w:rPr>
        <w:t xml:space="preserve">, giving effect to such extension and (ii) on the anniversary of the Twelfth Amendment Effective Date that immediately follows the date on which the Borrower delivers the applicable Maturity Date Extension Request, (A) the conditions set forth in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shall be satisfied, (B) there has been no change since the later of December 31,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 xml:space="preserve"> and the date of the latest financial statements delivered pursuant to </w:t>
      </w:r>
      <w:r>
        <w:rPr>
          <w:rFonts w:ascii="Times New Roman" w:cs="Times New Roman" w:eastAsia="Times New Roman" w:hAnsi="Times New Roman"/>
          <w:sz w:val="18"/>
          <w:szCs w:val="18"/>
          <w:u w:val="single" w:color="auto"/>
          <w:color w:val="000000"/>
        </w:rPr>
        <w:t>Section 8.01(a)</w:t>
      </w:r>
      <w:r>
        <w:rPr>
          <w:rFonts w:ascii="Times New Roman" w:cs="Times New Roman" w:eastAsia="Times New Roman" w:hAnsi="Times New Roman"/>
          <w:sz w:val="18"/>
          <w:szCs w:val="18"/>
          <w:color w:val="000000"/>
        </w:rPr>
        <w:t xml:space="preserve"> that has resulted in a Material Adverse Effect that is continuing and (C) the Administrative Agent shall have received a certificate to that effect dated such date and executed by the President, a Vice President or a Financial Officer of the Borrower.</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OF PRINCIPAL AND INTEREST; PREPAYMENTS; FEES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3.01 </w:t>
      </w:r>
      <w:r>
        <w:rPr>
          <w:rFonts w:ascii="Times New Roman" w:cs="Times New Roman" w:eastAsia="Times New Roman" w:hAnsi="Times New Roman"/>
          <w:sz w:val="18"/>
          <w:szCs w:val="18"/>
          <w:u w:val="single" w:color="auto"/>
          <w:color w:val="000000"/>
        </w:rPr>
        <w:t>Repayment of Loans</w:t>
      </w:r>
      <w:r>
        <w:rPr>
          <w:rFonts w:ascii="Times New Roman" w:cs="Times New Roman" w:eastAsia="Times New Roman" w:hAnsi="Times New Roman"/>
          <w:sz w:val="18"/>
          <w:szCs w:val="18"/>
          <w:color w:val="000000"/>
        </w:rPr>
        <w:t>. The Borrower hereby unconditionally promises to pay, (a) to the Administrative Agent for the account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Lender the then unpaid principal amount of each Revolving Loan on the Maturity Date and (b) with respect to Swingline Loans made to it, to the Administrative Agent for the account of each Swingline Lender the then unpaid principal amount of each Swingline Loan on the earlier of the Maturity Date and the Swingline Due Date. “</w:t>
      </w:r>
      <w:r>
        <w:rPr>
          <w:rFonts w:ascii="Times New Roman" w:cs="Times New Roman" w:eastAsia="Times New Roman" w:hAnsi="Times New Roman"/>
          <w:sz w:val="18"/>
          <w:szCs w:val="18"/>
          <w:u w:val="single" w:color="auto"/>
          <w:color w:val="000000"/>
        </w:rPr>
        <w:t>Swingline Due Date</w:t>
      </w:r>
      <w:r>
        <w:rPr>
          <w:rFonts w:ascii="Times New Roman" w:cs="Times New Roman" w:eastAsia="Times New Roman" w:hAnsi="Times New Roman"/>
          <w:sz w:val="18"/>
          <w:szCs w:val="18"/>
          <w:color w:val="000000"/>
        </w:rPr>
        <w:t>” means for each Swingline Loan, the next Business Day from the date the Swingline Loan has been disbursed.</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3.02</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017"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The Loans comprising each ABR Revolving Borrowing shall bear interest at the Alternate Base Rate plus the Applicable Margin, but in no event to exceed the Highest Lawful Rate.</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866"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SOFR Loans</w:t>
      </w:r>
      <w:r>
        <w:rPr>
          <w:rFonts w:ascii="Times New Roman" w:cs="Times New Roman" w:eastAsia="Times New Roman" w:hAnsi="Times New Roman"/>
          <w:sz w:val="18"/>
          <w:szCs w:val="18"/>
          <w:color w:val="auto"/>
        </w:rPr>
        <w:t>. The Loans comprising each SOFR Revolving Borrowing shall bear interest at Adjusted Term SOFR for the Interest Period in effect for such Borrowing plus the Applicable Margin, but in no event to exceed the Highest Lawful Rate.</w:t>
      </w:r>
    </w:p>
    <w:p>
      <w:pPr>
        <w:spacing w:after="0" w:line="161" w:lineRule="exact"/>
        <w:rPr>
          <w:rFonts w:ascii="Times New Roman" w:cs="Times New Roman" w:eastAsia="Times New Roman" w:hAnsi="Times New Roman"/>
          <w:sz w:val="18"/>
          <w:szCs w:val="18"/>
          <w:color w:val="010000"/>
        </w:rPr>
      </w:pPr>
    </w:p>
    <w:p>
      <w:pPr>
        <w:jc w:val="both"/>
        <w:ind w:right="20" w:firstLine="1304"/>
        <w:spacing w:after="0" w:line="266" w:lineRule="auto"/>
        <w:tabs>
          <w:tab w:leader="none" w:pos="1896"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Each Swingline Loan shall bear interest from the date it is disbursed at a rate specified by the Borrower at the time of the request of such Loan equal to (i) Adjusted Term SOFR for a one-month Interest Period on such day (or if such day is not a Business Day, the immediately preceding Business Day) plus (ii) 1%.</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893"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Post-Default Rate</w:t>
      </w:r>
      <w:r>
        <w:rPr>
          <w:rFonts w:ascii="Times New Roman" w:cs="Times New Roman" w:eastAsia="Times New Roman" w:hAnsi="Times New Roman"/>
          <w:sz w:val="18"/>
          <w:szCs w:val="18"/>
          <w:color w:val="auto"/>
        </w:rPr>
        <w:t xml:space="preserve">. Notwithstanding the foregoing, if any principal of or interest on any Loan or any fee or other amount payable by the Parent Guarantor or the Borrower hereunder is not paid when due, whether at stated maturity, upon acceleration or otherwise, such overdue amount shall bear interest, after as well as before judgment, at a rate per annum equal to two percent (2%) plus the rate applicable to ABR Loans as provided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but not to exceed the Highest Lawful Rate.</w:t>
      </w:r>
    </w:p>
    <w:p>
      <w:pPr>
        <w:spacing w:after="0" w:line="179"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09"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xml:space="preserve">. Accrued interest on each Loan shall be payable in arrears on each Interest Payment Date for such Loan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Section 3.02(d)</w:t>
      </w:r>
      <w:r>
        <w:rPr>
          <w:rFonts w:ascii="Times New Roman" w:cs="Times New Roman" w:eastAsia="Times New Roman" w:hAnsi="Times New Roman"/>
          <w:sz w:val="18"/>
          <w:szCs w:val="18"/>
          <w:color w:val="auto"/>
        </w:rPr>
        <w:t xml:space="preserve"> shall be payable on demand, (ii) in the event of any repayment or prepayment of any Loan (other than an optional prepayment of an ABR Revolving Loan prior to the Termination Date), accrued interest on the principal amount repaid or prepaid shall be payable on the date of such repayment or prepayment, and (iii) in the event of any conversion of any SOFR Revolving Loan prior to the end of the current Interest Period therefor, accrued interest on such Loan shall be payable on the effective date of such conversion.</w:t>
      </w:r>
    </w:p>
    <w:p>
      <w:pPr>
        <w:spacing w:after="0" w:line="183"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894"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Interest Rate Computations</w:t>
      </w:r>
      <w:r>
        <w:rPr>
          <w:rFonts w:ascii="Times New Roman" w:cs="Times New Roman" w:eastAsia="Times New Roman" w:hAnsi="Times New Roman"/>
          <w:sz w:val="18"/>
          <w:szCs w:val="18"/>
          <w:color w:val="auto"/>
        </w:rPr>
        <w:t>. All interest hereunder shall be computed on the basis of a year of 360 days, unless such computation would exceed the Highest Lawful Rate, in which case interest shall be computed on the basis of a year of 365 days (or 366 days in a leap year),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Term SOFR and Term SOFR shall be determined by the Administrative Agent, and such determination shall be conclusive absent manifest error, and be binding upon the parties hereto.</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7" w:name="page228"/>
    <w:bookmarkEnd w:id="227"/>
    <w:p>
      <w:pPr>
        <w:jc w:val="both"/>
        <w:ind w:firstLine="1304"/>
        <w:spacing w:after="0" w:line="258" w:lineRule="auto"/>
        <w:tabs>
          <w:tab w:leader="none" w:pos="1947"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3.03</w:t>
      </w:r>
      <w:r>
        <w:rPr>
          <w:sz w:val="20"/>
          <w:szCs w:val="20"/>
          <w:color w:val="auto"/>
        </w:rPr>
        <w:tab/>
      </w:r>
      <w:r>
        <w:rPr>
          <w:rFonts w:ascii="Times New Roman" w:cs="Times New Roman" w:eastAsia="Times New Roman" w:hAnsi="Times New Roman"/>
          <w:sz w:val="17"/>
          <w:szCs w:val="17"/>
          <w:u w:val="single" w:color="auto"/>
          <w:color w:val="auto"/>
        </w:rPr>
        <w:t>Changed Circumstances</w:t>
      </w:r>
      <w:r>
        <w:rPr>
          <w:rFonts w:ascii="Times New Roman" w:cs="Times New Roman" w:eastAsia="Times New Roman" w:hAnsi="Times New Roman"/>
          <w:sz w:val="17"/>
          <w:szCs w:val="17"/>
          <w:u w:val="single" w:color="auto"/>
          <w:color w:val="FF0000"/>
        </w:rPr>
        <w:t>.</w:t>
      </w:r>
      <w:r>
        <w:rPr>
          <w:rFonts w:ascii="Times New Roman" w:cs="Times New Roman" w:eastAsia="Times New Roman" w:hAnsi="Times New Roman"/>
          <w:sz w:val="17"/>
          <w:szCs w:val="17"/>
          <w:color w:val="010000"/>
        </w:rPr>
        <w:t>(a)</w:t>
      </w:r>
    </w:p>
    <w:p>
      <w:pPr>
        <w:spacing w:after="0" w:line="225" w:lineRule="exact"/>
        <w:rPr>
          <w:sz w:val="20"/>
          <w:szCs w:val="20"/>
          <w:color w:val="auto"/>
        </w:rPr>
      </w:pPr>
    </w:p>
    <w:p>
      <w:pPr>
        <w:jc w:val="both"/>
        <w:ind w:firstLine="1304"/>
        <w:spacing w:after="0" w:line="252" w:lineRule="auto"/>
        <w:tabs>
          <w:tab w:leader="none" w:pos="1855"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Circumstances Affecting Benchmark Availability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Term SOFR for the applicable Interest Period with respect to a proposed SOFR Loan on or prior to the first day of such Interest Period or (ii) the Majority Lenders shall determine (which determination shall be conclusive and binding absent manifest error) that Adjusted Term SOFR does not adequately and fairly reflect the cost to such Lenders of making or maintaining such Loans during such Interest Period,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Majority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both"/>
        <w:ind w:firstLine="1304"/>
        <w:spacing w:after="0" w:line="252" w:lineRule="auto"/>
        <w:tabs>
          <w:tab w:leader="none" w:pos="2036"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Laws Affecting SOFR Availability</w:t>
      </w:r>
      <w:r>
        <w:rPr>
          <w:rFonts w:ascii="Times New Roman" w:cs="Times New Roman" w:eastAsia="Times New Roman" w:hAnsi="Times New Roman"/>
          <w:sz w:val="18"/>
          <w:szCs w:val="18"/>
          <w:color w:val="auto"/>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Adjusted Term SOFR or Term SOFR, such Lender shall promptly give notice thereof to the Administrative Agent and the Administrative Agent shall promptly give notice to the Borrower and the other Lenders. Thereafter, until the Administrative Agent notifies the Borrower that such circumstances no longer exist, (i) any obligation of the Lenders to make SOFR Loans, and any right of the Borrower to convert any Loan to a SOFR Loan or continue any Loan as a SOFR Loan, shall be suspended and (ii) if necessary to avoid such illegality, the Administrative Agent shall compute the Alternate Base Rate without reference to clause (c) of the definition of “Alternate Base Rate”, in each case until each such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convert all SOFR Loans to ABR Loans (in each case, if necessary to avoid such illegality, the Administrative Agent shall compute the Alternate Base Rate without reference to clause (c)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620" w:hanging="668"/>
        <w:spacing w:after="0"/>
        <w:tabs>
          <w:tab w:leader="none" w:pos="262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Majority Lenders. No replacement of a Benchmark with a Benchmark Replacement pursuant to this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201" w:lineRule="exact"/>
        <w:rPr>
          <w:sz w:val="20"/>
          <w:szCs w:val="20"/>
          <w:color w:val="auto"/>
        </w:rPr>
      </w:pPr>
    </w:p>
    <w:p>
      <w:pPr>
        <w:jc w:val="both"/>
        <w:ind w:firstLine="1952"/>
        <w:spacing w:after="0" w:line="261" w:lineRule="auto"/>
        <w:tabs>
          <w:tab w:leader="none" w:pos="2614"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619"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both"/>
        <w:ind w:firstLine="1952"/>
        <w:spacing w:after="0" w:line="253" w:lineRule="auto"/>
        <w:tabs>
          <w:tab w:leader="none" w:pos="2905"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7" w:lineRule="exact"/>
        <w:rPr>
          <w:rFonts w:ascii="Times New Roman" w:cs="Times New Roman" w:eastAsia="Times New Roman" w:hAnsi="Times New Roman"/>
          <w:sz w:val="18"/>
          <w:szCs w:val="18"/>
          <w:color w:val="010000"/>
        </w:rPr>
      </w:pPr>
    </w:p>
    <w:p>
      <w:pPr>
        <w:jc w:val="both"/>
        <w:ind w:firstLine="1952"/>
        <w:spacing w:after="0" w:line="255" w:lineRule="auto"/>
        <w:tabs>
          <w:tab w:leader="none" w:pos="2864"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010000"/>
        </w:rPr>
        <w:t>Section 3.04</w:t>
      </w:r>
      <w:r>
        <w:rPr>
          <w:sz w:val="20"/>
          <w:szCs w:val="20"/>
          <w:color w:val="auto"/>
        </w:rPr>
        <w:tab/>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031"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Borrower shall have the right at any time and from time to time to prepay any Borrowing in whole or in part, subject to prior notice in accordance with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both"/>
        <w:ind w:firstLine="1304"/>
        <w:spacing w:after="0" w:line="253" w:lineRule="auto"/>
        <w:tabs>
          <w:tab w:leader="none" w:pos="2077"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and Terms of Optional Prepayment</w:t>
      </w:r>
      <w:r>
        <w:rPr>
          <w:rFonts w:ascii="Times New Roman" w:cs="Times New Roman" w:eastAsia="Times New Roman" w:hAnsi="Times New Roman"/>
          <w:sz w:val="18"/>
          <w:szCs w:val="18"/>
          <w:color w:val="auto"/>
        </w:rPr>
        <w:t xml:space="preserve">. The Borrower shall notify the Administrative Agent by telephone (confirmed by telecopy or other communication in writing acceptable to the Administrative Agent) of any prepayment hereunder (i) in the case of prepayment of a SOFR Revolving Borrowing, not later than 12:00 noon, Houston, Texas time, three U.S. Government Securities Business Days before the date of prepayment (ii) in the case of prepayment of an ABR Revolving Borrowing, not later than 12:00 noon, Houston, Texas time, one Business Day before the date of prepayment, or (iii) in the case of prepayment of a Swingline Loan, not later than 12:00 noon, Houston, Texas time, on the date of prepayment. Each such notice shall be irrevocable and shall specify the prepayment date and the principal amount of each Borrowing or portion thereof to be prepaid, and whether the prepayment is of SOFR Loans, ABR Loans, or a combination thereof, and the amount allocable to each.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Each prepayment of a Revolving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708"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after giving effect to any termination or reduction of the total Commitments pursuant to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2.06(b)</w:t>
      </w:r>
      <w:r>
        <w:rPr>
          <w:rFonts w:ascii="Times New Roman" w:cs="Times New Roman" w:eastAsia="Times New Roman" w:hAnsi="Times New Roman"/>
          <w:sz w:val="18"/>
          <w:szCs w:val="18"/>
          <w:color w:val="auto"/>
        </w:rPr>
        <w:t xml:space="preserve">, the total Revolving Credit Exposures exceeds </w:t>
      </w:r>
      <w:r>
        <w:rPr>
          <w:rFonts w:ascii="Times New Roman" w:cs="Times New Roman" w:eastAsia="Times New Roman" w:hAnsi="Times New Roman"/>
          <w:sz w:val="18"/>
          <w:szCs w:val="18"/>
          <w:u w:val="single" w:color="auto"/>
          <w:color w:val="0000FF"/>
        </w:rPr>
        <w:t>(x) prior to the Endeavor Acquisition Effective Date, the total Existing Commitments and (y)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after the Endeavor Acquisition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 Commitments, then the Borrower shall immediately (and in any event on the Business Day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such termination or reduction) (A) prepay the Borrowings in an aggregate principal amount equal to such excess, and (B) if any excess remains after prepaying all of the Borrowings as a result of an LC Exposure, pay to the Administrative Agent on behalf of the Lenders an amount equal to such excess to be held as cash collateral as provided in </w:t>
      </w:r>
      <w:r>
        <w:rPr>
          <w:rFonts w:ascii="Times New Roman" w:cs="Times New Roman" w:eastAsia="Times New Roman" w:hAnsi="Times New Roman"/>
          <w:sz w:val="18"/>
          <w:szCs w:val="18"/>
          <w:u w:val="single" w:color="auto"/>
          <w:color w:val="000000"/>
        </w:rPr>
        <w:t>Section 2.08(j)</w:t>
      </w:r>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010000"/>
        </w:rPr>
      </w:pPr>
    </w:p>
    <w:p>
      <w:pPr>
        <w:jc w:val="both"/>
        <w:ind w:firstLine="1952"/>
        <w:spacing w:after="0" w:line="261" w:lineRule="auto"/>
        <w:tabs>
          <w:tab w:leader="none" w:pos="2614"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prepayment of Borrowings pursuant to this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shall be applied, first, ratably to any ABR Borrowings then outstanding, and, second, to any SOFR Borrowings then outstanding, and if more than one SOFR Borrowing is then outstanding, to each such SOFR Borrowing in order of priority beginning with the SOFR Borrowing with the least number of days remaining in the Interest Period applicable thereto and ending with the SOFR Borrowing with the most number of days remaining in the Interest Period applicable thereto.</w:t>
      </w:r>
    </w:p>
    <w:p>
      <w:pPr>
        <w:spacing w:after="0" w:line="179" w:lineRule="exact"/>
        <w:rPr>
          <w:rFonts w:ascii="Times New Roman" w:cs="Times New Roman" w:eastAsia="Times New Roman" w:hAnsi="Times New Roman"/>
          <w:sz w:val="18"/>
          <w:szCs w:val="18"/>
          <w:color w:val="010000"/>
        </w:rPr>
      </w:pPr>
    </w:p>
    <w:p>
      <w:pPr>
        <w:ind w:firstLine="1952"/>
        <w:spacing w:after="0" w:line="282" w:lineRule="auto"/>
        <w:tabs>
          <w:tab w:leader="none" w:pos="2686"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prepayment of Borrowings pursuant to this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shall be applied ratably to the Loans included in the prepaid Borrowings. Prepayments pursuant to this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shall be accompanied by accrued interest to the extent required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ind w:right="20" w:firstLine="1304"/>
        <w:spacing w:after="0" w:line="282" w:lineRule="auto"/>
        <w:tabs>
          <w:tab w:leader="none" w:pos="2000"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Premium or Penalty</w:t>
      </w:r>
      <w:r>
        <w:rPr>
          <w:rFonts w:ascii="Times New Roman" w:cs="Times New Roman" w:eastAsia="Times New Roman" w:hAnsi="Times New Roman"/>
          <w:sz w:val="18"/>
          <w:szCs w:val="18"/>
          <w:color w:val="auto"/>
        </w:rPr>
        <w:t xml:space="preserve">. Prepayments permitted or required under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be without premium or penalty, except as required under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3.05</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Ticking Fees</w:t>
      </w:r>
      <w:r>
        <w:rPr>
          <w:rFonts w:ascii="Times New Roman" w:cs="Times New Roman" w:eastAsia="Times New Roman" w:hAnsi="Times New Roman"/>
          <w:sz w:val="18"/>
          <w:szCs w:val="18"/>
          <w:color w:val="auto"/>
        </w:rPr>
        <w:t>. The Borrower agrees to pay to the Administrative Agent</w:t>
      </w:r>
      <w:r>
        <w:rPr>
          <w:rFonts w:ascii="Times New Roman" w:cs="Times New Roman" w:eastAsia="Times New Roman" w:hAnsi="Times New Roman"/>
          <w:sz w:val="18"/>
          <w:szCs w:val="18"/>
          <w:u w:val="single" w:color="auto"/>
          <w:color w:val="0000FF"/>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61" w:lineRule="auto"/>
        <w:tabs>
          <w:tab w:leader="none" w:pos="2878" w:val="left"/>
        </w:tabs>
        <w:numPr>
          <w:ilvl w:val="1"/>
          <w:numId w:val="16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for the account of each </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auto"/>
        </w:rPr>
        <w:t xml:space="preserve"> Lender</w:t>
      </w:r>
      <w:r>
        <w:rPr>
          <w:rFonts w:ascii="Times New Roman" w:cs="Times New Roman" w:eastAsia="Times New Roman" w:hAnsi="Times New Roman"/>
          <w:sz w:val="18"/>
          <w:szCs w:val="18"/>
          <w:u w:val="single" w:color="auto"/>
          <w:color w:val="0000FF"/>
        </w:rPr>
        <w:t>, from and including the Fourteenth Amendment Effective Date, to but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excluding the earliest of (x) the Endeavor Acquisition Effective Date, (y) the Endeavor Acquisition Termination Date and (z) the Termination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 fee, which shall accrue at the Commitment Fee Rate on the average daily amount of the unused amount of the </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000000"/>
        </w:rPr>
        <w:t xml:space="preserve"> Commitment of such Lender (without giving effect to such Lender’s Swingline Exposures) </w:t>
      </w:r>
      <w:r>
        <w:rPr>
          <w:rFonts w:ascii="Times New Roman" w:cs="Times New Roman" w:eastAsia="Times New Roman" w:hAnsi="Times New Roman"/>
          <w:sz w:val="18"/>
          <w:szCs w:val="18"/>
          <w:color w:val="FF0000"/>
          <w:strike w:val="1"/>
        </w:rPr>
        <w:t>during</w:t>
      </w:r>
      <w:r>
        <w:rPr>
          <w:rFonts w:ascii="Times New Roman" w:cs="Times New Roman" w:eastAsia="Times New Roman" w:hAnsi="Times New Roman"/>
          <w:sz w:val="18"/>
          <w:szCs w:val="18"/>
          <w:u w:val="single" w:color="auto"/>
          <w:color w:val="0000FF"/>
        </w:rPr>
        <w:t>;</w:t>
      </w:r>
    </w:p>
    <w:p>
      <w:pPr>
        <w:spacing w:after="0" w:line="179" w:lineRule="exact"/>
        <w:rPr>
          <w:rFonts w:ascii="Times New Roman" w:cs="Times New Roman" w:eastAsia="Times New Roman" w:hAnsi="Times New Roman"/>
          <w:sz w:val="18"/>
          <w:szCs w:val="18"/>
          <w:color w:val="0000FF"/>
        </w:rPr>
      </w:pPr>
    </w:p>
    <w:p>
      <w:pPr>
        <w:jc w:val="both"/>
        <w:ind w:firstLine="1952"/>
        <w:spacing w:after="0" w:line="266" w:lineRule="auto"/>
        <w:tabs>
          <w:tab w:leader="none" w:pos="2668" w:val="left"/>
        </w:tabs>
        <w:numPr>
          <w:ilvl w:val="1"/>
          <w:numId w:val="16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period</w:t>
      </w:r>
      <w:r>
        <w:rPr>
          <w:rFonts w:ascii="Times New Roman" w:cs="Times New Roman" w:eastAsia="Times New Roman" w:hAnsi="Times New Roman"/>
          <w:sz w:val="18"/>
          <w:szCs w:val="18"/>
          <w:u w:val="single" w:color="auto"/>
          <w:color w:val="0000FF"/>
        </w:rPr>
        <w:t>account of each Increased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from and including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June 10, 2024, to but excluding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date</w:t>
      </w:r>
      <w:r>
        <w:rPr>
          <w:rFonts w:ascii="Times New Roman" w:cs="Times New Roman" w:eastAsia="Times New Roman" w:hAnsi="Times New Roman"/>
          <w:sz w:val="18"/>
          <w:szCs w:val="18"/>
          <w:u w:val="single" w:color="auto"/>
          <w:color w:val="0000FF"/>
        </w:rPr>
        <w:t>earlier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this Agreement</w:t>
      </w:r>
      <w:r>
        <w:rPr>
          <w:rFonts w:ascii="Times New Roman" w:cs="Times New Roman" w:eastAsia="Times New Roman" w:hAnsi="Times New Roman"/>
          <w:sz w:val="18"/>
          <w:szCs w:val="18"/>
          <w:u w:val="single" w:color="auto"/>
          <w:color w:val="0000FF"/>
          <w:strike w:val="1"/>
        </w:rPr>
        <w:t>(x) the Endeavor Acquisition Effective Date and (y) the Endeavor Acquisition Termination Date, a ticking fee, which shall accrue at a rate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equal to 0.125% per annum on the amount of the Increased Commitment of such Lender; and</w:t>
      </w:r>
    </w:p>
    <w:p>
      <w:pPr>
        <w:spacing w:after="0" w:line="175" w:lineRule="exact"/>
        <w:rPr>
          <w:rFonts w:ascii="Times New Roman" w:cs="Times New Roman" w:eastAsia="Times New Roman" w:hAnsi="Times New Roman"/>
          <w:sz w:val="18"/>
          <w:szCs w:val="18"/>
          <w:color w:val="0000FF"/>
        </w:rPr>
      </w:pPr>
    </w:p>
    <w:p>
      <w:pPr>
        <w:jc w:val="both"/>
        <w:ind w:firstLine="1952"/>
        <w:spacing w:after="0" w:line="266" w:lineRule="auto"/>
        <w:tabs>
          <w:tab w:leader="none" w:pos="2673" w:val="left"/>
        </w:tabs>
        <w:numPr>
          <w:ilvl w:val="1"/>
          <w:numId w:val="16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for the account of each Lender, from and including the earlier of (x) the Endeavor Acquisition Effective Date and (y) the Endeavor Acquisition Termination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but excluding the Termination Date</w:t>
      </w:r>
      <w:r>
        <w:rPr>
          <w:rFonts w:ascii="Times New Roman" w:cs="Times New Roman" w:eastAsia="Times New Roman" w:hAnsi="Times New Roman"/>
          <w:sz w:val="18"/>
          <w:szCs w:val="18"/>
          <w:u w:val="single" w:color="auto"/>
          <w:color w:val="0000FF"/>
        </w:rPr>
        <w:t>, a commitment fee, which shall accrue at the Commitment Fee Rate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average daily amount of the unused amount of the Commitment of such Lender (without giving effect to such Lender’s Swingline Exposures)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Accrued commitment fees </w:t>
      </w:r>
      <w:r>
        <w:rPr>
          <w:rFonts w:ascii="Times New Roman" w:cs="Times New Roman" w:eastAsia="Times New Roman" w:hAnsi="Times New Roman"/>
          <w:sz w:val="18"/>
          <w:szCs w:val="18"/>
          <w:u w:val="single" w:color="auto"/>
          <w:color w:val="0000FF"/>
        </w:rPr>
        <w:t>and ticking fees</w:t>
      </w:r>
      <w:r>
        <w:rPr>
          <w:rFonts w:ascii="Times New Roman" w:cs="Times New Roman" w:eastAsia="Times New Roman" w:hAnsi="Times New Roman"/>
          <w:sz w:val="18"/>
          <w:szCs w:val="18"/>
          <w:color w:val="auto"/>
        </w:rPr>
        <w:t xml:space="preserve"> shall be payable in arrears on the last day of March, June, September and December of each year and on the Termination Date, commencing on the first such date to occur after the date hereof. All commitment fees </w:t>
      </w:r>
      <w:r>
        <w:rPr>
          <w:rFonts w:ascii="Times New Roman" w:cs="Times New Roman" w:eastAsia="Times New Roman" w:hAnsi="Times New Roman"/>
          <w:sz w:val="18"/>
          <w:szCs w:val="18"/>
          <w:u w:val="single" w:color="auto"/>
          <w:color w:val="0000FF"/>
        </w:rPr>
        <w:t>and ticking fees</w:t>
      </w:r>
      <w:r>
        <w:rPr>
          <w:rFonts w:ascii="Times New Roman" w:cs="Times New Roman" w:eastAsia="Times New Roman" w:hAnsi="Times New Roman"/>
          <w:sz w:val="18"/>
          <w:szCs w:val="18"/>
          <w:color w:val="auto"/>
        </w:rPr>
        <w:t xml:space="preserve">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spacing w:after="0" w:line="180" w:lineRule="exact"/>
        <w:rPr>
          <w:sz w:val="20"/>
          <w:szCs w:val="20"/>
          <w:color w:val="auto"/>
        </w:rPr>
      </w:pPr>
    </w:p>
    <w:p>
      <w:pPr>
        <w:jc w:val="both"/>
        <w:ind w:firstLine="1304"/>
        <w:spacing w:after="0" w:line="252" w:lineRule="auto"/>
        <w:tabs>
          <w:tab w:leader="none" w:pos="2000" w:val="left"/>
        </w:tabs>
        <w:numPr>
          <w:ilvl w:val="0"/>
          <w:numId w:val="1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 agrees to pay (i) to the Administrative Agent for the account of each Lender a participation fee with respect to its participations in Letters of Credit, which shall accrue at the same Applicable Margin used to determine the interest rate applicable to SOFR Revolving Loans on the average daily amount of such Lender’s LC Exposure (excluding any portion thereof attributable to unreimbursed LC Disbursements) during the period from and including the date of this Agreement to but excluding the later of the date on which such Lender’s Commitment terminates and the date on which such Lender ceases to have any LC Exposure, (ii) to the Issuing Bank a fronting fee, which shall accrue at the rate of 0.125% per annum on the average daily amount of the LC Exposure (excluding any portion thereof attributable to unreimbursed LC Disbursements) during the period from and including the date of this Agreement to but excluding the later of the date of termination of the Commitments and the date on which there ceases to be any LC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fee be less than $500 during any calendar year, and (iii) to the Issuing Bank, for its own account, its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Termination Date and any such fees accruing after the Termination Date shall be payable on demand. Any other fees payable to the Issuing Bank pursuant to this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shall be payable within 10 days after demand. All participation fees and fronting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both"/>
        <w:ind w:firstLine="1304"/>
        <w:spacing w:after="0" w:line="266" w:lineRule="auto"/>
        <w:tabs>
          <w:tab w:leader="none" w:pos="1851" w:val="left"/>
        </w:tabs>
        <w:numPr>
          <w:ilvl w:val="0"/>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xml:space="preserve">. The Borrower agrees to pay to the Administrative Agent, for its own account and for the account of each Lender, as applicable, fees payable in the amounts and at the times separately agreed upon between the Borrower and the Administrative Agent in the Fee Letter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Fourteenth Amendment Fee Letter</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PAYMENTS; PRO RATA TREATMENT; SHARING OF SET-OFFS</w:t>
      </w:r>
    </w:p>
    <w:p>
      <w:pPr>
        <w:spacing w:after="0" w:line="20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4.01</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91"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Payments by the Borrower</w:t>
      </w:r>
      <w:r>
        <w:rPr>
          <w:rFonts w:ascii="Times New Roman" w:cs="Times New Roman" w:eastAsia="Times New Roman" w:hAnsi="Times New Roman"/>
          <w:sz w:val="18"/>
          <w:szCs w:val="18"/>
          <w:color w:val="auto"/>
        </w:rPr>
        <w:t xml:space="preserve">.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otherwise) prior to 12:00 noon, Houston, Texas time, on the date when due, in immediately available funds, without defense, deduction, recoupment, set-off or counterclaim. Fees, once paid, shall be fully earned and shall not be refundable under any circumstances.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except payments to be made directly to the Issuing Bank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820"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Application of Insufficient Payments</w:t>
      </w:r>
      <w:r>
        <w:rPr>
          <w:rFonts w:ascii="Times New Roman" w:cs="Times New Roman" w:eastAsia="Times New Roman" w:hAnsi="Times New Roman"/>
          <w:sz w:val="18"/>
          <w:szCs w:val="18"/>
          <w:color w:val="auto"/>
        </w:rPr>
        <w:t>.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both"/>
        <w:ind w:firstLine="1304"/>
        <w:spacing w:after="0" w:line="252" w:lineRule="auto"/>
        <w:tabs>
          <w:tab w:leader="none" w:pos="2035"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Parent Guarantor, the Borrower or any Restricted Subsidiary or Affiliate thereof (as to which the provisions of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shall apply). The Parent Guarantor and the Borrower consent to the foregoing and agree, to the extent it may effectively do so under applicable law, that any Lender acquiring a participation pursuant to the foregoing arrangements may exercise against the Parent Guarantor or the Borrower rights of set-off and counterclaim with respect to such participation as fully as if such Lender were a direct creditor of the Parent Guarantor or the Borrower in the amount of such participation.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4.02 </w:t>
      </w:r>
      <w:r>
        <w:rPr>
          <w:rFonts w:ascii="Times New Roman" w:cs="Times New Roman" w:eastAsia="Times New Roman" w:hAnsi="Times New Roman"/>
          <w:sz w:val="18"/>
          <w:szCs w:val="18"/>
          <w:u w:val="single" w:color="auto"/>
          <w:color w:val="000000"/>
        </w:rPr>
        <w:t>Presumption of Payment by the Borrower</w:t>
      </w:r>
      <w:r>
        <w:rPr>
          <w:rFonts w:ascii="Times New Roman" w:cs="Times New Roman" w:eastAsia="Times New Roman" w:hAnsi="Times New Roman"/>
          <w:sz w:val="18"/>
          <w:szCs w:val="18"/>
          <w:color w:val="000000"/>
        </w:rPr>
        <w:t>. Unless the Administrative Agent shall have received notice from the Borrower prior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date on which any payment is due to the Administrative Agent for the account of the Lenders or the Issuing Bank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INCREASED COSTS; BREAK FUNDING PAYMENTS; TAXES; ILLEGALITY</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5.01</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919" w:val="left"/>
        </w:tabs>
        <w:numPr>
          <w:ilvl w:val="1"/>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advances, loans or other credit extended or participated in by, any Lender or the Issuing Bank; or</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ind w:left="2660" w:hanging="708"/>
        <w:spacing w:after="0"/>
        <w:tabs>
          <w:tab w:leader="none" w:pos="2660"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on any Lender any other condition</w:t>
      </w:r>
      <w:r>
        <w:rPr>
          <w:rFonts w:ascii="Times New Roman" w:cs="Times New Roman" w:eastAsia="Times New Roman" w:hAnsi="Times New Roman"/>
          <w:sz w:val="18"/>
          <w:szCs w:val="18"/>
          <w:u w:val="single" w:color="auto"/>
          <w:color w:val="0000FF"/>
        </w:rPr>
        <w:t>, cost or expense</w:t>
      </w:r>
      <w:r>
        <w:rPr>
          <w:rFonts w:ascii="Times New Roman" w:cs="Times New Roman" w:eastAsia="Times New Roman" w:hAnsi="Times New Roman"/>
          <w:sz w:val="18"/>
          <w:szCs w:val="18"/>
          <w:color w:val="auto"/>
        </w:rPr>
        <w:t xml:space="preserve"> affecting this Agreement or Loans made by such Lender;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w:t>
      </w:r>
      <w:r>
        <w:rPr>
          <w:rFonts w:ascii="Times New Roman" w:cs="Times New Roman" w:eastAsia="Times New Roman" w:hAnsi="Times New Roman"/>
          <w:sz w:val="18"/>
          <w:szCs w:val="18"/>
          <w:u w:val="single" w:color="auto"/>
          <w:color w:val="0000FF"/>
        </w:rPr>
        <w:t>, converting to, continuing</w:t>
      </w:r>
      <w:r>
        <w:rPr>
          <w:rFonts w:ascii="Times New Roman" w:cs="Times New Roman" w:eastAsia="Times New Roman" w:hAnsi="Times New Roman"/>
          <w:sz w:val="18"/>
          <w:szCs w:val="18"/>
          <w:color w:val="auto"/>
        </w:rPr>
        <w:t xml:space="preserve"> or maintaining any Loan (or of maintaining its obligation to make any such Loan) or to reduce the amount of any sum received or receivable by such Lender (whether of principal, interest or otherwise), then the Borrower will pay to such Lender such additional amount or amounts as will compensate such Lender for such additional costs incurred or reduction suffered.</w:t>
      </w:r>
    </w:p>
    <w:p>
      <w:pPr>
        <w:spacing w:after="0" w:line="180" w:lineRule="exact"/>
        <w:rPr>
          <w:sz w:val="20"/>
          <w:szCs w:val="20"/>
          <w:color w:val="auto"/>
        </w:rPr>
      </w:pPr>
    </w:p>
    <w:p>
      <w:pPr>
        <w:jc w:val="both"/>
        <w:ind w:firstLine="1304"/>
        <w:spacing w:after="0" w:line="254" w:lineRule="auto"/>
        <w:tabs>
          <w:tab w:leader="none" w:pos="2135" w:val="left"/>
        </w:tabs>
        <w:numPr>
          <w:ilvl w:val="0"/>
          <w:numId w:val="1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Issuing Bank determines that any Change in Law regarding capital adequacy or liquidity requirements has or would have the effect of reducing the rate of return on such Lender’s or the Issuing Bank’s capital or liquidity or on the capital or liquidity of such Lender’s or the Issuing Bank’s holding company, if any, as a consequence of this Agreement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9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085" w:val="left"/>
        </w:tabs>
        <w:numPr>
          <w:ilvl w:val="0"/>
          <w:numId w:val="1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A certificate of a Lender or the Issuing Bank setting forth the amount or amounts necessary to compensate such Lender or the Issuing Bank or its holding company, as the case may be, as specified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or the Issuing Bank, as the case may be, the amount shown as due on any such certificate within 10 days after receipt thereof.</w:t>
      </w:r>
    </w:p>
    <w:p>
      <w:pPr>
        <w:spacing w:after="0" w:line="179"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2176" w:val="left"/>
        </w:tabs>
        <w:numPr>
          <w:ilvl w:val="0"/>
          <w:numId w:val="1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 of Failure or Delay in Requesting Compensation</w:t>
      </w:r>
      <w:r>
        <w:rPr>
          <w:rFonts w:ascii="Times New Roman" w:cs="Times New Roman" w:eastAsia="Times New Roman" w:hAnsi="Times New Roman"/>
          <w:sz w:val="18"/>
          <w:szCs w:val="18"/>
          <w:color w:val="auto"/>
        </w:rPr>
        <w:t xml:space="preserve">. Failure or delay on the part of any Lender or the Issuing Bank to demand compensation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Issuing Bank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for any increased costs or reductions incurred more than 365 days prior to the date that such Lender or the Issuing Bank, as the case may be, notifies the Borrower of the Change in Law giving rise to such increased costs or reductions and of such Lender’s or the Issuing Bank’s intention to claim compensation therefor; provided further that, if the Change in Law giving rise to such increased costs or reductions is retroactive, then the 365-day period referred to above shall be extended to include the period of retroactive effect thereof.</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5.02 </w:t>
      </w:r>
      <w:r>
        <w:rPr>
          <w:rFonts w:ascii="Times New Roman" w:cs="Times New Roman" w:eastAsia="Times New Roman" w:hAnsi="Times New Roman"/>
          <w:sz w:val="18"/>
          <w:szCs w:val="18"/>
          <w:u w:val="single" w:color="auto"/>
          <w:color w:val="000000"/>
        </w:rPr>
        <w:t>Break Funding Payments</w:t>
      </w:r>
      <w:r>
        <w:rPr>
          <w:rFonts w:ascii="Times New Roman" w:cs="Times New Roman" w:eastAsia="Times New Roman" w:hAnsi="Times New Roman"/>
          <w:sz w:val="18"/>
          <w:szCs w:val="18"/>
          <w:color w:val="000000"/>
        </w:rPr>
        <w:t>. In the event of (a) the payment of any principal of any SOFR Loan other than on the last day of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Interest Period applicable thereto (including as a result of an Event of Default), (b) the conversion of any SOFR Loan into an ABR Loan other than on the last day of the Interest Period applicable thereto,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000000"/>
        </w:rPr>
        <w:t>Section 5.04</w:t>
      </w:r>
      <w:r>
        <w:rPr>
          <w:rFonts w:ascii="Times New Roman" w:cs="Times New Roman" w:eastAsia="Times New Roman" w:hAnsi="Times New Roman"/>
          <w:sz w:val="18"/>
          <w:szCs w:val="18"/>
          <w:color w:val="000000"/>
        </w:rPr>
        <w:t xml:space="preserve">, then, in any such event, upon the request of any Lender, the Borrower shall compensate such Lender for the loss, cost and expense (including any loss, cost or expense arising from the </w:t>
      </w:r>
      <w:r>
        <w:rPr>
          <w:rFonts w:ascii="Times New Roman" w:cs="Times New Roman" w:eastAsia="Times New Roman" w:hAnsi="Times New Roman"/>
          <w:sz w:val="18"/>
          <w:szCs w:val="18"/>
          <w:color w:val="FF0000"/>
          <w:strike w:val="1"/>
        </w:rPr>
        <w:t>liquidiation</w:t>
      </w:r>
      <w:r>
        <w:rPr>
          <w:rFonts w:ascii="Times New Roman" w:cs="Times New Roman" w:eastAsia="Times New Roman" w:hAnsi="Times New Roman"/>
          <w:sz w:val="18"/>
          <w:szCs w:val="18"/>
          <w:u w:val="single" w:color="auto"/>
          <w:color w:val="0000FF"/>
        </w:rPr>
        <w:t>liquidation</w:t>
      </w:r>
      <w:r>
        <w:rPr>
          <w:rFonts w:ascii="Times New Roman" w:cs="Times New Roman" w:eastAsia="Times New Roman" w:hAnsi="Times New Roman"/>
          <w:sz w:val="18"/>
          <w:szCs w:val="18"/>
          <w:color w:val="000000"/>
        </w:rPr>
        <w:t xml:space="preserve"> or reemployment of funds or from any fees payable) attributable to, or as a consequence of, such event.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certificate of any Lender setting forth any amount or amounts that such Lender is entitled to receive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5.03</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010000"/>
        </w:rPr>
        <w:t>(a)</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term “Lender” includes any Issuing Bank and the term “applicable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FATCA.</w:t>
      </w:r>
    </w:p>
    <w:p>
      <w:pPr>
        <w:spacing w:after="0" w:line="207" w:lineRule="exact"/>
        <w:rPr>
          <w:sz w:val="20"/>
          <w:szCs w:val="20"/>
          <w:color w:val="auto"/>
        </w:rPr>
      </w:pPr>
    </w:p>
    <w:p>
      <w:pPr>
        <w:jc w:val="both"/>
        <w:ind w:firstLine="1304"/>
        <w:spacing w:after="0" w:line="254" w:lineRule="auto"/>
        <w:tabs>
          <w:tab w:leader="none" w:pos="1874"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the Parent Guarantor, the Borrower or any 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Parent Guarantor, the Borrower or a Guarantor, as applicable,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amounts received with respect to this Agreement equal the sum which would have been received had no such deduction or withholding been made.</w:t>
      </w:r>
    </w:p>
    <w:p>
      <w:pPr>
        <w:spacing w:after="0" w:line="191" w:lineRule="exact"/>
        <w:rPr>
          <w:rFonts w:ascii="Times New Roman" w:cs="Times New Roman" w:eastAsia="Times New Roman" w:hAnsi="Times New Roman"/>
          <w:sz w:val="18"/>
          <w:szCs w:val="18"/>
          <w:color w:val="010000"/>
        </w:rPr>
      </w:pPr>
    </w:p>
    <w:p>
      <w:pPr>
        <w:ind w:right="20" w:firstLine="1304"/>
        <w:spacing w:after="0" w:line="282" w:lineRule="auto"/>
        <w:tabs>
          <w:tab w:leader="none" w:pos="1864"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law, or at the written direction of the Administrative Agent timely reimburse it for, Other Taxes.</w:t>
      </w:r>
    </w:p>
    <w:p>
      <w:pPr>
        <w:spacing w:after="0" w:line="16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861"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xml:space="preserve">. The Borrower shall indemnify the Administrative Agent and each Lender, within 10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payable or paid by the Parent Guarantor, the Borrower or a Guarantor, as applicable, or required to be withheld or deducted from a payment to the Administrative Agent or a Lender, as applicable,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jc w:val="both"/>
        <w:ind w:firstLine="1304"/>
        <w:spacing w:after="0" w:line="253" w:lineRule="auto"/>
        <w:tabs>
          <w:tab w:leader="none" w:pos="1999"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10 days after demand therefor, for (i) any Taxes attributable to such Lender (but only to the extent that the Parent Guarantor, the Borrower or a Guarantor has not already indemnified the Administrative Agent for such Taxes and without limiting the obligation of the Parent Guarantor, the Borrower and the Guarantors to do so) and (ii) any Taxes attributable to such Lender’s failure to comply with the provisions of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xml:space="preserv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092"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Indemnified Taxes or Other Taxes by the Borrower or a Guarantor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952"/>
        <w:spacing w:after="0" w:line="253" w:lineRule="auto"/>
        <w:tabs>
          <w:tab w:leader="none" w:pos="2892" w:val="left"/>
        </w:tabs>
        <w:numPr>
          <w:ilvl w:val="1"/>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5.03(g)(ii)(A)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ind w:left="1500" w:hanging="668"/>
        <w:spacing w:after="0"/>
        <w:tabs>
          <w:tab w:leader="none" w:pos="1500" w:val="left"/>
        </w:tabs>
        <w:numPr>
          <w:ilvl w:val="0"/>
          <w:numId w:val="1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010000"/>
        </w:rPr>
      </w:pPr>
    </w:p>
    <w:p>
      <w:pPr>
        <w:jc w:val="both"/>
        <w:ind w:left="180" w:firstLine="1300"/>
        <w:spacing w:after="0" w:line="258" w:lineRule="auto"/>
        <w:tabs>
          <w:tab w:leader="none" w:pos="2131" w:val="left"/>
        </w:tabs>
        <w:numPr>
          <w:ilvl w:val="1"/>
          <w:numId w:val="1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that is a U.S. Person </w:t>
      </w:r>
      <w:r>
        <w:rPr>
          <w:rFonts w:ascii="Times New Roman" w:cs="Times New Roman" w:eastAsia="Times New Roman" w:hAnsi="Times New Roman"/>
          <w:sz w:val="18"/>
          <w:szCs w:val="18"/>
          <w:u w:val="single" w:color="auto"/>
          <w:color w:val="0000FF"/>
        </w:rPr>
        <w:t>(or, if such Lender is disregarded as an entity separate from its owner for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federal income tax purposes, is owned, for U.S. federal income tax purposes, by a U.S. Person)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deliver to the Borrower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83" w:lineRule="exact"/>
        <w:rPr>
          <w:rFonts w:ascii="Times New Roman" w:cs="Times New Roman" w:eastAsia="Times New Roman" w:hAnsi="Times New Roman"/>
          <w:sz w:val="18"/>
          <w:szCs w:val="18"/>
          <w:color w:val="010000"/>
        </w:rPr>
      </w:pPr>
    </w:p>
    <w:p>
      <w:pPr>
        <w:jc w:val="both"/>
        <w:ind w:left="180" w:firstLine="1300"/>
        <w:spacing w:after="0" w:line="261" w:lineRule="auto"/>
        <w:tabs>
          <w:tab w:leader="none" w:pos="2422" w:val="left"/>
        </w:tabs>
        <w:numPr>
          <w:ilvl w:val="1"/>
          <w:numId w:val="1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rFonts w:ascii="Times New Roman" w:cs="Times New Roman" w:eastAsia="Times New Roman" w:hAnsi="Times New Roman"/>
          <w:sz w:val="18"/>
          <w:szCs w:val="18"/>
          <w:color w:val="010000"/>
        </w:rPr>
      </w:pPr>
    </w:p>
    <w:p>
      <w:pPr>
        <w:jc w:val="both"/>
        <w:ind w:left="180" w:firstLine="1948"/>
        <w:spacing w:after="0" w:line="255" w:lineRule="auto"/>
        <w:tabs>
          <w:tab w:leader="none" w:pos="2790" w:val="left"/>
        </w:tabs>
        <w:numPr>
          <w:ilvl w:val="2"/>
          <w:numId w:val="1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 Foreign Lender </w:t>
      </w:r>
      <w:r>
        <w:rPr>
          <w:rFonts w:ascii="Times New Roman" w:cs="Times New Roman" w:eastAsia="Times New Roman" w:hAnsi="Times New Roman"/>
          <w:sz w:val="18"/>
          <w:szCs w:val="18"/>
          <w:u w:val="single" w:color="auto"/>
          <w:color w:val="0000FF"/>
        </w:rPr>
        <w:t>(or, if a Foreign Lender is disregarded as an entity separate from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owner for U.S. federal income tax purposes, such owner)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claiming the benefits of an income tax treaty to which the United States is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party (1) with respect to payments of interest under any Loan Document, an executed copy of IRS Form W-8BEN </w:t>
      </w:r>
      <w:r>
        <w:rPr>
          <w:rFonts w:ascii="Times New Roman" w:cs="Times New Roman" w:eastAsia="Times New Roman" w:hAnsi="Times New Roman"/>
          <w:sz w:val="18"/>
          <w:szCs w:val="18"/>
          <w:u w:val="single" w:color="auto"/>
          <w:color w:val="0000FF"/>
        </w:rPr>
        <w:t>or IRS Form W-8BEN-E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establishing an exemption from, or reduction of, U.S. federal withholding Tax pursuant to the “interest” article of such tax treaty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and (2) with respect to any other applicable payments under any Loan Document, </w:t>
      </w:r>
      <w:r>
        <w:rPr>
          <w:rFonts w:ascii="Times New Roman" w:cs="Times New Roman" w:eastAsia="Times New Roman" w:hAnsi="Times New Roman"/>
          <w:sz w:val="18"/>
          <w:szCs w:val="18"/>
          <w:u w:val="single" w:color="auto"/>
          <w:color w:val="0000FF"/>
        </w:rPr>
        <w:t>an executed copy of</w:t>
      </w:r>
      <w:r>
        <w:rPr>
          <w:rFonts w:ascii="Times New Roman" w:cs="Times New Roman" w:eastAsia="Times New Roman" w:hAnsi="Times New Roman"/>
          <w:sz w:val="18"/>
          <w:szCs w:val="18"/>
          <w:color w:val="000000"/>
        </w:rPr>
        <w:t xml:space="preserve"> IRS Form W-8BEN </w:t>
      </w:r>
      <w:r>
        <w:rPr>
          <w:rFonts w:ascii="Times New Roman" w:cs="Times New Roman" w:eastAsia="Times New Roman" w:hAnsi="Times New Roman"/>
          <w:sz w:val="18"/>
          <w:szCs w:val="18"/>
          <w:u w:val="single" w:color="auto"/>
          <w:color w:val="0000FF"/>
        </w:rPr>
        <w:t>or IRS Form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W-8BEN-E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establishing an exemption from, or reduction of, U.S. federal withholding Tax pursuant to the “business profits” or “other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income” article of such tax treaty;</w:t>
      </w:r>
    </w:p>
    <w:p>
      <w:pPr>
        <w:spacing w:after="0" w:line="189" w:lineRule="exact"/>
        <w:rPr>
          <w:sz w:val="20"/>
          <w:szCs w:val="20"/>
          <w:color w:val="auto"/>
        </w:rPr>
      </w:pPr>
    </w:p>
    <w:p>
      <w:pPr>
        <w:ind w:left="180" w:firstLine="1948"/>
        <w:spacing w:after="0" w:line="282" w:lineRule="auto"/>
        <w:tabs>
          <w:tab w:leader="none" w:pos="2723" w:val="left"/>
        </w:tabs>
        <w:numPr>
          <w:ilvl w:val="0"/>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executed copy of IRS Form W-8ECI </w:t>
      </w:r>
      <w:r>
        <w:rPr>
          <w:rFonts w:ascii="Times New Roman" w:cs="Times New Roman" w:eastAsia="Times New Roman" w:hAnsi="Times New Roman"/>
          <w:sz w:val="18"/>
          <w:szCs w:val="18"/>
          <w:u w:val="single" w:color="auto"/>
          <w:color w:val="0000FF"/>
        </w:rPr>
        <w:t>with respect to such Foreign Lender (or, if a Foreign Lender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disregarded as an entity separate from its owner for U.S. federal income tax purposes, such owner)</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180" w:firstLine="1948"/>
        <w:spacing w:after="0" w:line="256" w:lineRule="auto"/>
        <w:tabs>
          <w:tab w:leader="none" w:pos="2792" w:val="left"/>
        </w:tabs>
        <w:numPr>
          <w:ilvl w:val="0"/>
          <w:numId w:val="1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 Foreign Lender </w:t>
      </w:r>
      <w:r>
        <w:rPr>
          <w:rFonts w:ascii="Times New Roman" w:cs="Times New Roman" w:eastAsia="Times New Roman" w:hAnsi="Times New Roman"/>
          <w:sz w:val="18"/>
          <w:szCs w:val="18"/>
          <w:u w:val="single" w:color="auto"/>
          <w:color w:val="0000FF"/>
        </w:rPr>
        <w:t>(or, if a Foreign Lender is disregarded as an entity separate from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owner for U.S. federal income tax purposes, such owner)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claiming the benefits of the exemption for portfolio interest under Section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881(c) of the Code, (x) a certificate substantially in the form of </w:t>
      </w:r>
      <w:r>
        <w:rPr>
          <w:rFonts w:ascii="Times New Roman" w:cs="Times New Roman" w:eastAsia="Times New Roman" w:hAnsi="Times New Roman"/>
          <w:sz w:val="18"/>
          <w:szCs w:val="18"/>
          <w:u w:val="single" w:color="auto"/>
          <w:color w:val="000000"/>
        </w:rPr>
        <w:t>Exhibit F-1</w:t>
      </w:r>
      <w:r>
        <w:rPr>
          <w:rFonts w:ascii="Times New Roman" w:cs="Times New Roman" w:eastAsia="Times New Roman" w:hAnsi="Times New Roman"/>
          <w:sz w:val="18"/>
          <w:szCs w:val="18"/>
          <w:color w:val="00000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000000"/>
        </w:rPr>
        <w:t>U.S. Tax Compliance Certificate</w:t>
      </w:r>
      <w:r>
        <w:rPr>
          <w:rFonts w:ascii="Times New Roman" w:cs="Times New Roman" w:eastAsia="Times New Roman" w:hAnsi="Times New Roman"/>
          <w:sz w:val="18"/>
          <w:szCs w:val="18"/>
          <w:color w:val="000000"/>
        </w:rPr>
        <w:t xml:space="preserve">”) and (y) an executed copy of IRS Form W-8BEN </w:t>
      </w:r>
      <w:r>
        <w:rPr>
          <w:rFonts w:ascii="Times New Roman" w:cs="Times New Roman" w:eastAsia="Times New Roman" w:hAnsi="Times New Roman"/>
          <w:sz w:val="18"/>
          <w:szCs w:val="18"/>
          <w:u w:val="single" w:color="auto"/>
          <w:color w:val="0000FF"/>
        </w:rPr>
        <w:t>or IRS Form W-8BEN-E</w:t>
      </w:r>
      <w:r>
        <w:rPr>
          <w:rFonts w:ascii="Times New Roman" w:cs="Times New Roman" w:eastAsia="Times New Roman" w:hAnsi="Times New Roman"/>
          <w:sz w:val="18"/>
          <w:szCs w:val="18"/>
          <w:color w:val="000000"/>
        </w:rPr>
        <w:t>; or</w:t>
      </w:r>
    </w:p>
    <w:p>
      <w:pPr>
        <w:spacing w:after="0" w:line="1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38" w:name="page239"/>
    <w:bookmarkEnd w:id="238"/>
    <w:p>
      <w:pPr>
        <w:ind w:left="3240"/>
        <w:spacing w:after="0"/>
        <w:tabs>
          <w:tab w:leader="none" w:pos="3940" w:val="left"/>
        </w:tabs>
        <w:rPr>
          <w:sz w:val="20"/>
          <w:szCs w:val="20"/>
          <w:color w:val="auto"/>
        </w:rPr>
      </w:pPr>
      <w:r>
        <w:rPr>
          <w:rFonts w:ascii="Times New Roman" w:cs="Times New Roman" w:eastAsia="Times New Roman" w:hAnsi="Times New Roman"/>
          <w:sz w:val="18"/>
          <w:szCs w:val="18"/>
          <w:color w:val="010000"/>
        </w:rPr>
        <w:t>(IV)</w:t>
      </w:r>
      <w:r>
        <w:rPr>
          <w:sz w:val="20"/>
          <w:szCs w:val="20"/>
          <w:color w:val="auto"/>
        </w:rPr>
        <w:tab/>
      </w:r>
      <w:r>
        <w:rPr>
          <w:rFonts w:ascii="Times New Roman" w:cs="Times New Roman" w:eastAsia="Times New Roman" w:hAnsi="Times New Roman"/>
          <w:sz w:val="18"/>
          <w:szCs w:val="18"/>
          <w:color w:val="auto"/>
        </w:rPr>
        <w:t xml:space="preserve">to the extent a Foreign Lender </w:t>
      </w:r>
      <w:r>
        <w:rPr>
          <w:rFonts w:ascii="Times New Roman" w:cs="Times New Roman" w:eastAsia="Times New Roman" w:hAnsi="Times New Roman"/>
          <w:sz w:val="18"/>
          <w:szCs w:val="18"/>
          <w:u w:val="single" w:color="auto"/>
          <w:color w:val="0000FF"/>
        </w:rPr>
        <w:t>(or, if a Foreign Lender is disregarded as an entity separate from its</w:t>
      </w:r>
    </w:p>
    <w:p>
      <w:pPr>
        <w:spacing w:after="0" w:line="27"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8"/>
          <w:szCs w:val="18"/>
          <w:u w:val="single" w:color="auto"/>
          <w:color w:val="0000FF"/>
        </w:rPr>
        <w:t>owner for U.S. federal income tax purposes, such owner)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not the beneficial owner, an executed copy of IRS Form W-8IMY,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accompanied by IRS Form W-8ECI, IRS Form W-8BEN, </w:t>
      </w:r>
      <w:r>
        <w:rPr>
          <w:rFonts w:ascii="Times New Roman" w:cs="Times New Roman" w:eastAsia="Times New Roman" w:hAnsi="Times New Roman"/>
          <w:sz w:val="18"/>
          <w:szCs w:val="18"/>
          <w:u w:val="single" w:color="auto"/>
          <w:color w:val="0000FF"/>
        </w:rPr>
        <w:t>IRS Form W-8BEN-E,</w:t>
      </w:r>
      <w:r>
        <w:rPr>
          <w:rFonts w:ascii="Times New Roman" w:cs="Times New Roman" w:eastAsia="Times New Roman" w:hAnsi="Times New Roman"/>
          <w:sz w:val="18"/>
          <w:szCs w:val="18"/>
          <w:color w:val="000000"/>
        </w:rPr>
        <w:t xml:space="preserve"> a U.S. Tax Compliance Certificate substantially in the form of </w:t>
      </w:r>
      <w:r>
        <w:rPr>
          <w:rFonts w:ascii="Times New Roman" w:cs="Times New Roman" w:eastAsia="Times New Roman" w:hAnsi="Times New Roman"/>
          <w:sz w:val="18"/>
          <w:szCs w:val="18"/>
          <w:u w:val="single" w:color="auto"/>
          <w:color w:val="000000"/>
        </w:rPr>
        <w:t>Exhibit F-2</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Exhibit F-3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000000"/>
        </w:rPr>
        <w:t>Exhibit F-4</w:t>
      </w:r>
      <w:r>
        <w:rPr>
          <w:rFonts w:ascii="Times New Roman" w:cs="Times New Roman" w:eastAsia="Times New Roman" w:hAnsi="Times New Roman"/>
          <w:sz w:val="18"/>
          <w:szCs w:val="18"/>
          <w:color w:val="000000"/>
        </w:rPr>
        <w:t xml:space="preserve"> on behalf of each such direct and indirect partner;</w:t>
      </w:r>
    </w:p>
    <w:p>
      <w:pPr>
        <w:spacing w:after="0" w:line="190" w:lineRule="exact"/>
        <w:rPr>
          <w:sz w:val="20"/>
          <w:szCs w:val="20"/>
          <w:color w:val="auto"/>
        </w:rPr>
      </w:pPr>
    </w:p>
    <w:p>
      <w:pPr>
        <w:jc w:val="both"/>
        <w:ind w:left="1300" w:firstLine="1300"/>
        <w:spacing w:after="0" w:line="255" w:lineRule="auto"/>
        <w:tabs>
          <w:tab w:leader="none" w:pos="3461" w:val="left"/>
        </w:tabs>
        <w:numPr>
          <w:ilvl w:val="0"/>
          <w:numId w:val="1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Foreign Lender </w:t>
      </w:r>
      <w:r>
        <w:rPr>
          <w:rFonts w:ascii="Times New Roman" w:cs="Times New Roman" w:eastAsia="Times New Roman" w:hAnsi="Times New Roman"/>
          <w:sz w:val="18"/>
          <w:szCs w:val="18"/>
          <w:u w:val="single" w:color="auto"/>
          <w:color w:val="0000FF"/>
        </w:rPr>
        <w:t>(or, if a Foreign Lender is disregarded as an entity separate from its owner for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federal income tax purposes, such owner)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to the extent it is legally entitled to do so, deliver to the Borrower and the Administrative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 (in such number of copies as shall be requested by the recipient)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8" w:lineRule="exact"/>
        <w:rPr>
          <w:rFonts w:ascii="Times New Roman" w:cs="Times New Roman" w:eastAsia="Times New Roman" w:hAnsi="Times New Roman"/>
          <w:sz w:val="18"/>
          <w:szCs w:val="18"/>
          <w:color w:val="010000"/>
        </w:rPr>
      </w:pPr>
    </w:p>
    <w:p>
      <w:pPr>
        <w:jc w:val="both"/>
        <w:ind w:left="1300" w:firstLine="1300"/>
        <w:spacing w:after="0" w:line="254" w:lineRule="auto"/>
        <w:tabs>
          <w:tab w:leader="none" w:pos="3394" w:val="left"/>
        </w:tabs>
        <w:numPr>
          <w:ilvl w:val="0"/>
          <w:numId w:val="1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include any amendments made to FATCA after the date of this Agreement.</w:t>
      </w:r>
    </w:p>
    <w:p>
      <w:pPr>
        <w:spacing w:after="0" w:line="18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jc w:val="both"/>
        <w:ind w:firstLine="1304"/>
        <w:spacing w:after="0" w:line="253" w:lineRule="auto"/>
        <w:tabs>
          <w:tab w:leader="none" w:pos="1888"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but reasonable,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26"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5.04 </w:t>
      </w:r>
      <w:r>
        <w:rPr>
          <w:rFonts w:ascii="Times New Roman" w:cs="Times New Roman" w:eastAsia="Times New Roman" w:hAnsi="Times New Roman"/>
          <w:sz w:val="18"/>
          <w:szCs w:val="18"/>
          <w:u w:val="single" w:color="auto"/>
          <w:color w:val="000000"/>
        </w:rPr>
        <w:t>Mitigation Obligations</w:t>
      </w:r>
      <w:r>
        <w:rPr>
          <w:rFonts w:ascii="Times New Roman" w:cs="Times New Roman" w:eastAsia="Times New Roman" w:hAnsi="Times New Roman"/>
          <w:sz w:val="18"/>
          <w:szCs w:val="18"/>
          <w:color w:val="000000"/>
        </w:rPr>
        <w:t>. If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5.01</w:t>
      </w:r>
      <w:r>
        <w:rPr>
          <w:rFonts w:ascii="Times New Roman" w:cs="Times New Roman" w:eastAsia="Times New Roman" w:hAnsi="Times New Roman"/>
          <w:sz w:val="18"/>
          <w:szCs w:val="18"/>
          <w:color w:val="000000"/>
        </w:rPr>
        <w:t>, or if the Borrower is required to pay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additional amount to any Lender or any Governmental Authority for the account of any Lender pursuant to </w:t>
      </w:r>
      <w:r>
        <w:rPr>
          <w:rFonts w:ascii="Times New Roman" w:cs="Times New Roman" w:eastAsia="Times New Roman" w:hAnsi="Times New Roman"/>
          <w:sz w:val="18"/>
          <w:szCs w:val="18"/>
          <w:u w:val="single" w:color="auto"/>
          <w:color w:val="000000"/>
        </w:rPr>
        <w:t>Section 5.03</w:t>
      </w:r>
      <w:r>
        <w:rPr>
          <w:rFonts w:ascii="Times New Roman" w:cs="Times New Roman" w:eastAsia="Times New Roman" w:hAnsi="Times New Roman"/>
          <w:sz w:val="18"/>
          <w:szCs w:val="18"/>
          <w:color w:val="00000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000000"/>
        </w:rPr>
        <w:t>Section 5.01</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5.03</w:t>
      </w:r>
      <w:r>
        <w:rPr>
          <w:rFonts w:ascii="Times New Roman" w:cs="Times New Roman" w:eastAsia="Times New Roman" w:hAnsi="Times New Roman"/>
          <w:sz w:val="18"/>
          <w:szCs w:val="18"/>
          <w:color w:val="000000"/>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FF0000"/>
          <w:strike w:val="1"/>
        </w:rPr>
        <w:t xml:space="preserve">Section 6.01 </w:t>
      </w:r>
      <w:r>
        <w:rPr>
          <w:rFonts w:ascii="Times New Roman" w:cs="Times New Roman" w:eastAsia="Times New Roman" w:hAnsi="Times New Roman"/>
          <w:sz w:val="18"/>
          <w:szCs w:val="18"/>
          <w:u w:val="single" w:color="auto"/>
          <w:color w:val="FF0000"/>
          <w:strike w:val="1"/>
        </w:rPr>
        <w:t>Effective Date</w:t>
      </w:r>
      <w:r>
        <w:rPr>
          <w:rFonts w:ascii="Times New Roman" w:cs="Times New Roman" w:eastAsia="Times New Roman" w:hAnsi="Times New Roman"/>
          <w:sz w:val="18"/>
          <w:szCs w:val="18"/>
          <w:color w:val="FF0000"/>
          <w:strike w:val="1"/>
        </w:rPr>
        <w:t xml:space="preserve">. The obligations of the Lenders to make Loans and of the Issuing Bank to issue Letters of Credit hereunder, and the continuation of the loans and letters of credit under the Existing Credit Agreement as Loans and Letters of Credit under this Agreement as contemplated by </w:t>
      </w:r>
      <w:r>
        <w:rPr>
          <w:rFonts w:ascii="Times New Roman" w:cs="Times New Roman" w:eastAsia="Times New Roman" w:hAnsi="Times New Roman"/>
          <w:sz w:val="18"/>
          <w:szCs w:val="18"/>
          <w:u w:val="single" w:color="auto"/>
          <w:color w:val="FF0000"/>
          <w:strike w:val="1"/>
        </w:rPr>
        <w:t>Section 2.02(e)</w:t>
      </w:r>
      <w:r>
        <w:rPr>
          <w:rFonts w:ascii="Times New Roman" w:cs="Times New Roman" w:eastAsia="Times New Roman" w:hAnsi="Times New Roman"/>
          <w:sz w:val="18"/>
          <w:szCs w:val="18"/>
          <w:color w:val="FF0000"/>
          <w:strike w:val="1"/>
        </w:rPr>
        <w:t xml:space="preserve">, in each case,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FF0000"/>
          <w:strike w:val="1"/>
        </w:rPr>
        <w:t>Section 12.02</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240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24065" cy="8255"/>
                    </a:xfrm>
                    <a:prstGeom prst="rect">
                      <a:avLst/>
                    </a:prstGeom>
                    <a:noFill/>
                  </pic:spPr>
                </pic:pic>
              </a:graphicData>
            </a:graphic>
          </wp:anchor>
        </w:drawing>
      </w:r>
    </w:p>
    <w:p>
      <w:pPr>
        <w:spacing w:after="0" w:line="160" w:lineRule="exact"/>
        <w:rPr>
          <w:sz w:val="20"/>
          <w:szCs w:val="20"/>
          <w:color w:val="auto"/>
        </w:rPr>
      </w:pPr>
    </w:p>
    <w:p>
      <w:pPr>
        <w:jc w:val="both"/>
        <w:ind w:firstLine="1304"/>
        <w:spacing w:after="0" w:line="266" w:lineRule="auto"/>
        <w:tabs>
          <w:tab w:leader="none" w:pos="1922" w:val="left"/>
        </w:tabs>
        <w:numPr>
          <w:ilvl w:val="0"/>
          <w:numId w:val="178"/>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the Arranger and the Lenders shall have received all commitment, facility and agency fees and all </w:t>
      </w:r>
      <w:r>
        <w:rPr>
          <w:rFonts w:ascii="Times New Roman" w:cs="Times New Roman" w:eastAsia="Times New Roman" w:hAnsi="Times New Roman"/>
          <w:sz w:val="18"/>
          <w:szCs w:val="18"/>
          <w:color w:val="FF0000"/>
          <w:strike w:val="1"/>
        </w:rPr>
        <w:t>other fees and amounts due and payable on or prior to the Effective Date, including, to the extent invoiced, reimbursement or payment of all out-of-pocket expenses required to be reimbursed or paid by the Borrower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-364490</wp:posOffset>
            </wp:positionV>
            <wp:extent cx="63049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04915" cy="8255"/>
                    </a:xfrm>
                    <a:prstGeom prst="rect">
                      <a:avLst/>
                    </a:prstGeom>
                    <a:noFill/>
                  </pic:spPr>
                </pic:pic>
              </a:graphicData>
            </a:graphic>
          </wp:anchor>
        </w:drawing>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jc w:val="both"/>
        <w:ind w:firstLine="1304"/>
        <w:spacing w:after="0" w:line="253" w:lineRule="auto"/>
        <w:tabs>
          <w:tab w:leader="none" w:pos="1908" w:val="left"/>
        </w:tabs>
        <w:numPr>
          <w:ilvl w:val="0"/>
          <w:numId w:val="179"/>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shall have received a certificate of a Responsible Officer of the Parent Guarantor, the Borrower and </w:t>
      </w:r>
      <w:r>
        <w:rPr>
          <w:rFonts w:ascii="Times New Roman" w:cs="Times New Roman" w:eastAsia="Times New Roman" w:hAnsi="Times New Roman"/>
          <w:sz w:val="18"/>
          <w:szCs w:val="18"/>
          <w:color w:val="FF0000"/>
          <w:strike w:val="1"/>
        </w:rPr>
        <w:t>each other Guarantor setting forth resolutions of the members, board of directors or other appropriate governing body with respect to the authorization of the Borrower or such Guarantor to execute and deliver the Loan Documents to which it is a party and to enter into the transactions contemplated in those documents, the officers of the Borrower or such Guarantor (y) who are authorized to sign the Loan Documents to which the Borrower or such Guarantor is a party and (z) who will, until replaced by another officer or officers duly authorized for that purpose, act as its representative for the purposes of signing documents and giving notices and other communications in connection with this Agreement and the transactions contemplated hereby, specimen signatures of such authorized officers, and the limited liability company agreement, the articles or certificate of incorporation and by-laws or other applicable organizational documents of the Parent Guarantor, the Borrower and such other Guarantor, certified as being true and complete as of the date of such certificate. The Administrative Agent and the Lenders may conclusively rely on such certificate until the Administrative Agent receives notice in writing from the Parent Guarantor, the Borrower and such other Guarantor to the contrary.</w:t>
      </w:r>
    </w:p>
    <w:p>
      <w:pPr>
        <w:spacing w:after="0" w:line="194" w:lineRule="exact"/>
        <w:rPr>
          <w:rFonts w:ascii="Times New Roman" w:cs="Times New Roman" w:eastAsia="Times New Roman" w:hAnsi="Times New Roman"/>
          <w:sz w:val="18"/>
          <w:szCs w:val="18"/>
          <w:color w:val="FF0000"/>
        </w:rPr>
      </w:pPr>
    </w:p>
    <w:p>
      <w:pPr>
        <w:ind w:firstLine="1304"/>
        <w:spacing w:after="0" w:line="282" w:lineRule="auto"/>
        <w:tabs>
          <w:tab w:leader="none" w:pos="2037" w:val="left"/>
        </w:tabs>
        <w:numPr>
          <w:ilvl w:val="0"/>
          <w:numId w:val="179"/>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shall have received certificates of the appropriate State agencies with respect to the existence, </w:t>
      </w:r>
      <w:r>
        <w:rPr>
          <w:rFonts w:ascii="Times New Roman" w:cs="Times New Roman" w:eastAsia="Times New Roman" w:hAnsi="Times New Roman"/>
          <w:sz w:val="18"/>
          <w:szCs w:val="18"/>
          <w:color w:val="FF0000"/>
          <w:strike w:val="1"/>
        </w:rPr>
        <w:t>qualification and good standing of the Parent Guarantor, the Borrower and each other Guarantor.</w:t>
      </w:r>
    </w:p>
    <w:p>
      <w:pPr>
        <w:spacing w:after="0" w:line="161" w:lineRule="exact"/>
        <w:rPr>
          <w:rFonts w:ascii="Times New Roman" w:cs="Times New Roman" w:eastAsia="Times New Roman" w:hAnsi="Times New Roman"/>
          <w:sz w:val="18"/>
          <w:szCs w:val="18"/>
          <w:color w:val="FF0000"/>
        </w:rPr>
      </w:pPr>
    </w:p>
    <w:p>
      <w:pPr>
        <w:ind w:firstLine="1304"/>
        <w:spacing w:after="0" w:line="282" w:lineRule="auto"/>
        <w:tabs>
          <w:tab w:leader="none" w:pos="1841" w:val="left"/>
        </w:tabs>
        <w:numPr>
          <w:ilvl w:val="0"/>
          <w:numId w:val="179"/>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shall have received a compliance certificate which shall be substantially in the form of </w:t>
      </w:r>
      <w:r>
        <w:rPr>
          <w:rFonts w:ascii="Times New Roman" w:cs="Times New Roman" w:eastAsia="Times New Roman" w:hAnsi="Times New Roman"/>
          <w:sz w:val="18"/>
          <w:szCs w:val="18"/>
          <w:u w:val="single" w:color="auto"/>
          <w:color w:val="FF0000"/>
        </w:rPr>
        <w:t>Exhibit D</w:t>
      </w:r>
      <w:r>
        <w:rPr>
          <w:rFonts w:ascii="Times New Roman" w:cs="Times New Roman" w:eastAsia="Times New Roman" w:hAnsi="Times New Roman"/>
          <w:sz w:val="18"/>
          <w:szCs w:val="18"/>
          <w:color w:val="FF0000"/>
        </w:rPr>
        <w:t xml:space="preserve">, duly </w:t>
      </w:r>
      <w:r>
        <w:rPr>
          <w:rFonts w:ascii="Times New Roman" w:cs="Times New Roman" w:eastAsia="Times New Roman" w:hAnsi="Times New Roman"/>
          <w:sz w:val="18"/>
          <w:szCs w:val="18"/>
          <w:color w:val="FF0000"/>
          <w:strike w:val="1"/>
        </w:rPr>
        <w:t>and properly executed by a Responsible Officer and dated as of the Effective Date.</w:t>
      </w:r>
    </w:p>
    <w:p>
      <w:pPr>
        <w:spacing w:after="0" w:line="161" w:lineRule="exact"/>
        <w:rPr>
          <w:rFonts w:ascii="Times New Roman" w:cs="Times New Roman" w:eastAsia="Times New Roman" w:hAnsi="Times New Roman"/>
          <w:sz w:val="18"/>
          <w:szCs w:val="18"/>
          <w:color w:val="FF0000"/>
        </w:rPr>
      </w:pPr>
    </w:p>
    <w:p>
      <w:pPr>
        <w:ind w:right="20" w:firstLine="1304"/>
        <w:spacing w:after="0" w:line="282" w:lineRule="auto"/>
        <w:tabs>
          <w:tab w:leader="none" w:pos="1887" w:val="left"/>
        </w:tabs>
        <w:numPr>
          <w:ilvl w:val="0"/>
          <w:numId w:val="179"/>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shall have received from each party hereto counterparts (in such number as may be requested by the </w:t>
      </w:r>
      <w:r>
        <w:rPr>
          <w:rFonts w:ascii="Times New Roman" w:cs="Times New Roman" w:eastAsia="Times New Roman" w:hAnsi="Times New Roman"/>
          <w:sz w:val="18"/>
          <w:szCs w:val="18"/>
          <w:color w:val="FF0000"/>
          <w:strike w:val="1"/>
        </w:rPr>
        <w:t>Administrative Agent) of this Agreement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-2568575</wp:posOffset>
            </wp:positionV>
            <wp:extent cx="63074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0745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-1059815</wp:posOffset>
            </wp:positionV>
            <wp:extent cx="63087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0872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-648335</wp:posOffset>
            </wp:positionV>
            <wp:extent cx="63049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-236855</wp:posOffset>
            </wp:positionV>
            <wp:extent cx="63011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01105" cy="8890"/>
                    </a:xfrm>
                    <a:prstGeom prst="rect">
                      <a:avLst/>
                    </a:prstGeom>
                    <a:noFill/>
                  </pic:spPr>
                </pic:pic>
              </a:graphicData>
            </a:graphic>
          </wp:anchor>
        </w:drawing>
      </w:r>
    </w:p>
    <w:p>
      <w:pPr>
        <w:spacing w:after="0" w:line="14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000FF"/>
        </w:rPr>
        <w:t>Section 6.01</w:t>
      </w:r>
      <w:r>
        <w:rPr>
          <w:sz w:val="20"/>
          <w:szCs w:val="20"/>
          <w:color w:val="auto"/>
        </w:rPr>
        <w:tab/>
      </w:r>
      <w:r>
        <w:rPr>
          <w:rFonts w:ascii="Times New Roman" w:cs="Times New Roman" w:eastAsia="Times New Roman" w:hAnsi="Times New Roman"/>
          <w:sz w:val="17"/>
          <w:szCs w:val="17"/>
          <w:u w:val="single" w:color="auto"/>
          <w:color w:val="FF0000"/>
        </w:rPr>
        <w:t xml:space="preserve">(f) </w:t>
      </w:r>
      <w:r>
        <w:rPr>
          <w:rFonts w:ascii="Times New Roman" w:cs="Times New Roman" w:eastAsia="Times New Roman" w:hAnsi="Times New Roman"/>
          <w:sz w:val="17"/>
          <w:szCs w:val="17"/>
          <w:u w:val="single" w:color="auto"/>
          <w:color w:val="000000"/>
        </w:rPr>
        <w:t>[Reserved]</w:t>
      </w:r>
      <w:r>
        <w:rPr>
          <w:rFonts w:ascii="Times New Roman" w:cs="Times New Roman" w:eastAsia="Times New Roman" w:hAnsi="Times New Roman"/>
          <w:sz w:val="17"/>
          <w:szCs w:val="17"/>
          <w:u w:val="single" w:color="auto"/>
          <w:color w:val="FF0000"/>
        </w:rPr>
        <w:t>.</w:t>
      </w:r>
    </w:p>
    <w:p>
      <w:pPr>
        <w:spacing w:after="0" w:line="225" w:lineRule="exact"/>
        <w:rPr>
          <w:sz w:val="20"/>
          <w:szCs w:val="20"/>
          <w:color w:val="auto"/>
        </w:rPr>
      </w:pPr>
    </w:p>
    <w:p>
      <w:pPr>
        <w:ind w:left="1820" w:hanging="516"/>
        <w:spacing w:after="0"/>
        <w:tabs>
          <w:tab w:leader="none" w:pos="1820" w:val="left"/>
        </w:tabs>
        <w:numPr>
          <w:ilvl w:val="0"/>
          <w:numId w:val="18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[Reserved].</w:t>
      </w:r>
    </w:p>
    <w:p>
      <w:pPr>
        <w:spacing w:after="0" w:line="225"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868" w:val="left"/>
        </w:tabs>
        <w:numPr>
          <w:ilvl w:val="0"/>
          <w:numId w:val="180"/>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shall have received an opinion of Akin Gump Strauss Hauer &amp; Feld LLP, counsel to the Borrower, in </w:t>
      </w:r>
      <w:r>
        <w:rPr>
          <w:rFonts w:ascii="Times New Roman" w:cs="Times New Roman" w:eastAsia="Times New Roman" w:hAnsi="Times New Roman"/>
          <w:sz w:val="18"/>
          <w:szCs w:val="18"/>
          <w:color w:val="FF0000"/>
          <w:strike w:val="1"/>
        </w:rPr>
        <w:t>form and substance satisfactory to the Administrative Agent.</w:t>
      </w:r>
    </w:p>
    <w:p>
      <w:pPr>
        <w:spacing w:after="0" w:line="161" w:lineRule="exact"/>
        <w:rPr>
          <w:rFonts w:ascii="Times New Roman" w:cs="Times New Roman" w:eastAsia="Times New Roman" w:hAnsi="Times New Roman"/>
          <w:sz w:val="18"/>
          <w:szCs w:val="18"/>
          <w:color w:val="FF0000"/>
        </w:rPr>
      </w:pPr>
    </w:p>
    <w:p>
      <w:pPr>
        <w:ind w:left="1780" w:hanging="476"/>
        <w:spacing w:after="0"/>
        <w:tabs>
          <w:tab w:leader="none" w:pos="1780" w:val="left"/>
        </w:tabs>
        <w:numPr>
          <w:ilvl w:val="0"/>
          <w:numId w:val="18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[Reserved].</w:t>
      </w:r>
    </w:p>
    <w:p>
      <w:pPr>
        <w:spacing w:after="0" w:line="225" w:lineRule="exact"/>
        <w:rPr>
          <w:rFonts w:ascii="Times New Roman" w:cs="Times New Roman" w:eastAsia="Times New Roman" w:hAnsi="Times New Roman"/>
          <w:sz w:val="18"/>
          <w:szCs w:val="18"/>
          <w:color w:val="FF0000"/>
          <w:strike w:val="1"/>
        </w:rPr>
      </w:pPr>
    </w:p>
    <w:p>
      <w:pPr>
        <w:ind w:left="1780" w:hanging="476"/>
        <w:spacing w:after="0"/>
        <w:tabs>
          <w:tab w:leader="none" w:pos="1780" w:val="left"/>
        </w:tabs>
        <w:numPr>
          <w:ilvl w:val="0"/>
          <w:numId w:val="18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[Reserved].</w:t>
      </w:r>
    </w:p>
    <w:p>
      <w:pPr>
        <w:spacing w:after="0" w:line="225" w:lineRule="exact"/>
        <w:rPr>
          <w:rFonts w:ascii="Times New Roman" w:cs="Times New Roman" w:eastAsia="Times New Roman" w:hAnsi="Times New Roman"/>
          <w:sz w:val="18"/>
          <w:szCs w:val="18"/>
          <w:color w:val="FF0000"/>
          <w:strike w:val="1"/>
        </w:rPr>
      </w:pPr>
    </w:p>
    <w:p>
      <w:pPr>
        <w:ind w:left="1820" w:hanging="516"/>
        <w:spacing w:after="0"/>
        <w:tabs>
          <w:tab w:leader="none" w:pos="1820" w:val="left"/>
        </w:tabs>
        <w:numPr>
          <w:ilvl w:val="0"/>
          <w:numId w:val="18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[Reserved].</w:t>
      </w:r>
    </w:p>
    <w:p>
      <w:pPr>
        <w:spacing w:after="0" w:line="225"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829" w:val="left"/>
        </w:tabs>
        <w:numPr>
          <w:ilvl w:val="0"/>
          <w:numId w:val="180"/>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shall have received a certificate of a Responsible Officer of the Borrower certifying that the Borrower </w:t>
      </w:r>
      <w:r>
        <w:rPr>
          <w:rFonts w:ascii="Times New Roman" w:cs="Times New Roman" w:eastAsia="Times New Roman" w:hAnsi="Times New Roman"/>
          <w:sz w:val="18"/>
          <w:szCs w:val="18"/>
          <w:color w:val="FF0000"/>
          <w:strike w:val="1"/>
        </w:rPr>
        <w:t xml:space="preserve">has received all consents and approvals required by </w:t>
      </w:r>
      <w:r>
        <w:rPr>
          <w:rFonts w:ascii="Times New Roman" w:cs="Times New Roman" w:eastAsia="Times New Roman" w:hAnsi="Times New Roman"/>
          <w:sz w:val="18"/>
          <w:szCs w:val="18"/>
          <w:u w:val="single" w:color="auto"/>
          <w:color w:val="FF0000"/>
          <w:strike w:val="1"/>
        </w:rPr>
        <w:t>Section 7.03</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-1471295</wp:posOffset>
            </wp:positionV>
            <wp:extent cx="63061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0618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-236855</wp:posOffset>
            </wp:positionV>
            <wp:extent cx="63055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05550" cy="8255"/>
                    </a:xfrm>
                    <a:prstGeom prst="rect">
                      <a:avLst/>
                    </a:prstGeom>
                    <a:noFill/>
                  </pic:spPr>
                </pic:pic>
              </a:graphicData>
            </a:graphic>
          </wp:anchor>
        </w:drawing>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1" w:name="page242"/>
    <w:bookmarkEnd w:id="241"/>
    <w:p>
      <w:pPr>
        <w:ind w:left="1880" w:hanging="576"/>
        <w:spacing w:after="0"/>
        <w:tabs>
          <w:tab w:leader="none" w:pos="1880" w:val="left"/>
        </w:tabs>
        <w:numPr>
          <w:ilvl w:val="0"/>
          <w:numId w:val="18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Administrative Agent shall have received the financial statements referred to in </w:t>
      </w:r>
      <w:r>
        <w:rPr>
          <w:rFonts w:ascii="Times New Roman" w:cs="Times New Roman" w:eastAsia="Times New Roman" w:hAnsi="Times New Roman"/>
          <w:sz w:val="18"/>
          <w:szCs w:val="18"/>
          <w:u w:val="single" w:color="auto"/>
          <w:color w:val="FF0000"/>
          <w:strike w:val="1"/>
        </w:rPr>
        <w:t>Section 7.04(a)</w:t>
      </w:r>
      <w:r>
        <w:rPr>
          <w:rFonts w:ascii="Times New Roman" w:cs="Times New Roman" w:eastAsia="Times New Roman" w:hAnsi="Times New Roman"/>
          <w:sz w:val="18"/>
          <w:szCs w:val="18"/>
          <w:color w:val="FF0000"/>
          <w:strike w:val="1"/>
        </w:rPr>
        <w:t>.</w:t>
      </w:r>
    </w:p>
    <w:p>
      <w:pPr>
        <w:spacing w:after="0" w:line="225" w:lineRule="exact"/>
        <w:rPr>
          <w:rFonts w:ascii="Times New Roman" w:cs="Times New Roman" w:eastAsia="Times New Roman" w:hAnsi="Times New Roman"/>
          <w:sz w:val="18"/>
          <w:szCs w:val="18"/>
          <w:color w:val="FF0000"/>
          <w:strike w:val="1"/>
        </w:rPr>
      </w:pPr>
    </w:p>
    <w:p>
      <w:pPr>
        <w:ind w:left="1820" w:hanging="516"/>
        <w:spacing w:after="0"/>
        <w:tabs>
          <w:tab w:leader="none" w:pos="1820" w:val="left"/>
        </w:tabs>
        <w:numPr>
          <w:ilvl w:val="0"/>
          <w:numId w:val="18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[Reserved].</w:t>
      </w:r>
    </w:p>
    <w:p>
      <w:pPr>
        <w:spacing w:after="0" w:line="225"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2002" w:val="left"/>
        </w:tabs>
        <w:numPr>
          <w:ilvl w:val="0"/>
          <w:numId w:val="181"/>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Administrative Agent shall have received such other documents as the Administrative Agent or special counsel to the </w:t>
      </w:r>
      <w:r>
        <w:rPr>
          <w:rFonts w:ascii="Times New Roman" w:cs="Times New Roman" w:eastAsia="Times New Roman" w:hAnsi="Times New Roman"/>
          <w:sz w:val="18"/>
          <w:szCs w:val="18"/>
          <w:color w:val="FF0000"/>
          <w:strike w:val="1"/>
        </w:rPr>
        <w:t>Administrative Agent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-236855</wp:posOffset>
            </wp:positionV>
            <wp:extent cx="6308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0C000"/>
          <w:strike w:val="1"/>
        </w:rPr>
        <w:t xml:space="preserve">The Administrative Agent shall notify the Borrower and the Lenders of the Effective Date, and such notice shall be conclusive and binding. Notwithstanding the foregoing, the obligations </w:t>
      </w:r>
      <w:r>
        <w:rPr>
          <w:rFonts w:ascii="Times New Roman" w:cs="Times New Roman" w:eastAsia="Times New Roman" w:hAnsi="Times New Roman"/>
          <w:sz w:val="18"/>
          <w:szCs w:val="18"/>
          <w:color w:val="FF0000"/>
          <w:strike w:val="1"/>
        </w:rPr>
        <w:t>of the Lenders to make Loans and of the Issuing Bank to issue Letters of Credit hereunder shall not become</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 xml:space="preserve">effective unless each of the foregoing conditions is satisfied (or waived pursuant to </w:t>
      </w:r>
      <w:r>
        <w:rPr>
          <w:rFonts w:ascii="Times New Roman" w:cs="Times New Roman" w:eastAsia="Times New Roman" w:hAnsi="Times New Roman"/>
          <w:sz w:val="18"/>
          <w:szCs w:val="18"/>
          <w:u w:val="single" w:color="auto"/>
          <w:color w:val="FF0000"/>
          <w:strike w:val="1"/>
        </w:rPr>
        <w:t>Section 12.02</w:t>
      </w:r>
      <w:r>
        <w:rPr>
          <w:rFonts w:ascii="Times New Roman" w:cs="Times New Roman" w:eastAsia="Times New Roman" w:hAnsi="Times New Roman"/>
          <w:sz w:val="18"/>
          <w:szCs w:val="18"/>
          <w:color w:val="FF0000"/>
          <w:strike w:val="1"/>
        </w:rPr>
        <w:t>) at or prior to 4:00 p.m., Houston, Texas time, on November 22, 2013 (and, in the event such conditions are not so satisfied or waived, at such time this Agreement shall cease to be of any force or effect and the loans and letters of credit outstanding under the Existing Credit Agreement shall continue to be outstanding thereunder).</w:t>
      </w:r>
      <w:r>
        <w:rPr>
          <w:rFonts w:ascii="Times New Roman" w:cs="Times New Roman" w:eastAsia="Times New Roman" w:hAnsi="Times New Roman"/>
          <w:sz w:val="18"/>
          <w:szCs w:val="18"/>
          <w:u w:val="single" w:color="auto"/>
          <w:color w:val="0000FF"/>
          <w:strike w:val="1"/>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6.02 </w:t>
      </w:r>
      <w:r>
        <w:rPr>
          <w:rFonts w:ascii="Times New Roman" w:cs="Times New Roman" w:eastAsia="Times New Roman" w:hAnsi="Times New Roman"/>
          <w:sz w:val="18"/>
          <w:szCs w:val="18"/>
          <w:u w:val="single" w:color="auto"/>
          <w:color w:val="000000"/>
        </w:rPr>
        <w:t>Each Credit Event</w:t>
      </w:r>
      <w:r>
        <w:rPr>
          <w:rFonts w:ascii="Times New Roman" w:cs="Times New Roman" w:eastAsia="Times New Roman" w:hAnsi="Times New Roman"/>
          <w:sz w:val="18"/>
          <w:szCs w:val="18"/>
          <w:color w:val="000000"/>
        </w:rPr>
        <w:t>. The obligation of each Lender to make a Loan on the occasion of any Borrowing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(including the initial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funding)</w:t>
      </w:r>
      <w:r>
        <w:rPr>
          <w:rFonts w:ascii="Times New Roman" w:cs="Times New Roman" w:eastAsia="Times New Roman" w:hAnsi="Times New Roman"/>
          <w:sz w:val="18"/>
          <w:szCs w:val="18"/>
          <w:color w:val="000000"/>
        </w:rPr>
        <w:t>, and of the Issuing Bank to issue, amend, renew or extend any Letter of 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 the continuation of the loans and letters of credit under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Existing Credit Agreement as Loans and Letters of Credit under this Agreement as contemplated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2.02(e)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each case, is subject to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satisfaction of the following conditions:</w:t>
      </w:r>
    </w:p>
    <w:p>
      <w:pPr>
        <w:spacing w:after="0" w:line="180" w:lineRule="exact"/>
        <w:rPr>
          <w:sz w:val="20"/>
          <w:szCs w:val="20"/>
          <w:color w:val="auto"/>
        </w:rPr>
      </w:pPr>
    </w:p>
    <w:p>
      <w:pPr>
        <w:ind w:firstLine="1304"/>
        <w:spacing w:after="0" w:line="282" w:lineRule="auto"/>
        <w:tabs>
          <w:tab w:leader="none" w:pos="1864" w:val="left"/>
        </w:tabs>
        <w:numPr>
          <w:ilvl w:val="0"/>
          <w:numId w:val="1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6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820" w:val="left"/>
        </w:tabs>
        <w:numPr>
          <w:ilvl w:val="0"/>
          <w:numId w:val="1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of the Parent Guarantor, the Borrower and the other Guarantors set forth in this Agreement and in the other Loan Documents shall be true and correct in all material respects (or, if already qualified by materiality, Material Adverse Effect or a similar qualification, true and correct in all respects)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(or, if already qualified by materiality, Material Adverse Effect or a similar qualification, true and correct in all respects) as of such specified earlier date.</w:t>
      </w:r>
    </w:p>
    <w:p>
      <w:pPr>
        <w:spacing w:after="0" w:line="188"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10" w:val="left"/>
        </w:tabs>
        <w:numPr>
          <w:ilvl w:val="0"/>
          <w:numId w:val="1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FF0000"/>
          <w:strike w:val="1"/>
        </w:rPr>
        <w:t xml:space="preserve">Except with respect to the continuation of the loans and letters of credit under the Existing Credit Agreement as Loans and Letters of Credit under this Agreement as contemplated by </w:t>
      </w:r>
      <w:r>
        <w:rPr>
          <w:rFonts w:ascii="Times New Roman" w:cs="Times New Roman" w:eastAsia="Times New Roman" w:hAnsi="Times New Roman"/>
          <w:sz w:val="18"/>
          <w:szCs w:val="18"/>
          <w:u w:val="single" w:color="auto"/>
          <w:color w:val="FF0000"/>
          <w:strike w:val="1"/>
        </w:rPr>
        <w:t>Section 2.02(e)</w:t>
      </w:r>
      <w:r>
        <w:rPr>
          <w:rFonts w:ascii="Times New Roman" w:cs="Times New Roman" w:eastAsia="Times New Roman" w:hAnsi="Times New Roman"/>
          <w:sz w:val="18"/>
          <w:szCs w:val="18"/>
          <w:color w:val="FF0000"/>
          <w:strike w:val="1"/>
        </w:rPr>
        <w:t>, the</w:t>
      </w:r>
      <w:r>
        <w:rPr>
          <w:rFonts w:ascii="Times New Roman" w:cs="Times New Roman" w:eastAsia="Times New Roman" w:hAnsi="Times New Roman"/>
          <w:sz w:val="18"/>
          <w:szCs w:val="18"/>
          <w:u w:val="single" w:color="auto"/>
          <w:color w:val="0000FF"/>
          <w:strike w:val="1"/>
        </w:rPr>
        <w:t>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receipt by the Administrative Agent of a Borrowing Request in accordance with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00"/>
          <w:strike w:val="1"/>
        </w:rPr>
        <w:t>Section 2.03</w:t>
      </w:r>
      <w:r>
        <w:rPr>
          <w:rFonts w:ascii="Times New Roman" w:cs="Times New Roman" w:eastAsia="Times New Roman" w:hAnsi="Times New Roman"/>
          <w:sz w:val="18"/>
          <w:szCs w:val="18"/>
          <w:color w:val="000000"/>
          <w:strike w:val="1"/>
        </w:rPr>
        <w:t xml:space="preserve"> or a request for a Letter of Credit in accordance with </w:t>
      </w:r>
      <w:r>
        <w:rPr>
          <w:rFonts w:ascii="Times New Roman" w:cs="Times New Roman" w:eastAsia="Times New Roman" w:hAnsi="Times New Roman"/>
          <w:sz w:val="18"/>
          <w:szCs w:val="18"/>
          <w:u w:val="single" w:color="auto"/>
          <w:color w:val="000000"/>
          <w:strike w:val="1"/>
        </w:rPr>
        <w:t>Section 2.08(b)</w:t>
      </w:r>
      <w:r>
        <w:rPr>
          <w:rFonts w:ascii="Times New Roman" w:cs="Times New Roman" w:eastAsia="Times New Roman" w:hAnsi="Times New Roman"/>
          <w:sz w:val="18"/>
          <w:szCs w:val="18"/>
          <w:color w:val="000000"/>
          <w:strike w:val="1"/>
        </w:rPr>
        <w:t>, as applicable.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request for a Borrowing and each request for the issuance, amendment, renewal or extension of any Letter of Credit shall be deemed to constitute a representation and warranty by the Parent Guarantor and the Borrower on the date thereof as to the matters specified in </w:t>
      </w:r>
      <w:r>
        <w:rPr>
          <w:rFonts w:ascii="Times New Roman" w:cs="Times New Roman" w:eastAsia="Times New Roman" w:hAnsi="Times New Roman"/>
          <w:sz w:val="18"/>
          <w:szCs w:val="18"/>
          <w:u w:val="single" w:color="auto"/>
          <w:color w:val="auto"/>
        </w:rPr>
        <w:t>Sections 6.02(a)</w:t>
      </w:r>
      <w:r>
        <w:rPr>
          <w:rFonts w:ascii="Times New Roman" w:cs="Times New Roman" w:eastAsia="Times New Roman" w:hAnsi="Times New Roman"/>
          <w:sz w:val="18"/>
          <w:szCs w:val="18"/>
          <w:color w:val="auto"/>
        </w:rPr>
        <w:t xml:space="preserve"> and</w:t>
      </w:r>
    </w:p>
    <w:p>
      <w:pPr>
        <w:spacing w:after="0"/>
        <w:rPr>
          <w:sz w:val="20"/>
          <w:szCs w:val="20"/>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ind w:left="66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0000FF"/>
        </w:rPr>
        <w:t>Section 6.03</w:t>
      </w:r>
      <w:r>
        <w:rPr>
          <w:sz w:val="20"/>
          <w:szCs w:val="20"/>
          <w:color w:val="auto"/>
        </w:rPr>
        <w:tab/>
      </w:r>
      <w:r>
        <w:rPr>
          <w:rFonts w:ascii="Times New Roman" w:cs="Times New Roman" w:eastAsia="Times New Roman" w:hAnsi="Times New Roman"/>
          <w:sz w:val="17"/>
          <w:szCs w:val="17"/>
          <w:u w:val="single" w:color="auto"/>
          <w:color w:val="0000FF"/>
        </w:rPr>
        <w:t>Availability of Increased Commitments.</w:t>
      </w:r>
    </w:p>
    <w:p>
      <w:pPr>
        <w:spacing w:after="0" w:line="225" w:lineRule="exact"/>
        <w:rPr>
          <w:sz w:val="20"/>
          <w:szCs w:val="20"/>
          <w:color w:val="auto"/>
        </w:rPr>
      </w:pPr>
    </w:p>
    <w:p>
      <w:pPr>
        <w:ind w:firstLine="1304"/>
        <w:spacing w:after="0" w:line="282" w:lineRule="auto"/>
        <w:tabs>
          <w:tab w:leader="none" w:pos="1986" w:val="left"/>
        </w:tabs>
        <w:numPr>
          <w:ilvl w:val="0"/>
          <w:numId w:val="18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Increased Commitments shall not become available until the date on which each of the following conditions is satisfied (or waived in accordance with Section 12.02):</w:t>
      </w:r>
    </w:p>
    <w:p>
      <w:pPr>
        <w:spacing w:after="0" w:line="161" w:lineRule="exact"/>
        <w:rPr>
          <w:rFonts w:ascii="Times New Roman" w:cs="Times New Roman" w:eastAsia="Times New Roman" w:hAnsi="Times New Roman"/>
          <w:sz w:val="18"/>
          <w:szCs w:val="18"/>
          <w:u w:val="single" w:color="auto"/>
          <w:color w:val="0000FF"/>
        </w:rPr>
      </w:pPr>
    </w:p>
    <w:p>
      <w:pPr>
        <w:ind w:left="2660" w:hanging="708"/>
        <w:spacing w:after="0"/>
        <w:tabs>
          <w:tab w:leader="none" w:pos="2660" w:val="left"/>
        </w:tabs>
        <w:numPr>
          <w:ilvl w:val="1"/>
          <w:numId w:val="18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Term Loan Funding Date shall substantially simultaneously occur or shall have occurred.</w:t>
      </w:r>
    </w:p>
    <w:p>
      <w:pPr>
        <w:spacing w:after="0" w:line="225" w:lineRule="exact"/>
        <w:rPr>
          <w:rFonts w:ascii="Times New Roman" w:cs="Times New Roman" w:eastAsia="Times New Roman" w:hAnsi="Times New Roman"/>
          <w:sz w:val="18"/>
          <w:szCs w:val="18"/>
          <w:u w:val="single" w:color="auto"/>
          <w:color w:val="0000FF"/>
        </w:rPr>
      </w:pPr>
    </w:p>
    <w:p>
      <w:pPr>
        <w:jc w:val="both"/>
        <w:ind w:firstLine="1952"/>
        <w:spacing w:after="0" w:line="258" w:lineRule="auto"/>
        <w:tabs>
          <w:tab w:leader="none" w:pos="2735" w:val="left"/>
        </w:tabs>
        <w:numPr>
          <w:ilvl w:val="1"/>
          <w:numId w:val="18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All fees payable on or prior to the Endeavor Acquisition Effective Date required hereunder or under the Fourteenth Amendment Fee Letter shall have been paid and all other accrued fees and expenses of the Arranger, the Administrative Agent and the Lenders (including the reasonable and documented out-of-pocket fees and expenses of counsel (including any local counsel) for the Administrative Agent) payable on or prior to the Endeavor Acquisition Effective Date and for which invoices have been presented 3 Business Days prior to the Endeavor Acquisition Effective Date shall have been paid.</w:t>
      </w:r>
    </w:p>
    <w:p>
      <w:pPr>
        <w:spacing w:after="0" w:line="183" w:lineRule="exact"/>
        <w:rPr>
          <w:rFonts w:ascii="Times New Roman" w:cs="Times New Roman" w:eastAsia="Times New Roman" w:hAnsi="Times New Roman"/>
          <w:sz w:val="18"/>
          <w:szCs w:val="18"/>
          <w:u w:val="single" w:color="auto"/>
          <w:color w:val="0000FF"/>
        </w:rPr>
      </w:pPr>
    </w:p>
    <w:p>
      <w:pPr>
        <w:ind w:firstLine="1952"/>
        <w:spacing w:after="0" w:line="282" w:lineRule="auto"/>
        <w:tabs>
          <w:tab w:leader="none" w:pos="2727" w:val="left"/>
        </w:tabs>
        <w:numPr>
          <w:ilvl w:val="1"/>
          <w:numId w:val="18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Administrative Agent shall have received a certificate of the Parent Guarantor, dated the Endeavor Acquisition Effective Date, confirming the satisfaction on the Endeavor Acquisition Effective Date of the condition set forth in Section 6.03(a)(i) above.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C000"/>
        </w:rPr>
        <w:t xml:space="preserve">The Administrative Agent shall notify the Borrower and the Lenders of the </w:t>
      </w:r>
      <w:r>
        <w:rPr>
          <w:rFonts w:ascii="Times New Roman" w:cs="Times New Roman" w:eastAsia="Times New Roman" w:hAnsi="Times New Roman"/>
          <w:sz w:val="18"/>
          <w:szCs w:val="18"/>
          <w:u w:val="single" w:color="auto"/>
          <w:color w:val="0000FF"/>
        </w:rPr>
        <w:t>Endeavor Acquisition</w:t>
      </w:r>
      <w:r>
        <w:rPr>
          <w:rFonts w:ascii="Times New Roman" w:cs="Times New Roman" w:eastAsia="Times New Roman" w:hAnsi="Times New Roman"/>
          <w:sz w:val="18"/>
          <w:szCs w:val="18"/>
          <w:u w:val="single" w:color="auto"/>
          <w:color w:val="00C000"/>
        </w:rPr>
        <w:t xml:space="preserve"> Effective Date, and such notice shall be conclusive and binding.</w:t>
      </w:r>
    </w:p>
    <w:p>
      <w:pPr>
        <w:spacing w:after="0" w:line="162" w:lineRule="exact"/>
        <w:rPr>
          <w:sz w:val="20"/>
          <w:szCs w:val="20"/>
          <w:color w:val="auto"/>
        </w:rPr>
      </w:pPr>
    </w:p>
    <w:p>
      <w:pPr>
        <w:ind w:firstLine="1304"/>
        <w:spacing w:after="0" w:line="282" w:lineRule="auto"/>
        <w:tabs>
          <w:tab w:leader="none" w:pos="1982" w:val="left"/>
        </w:tabs>
        <w:numPr>
          <w:ilvl w:val="0"/>
          <w:numId w:val="1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Effective as of the Endeavor Acquisition Effective Date (and notwithstanding anything herein to the contrary, including without limitation any requirements in respect of minimum borrowings, pro rata borrowings or pro rata payments or repayments):</w:t>
      </w:r>
    </w:p>
    <w:p>
      <w:pPr>
        <w:spacing w:after="0" w:line="161" w:lineRule="exact"/>
        <w:rPr>
          <w:rFonts w:ascii="Times New Roman" w:cs="Times New Roman" w:eastAsia="Times New Roman" w:hAnsi="Times New Roman"/>
          <w:sz w:val="18"/>
          <w:szCs w:val="18"/>
          <w:u w:val="single" w:color="auto"/>
          <w:color w:val="0000FF"/>
        </w:rPr>
      </w:pPr>
    </w:p>
    <w:p>
      <w:pPr>
        <w:jc w:val="both"/>
        <w:ind w:firstLine="1952"/>
        <w:spacing w:after="0" w:line="258" w:lineRule="auto"/>
        <w:tabs>
          <w:tab w:leader="none" w:pos="2649" w:val="left"/>
        </w:tabs>
        <w:numPr>
          <w:ilvl w:val="1"/>
          <w:numId w:val="1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Existing Lender will automatically and without further act be deemed to have assigned to each Increased Lender, and each Increased Lender will automatically and without further act be deemed to have assumed, a portion of each Existing Lender’s participations in outstanding Letters of Credit (if any) such that, after giving effect to each such deemed assignment and assumption of participations, the aggregate outstanding participations in Letters of Credit under the Facility shall be held by the Existing Lenders and the Increased Lenders ratably in accordance with their respective Commitments after giving effect to the availability of the Increased Commitments; and</w:t>
      </w:r>
    </w:p>
    <w:p>
      <w:pPr>
        <w:spacing w:after="0" w:line="183" w:lineRule="exact"/>
        <w:rPr>
          <w:rFonts w:ascii="Times New Roman" w:cs="Times New Roman" w:eastAsia="Times New Roman" w:hAnsi="Times New Roman"/>
          <w:sz w:val="18"/>
          <w:szCs w:val="18"/>
          <w:u w:val="single" w:color="auto"/>
          <w:color w:val="0000FF"/>
        </w:rPr>
      </w:pPr>
    </w:p>
    <w:p>
      <w:pPr>
        <w:jc w:val="both"/>
        <w:ind w:firstLine="1952"/>
        <w:spacing w:after="0" w:line="261" w:lineRule="auto"/>
        <w:tabs>
          <w:tab w:leader="none" w:pos="2803" w:val="left"/>
        </w:tabs>
        <w:numPr>
          <w:ilvl w:val="1"/>
          <w:numId w:val="1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Existing Lender shall assign to each Increased Lender, and each Increased Lender shall purchase from each Existing Lender, at par, such amounts of the Revolving Loans outstanding on the Endeavor Acquisition Effective Date (if any) as the Administrative Agent may require such that following the Endeavor Acquisition Effective Date, each Lender holds outstanding Revolving Loans in accordance with its Applicable Percentage of the Commitments immediately after giving effect to all such assignments.</w:t>
      </w:r>
    </w:p>
    <w:p>
      <w:pPr>
        <w:spacing w:after="0" w:line="179" w:lineRule="exact"/>
        <w:rPr>
          <w:rFonts w:ascii="Times New Roman" w:cs="Times New Roman" w:eastAsia="Times New Roman" w:hAnsi="Times New Roman"/>
          <w:sz w:val="18"/>
          <w:szCs w:val="18"/>
          <w:u w:val="single" w:color="auto"/>
          <w:color w:val="0000FF"/>
        </w:rPr>
      </w:pPr>
    </w:p>
    <w:p>
      <w:pPr>
        <w:ind w:left="2680" w:hanging="728"/>
        <w:spacing w:after="0"/>
        <w:tabs>
          <w:tab w:leader="none" w:pos="2680" w:val="left"/>
        </w:tabs>
        <w:numPr>
          <w:ilvl w:val="1"/>
          <w:numId w:val="1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Existing Letters of Credit shall be deemed to be Letters of Credit issued under this Agreement.</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Parent Guarantor and the Borrower each represents and warrants to the Lenders that: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7.01 </w:t>
      </w:r>
      <w:r>
        <w:rPr>
          <w:rFonts w:ascii="Times New Roman" w:cs="Times New Roman" w:eastAsia="Times New Roman" w:hAnsi="Times New Roman"/>
          <w:sz w:val="18"/>
          <w:szCs w:val="18"/>
          <w:u w:val="single" w:color="auto"/>
          <w:color w:val="000000"/>
        </w:rPr>
        <w:t>Organization; Powers</w:t>
      </w:r>
      <w:r>
        <w:rPr>
          <w:rFonts w:ascii="Times New Roman" w:cs="Times New Roman" w:eastAsia="Times New Roman" w:hAnsi="Times New Roman"/>
          <w:sz w:val="18"/>
          <w:szCs w:val="18"/>
          <w:color w:val="000000"/>
        </w:rPr>
        <w:t>. Each of the Parent Guarantor, the Borrower and the Restricted 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duly organized, validly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existing and in good standing under the laws of the jurisdiction of its organization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(except, with respect to the Restricted Subsidiaries, where failure to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so organized, existing or in good standing would not reasonably be expected to have a Material Adverse Effect) and (b)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has all requisite power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authority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FF0000"/>
          <w:strike w:val="1"/>
        </w:rPr>
        <w:t>has</w:t>
      </w:r>
      <w:r>
        <w:rPr>
          <w:rFonts w:ascii="Times New Roman" w:cs="Times New Roman" w:eastAsia="Times New Roman" w:hAnsi="Times New Roman"/>
          <w:sz w:val="18"/>
          <w:szCs w:val="18"/>
          <w:color w:val="000000"/>
        </w:rPr>
        <w:t xml:space="preserve"> all material governmental licenses, authorizations, consents and approvals necessary, to own its assets and to carry on its business as now conducted, and is qualified to do business in, and is in good standing in, every jurisdiction where such qualification is required, </w:t>
      </w:r>
      <w:r>
        <w:rPr>
          <w:rFonts w:ascii="Times New Roman" w:cs="Times New Roman" w:eastAsia="Times New Roman" w:hAnsi="Times New Roman"/>
          <w:sz w:val="18"/>
          <w:szCs w:val="18"/>
          <w:u w:val="single" w:color="auto"/>
          <w:color w:val="0000FF"/>
        </w:rPr>
        <w:t>in each case with respect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this clause (b),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except where failure to have such power, authority, licenses, authorizations, consents, approvals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qualifications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or standing would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not reasonably be expected to have a Material Adverse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7.02 </w:t>
      </w:r>
      <w:r>
        <w:rPr>
          <w:rFonts w:ascii="Times New Roman" w:cs="Times New Roman" w:eastAsia="Times New Roman" w:hAnsi="Times New Roman"/>
          <w:sz w:val="18"/>
          <w:szCs w:val="18"/>
          <w:u w:val="single" w:color="auto"/>
          <w:color w:val="000000"/>
        </w:rPr>
        <w:t>Authority; Enforceability</w:t>
      </w:r>
      <w:r>
        <w:rPr>
          <w:rFonts w:ascii="Times New Roman" w:cs="Times New Roman" w:eastAsia="Times New Roman" w:hAnsi="Times New Roman"/>
          <w:sz w:val="18"/>
          <w:szCs w:val="18"/>
          <w:color w:val="000000"/>
        </w:rPr>
        <w:t>. The Transactions are within the Parent Guarantor’s, the Borrower’s and each other Guarantor’s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corporate, partnership or other organizational powers and have been duly authorized by all necessary organizational action and, if required, action by any holders of its Equity Interests. Each Loan Document to which the Parent Guarantor, the Borrower and each other Guarantor is a party has been duly executed and delivered by the Parent Guarantor, the Borrower and such other Guarantor and constitutes a legal, valid and binding obligation of the Parent Guarantor, the Borrower and such other Guarantor,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7.03 </w:t>
      </w:r>
      <w:r>
        <w:rPr>
          <w:rFonts w:ascii="Times New Roman" w:cs="Times New Roman" w:eastAsia="Times New Roman" w:hAnsi="Times New Roman"/>
          <w:sz w:val="18"/>
          <w:szCs w:val="18"/>
          <w:u w:val="single" w:color="auto"/>
          <w:color w:val="000000"/>
        </w:rPr>
        <w:t>Approvals; No Conflicts</w:t>
      </w:r>
      <w:r>
        <w:rPr>
          <w:rFonts w:ascii="Times New Roman" w:cs="Times New Roman" w:eastAsia="Times New Roman" w:hAnsi="Times New Roman"/>
          <w:sz w:val="18"/>
          <w:szCs w:val="18"/>
          <w:color w:val="000000"/>
        </w:rPr>
        <w:t>. The Transactions (a) do not require any consent or approval of, registration or filing with,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action by, any Governmental Authority </w:t>
      </w:r>
      <w:r>
        <w:rPr>
          <w:rFonts w:ascii="Times New Roman" w:cs="Times New Roman" w:eastAsia="Times New Roman" w:hAnsi="Times New Roman"/>
          <w:sz w:val="18"/>
          <w:szCs w:val="18"/>
          <w:color w:val="FF0000"/>
          <w:strike w:val="1"/>
        </w:rPr>
        <w:t>or any other third Person (including holders of its Equity Interests or any class of directors, managers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supervisors, as applicable, whether interested or disinterested, of the Parent Guarantor</w:t>
      </w:r>
      <w:r>
        <w:rPr>
          <w:rFonts w:ascii="Times New Roman" w:cs="Times New Roman" w:eastAsia="Times New Roman" w:hAnsi="Times New Roman"/>
          <w:sz w:val="18"/>
          <w:szCs w:val="18"/>
          <w:color w:val="00C000"/>
          <w:strike w:val="1"/>
        </w:rPr>
        <w:t>, the Borrower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any other Person),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nor is any such consent,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approval, registration, filing or other action necessary for the validity or enforceability of any Loan Document or the consummation of the transactions contemplated thereby, except such as have been obtained or made and are in full force and effect, (b) will not violate any </w:t>
      </w:r>
      <w:r>
        <w:rPr>
          <w:rFonts w:ascii="Times New Roman" w:cs="Times New Roman" w:eastAsia="Times New Roman" w:hAnsi="Times New Roman"/>
          <w:sz w:val="18"/>
          <w:szCs w:val="18"/>
          <w:color w:val="FF0000"/>
          <w:strike w:val="1"/>
        </w:rPr>
        <w:t>applicable law or regulation or</w:t>
      </w:r>
      <w:r>
        <w:rPr>
          <w:rFonts w:ascii="Times New Roman" w:cs="Times New Roman" w:eastAsia="Times New Roman" w:hAnsi="Times New Roman"/>
          <w:sz w:val="18"/>
          <w:szCs w:val="18"/>
          <w:color w:val="000000"/>
        </w:rPr>
        <w:t xml:space="preserve"> charter, bylaws, limited liability company agreements or other organizational documents of the Parent Guarantor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the Borrower </w:t>
      </w:r>
      <w:r>
        <w:rPr>
          <w:rFonts w:ascii="Times New Roman" w:cs="Times New Roman" w:eastAsia="Times New Roman" w:hAnsi="Times New Roman"/>
          <w:sz w:val="18"/>
          <w:szCs w:val="18"/>
          <w:color w:val="FF0000"/>
          <w:strike w:val="1"/>
        </w:rPr>
        <w:t>or any Restricted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Subsidiary</w:t>
      </w:r>
      <w:r>
        <w:rPr>
          <w:rFonts w:ascii="Times New Roman" w:cs="Times New Roman" w:eastAsia="Times New Roman" w:hAnsi="Times New Roman"/>
          <w:sz w:val="18"/>
          <w:szCs w:val="18"/>
          <w:u w:val="single" w:color="auto"/>
          <w:color w:val="0000FF"/>
        </w:rPr>
        <w:t>, (c) will not violate any applicable law, regulation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any order of any Governmental Authority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will not violate or result in a default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under any indenture, agreement or other instrument binding upon the Parent Guarantor, the Borrower or any Restricted Subsidiaries </w:t>
      </w:r>
      <w:r>
        <w:rPr>
          <w:rFonts w:ascii="Times New Roman" w:cs="Times New Roman" w:eastAsia="Times New Roman" w:hAnsi="Times New Roman"/>
          <w:sz w:val="18"/>
          <w:szCs w:val="18"/>
          <w:color w:val="FF0000"/>
          <w:strike w:val="1"/>
        </w:rPr>
        <w:t>or their Properties,</w:t>
      </w:r>
      <w:r>
        <w:rPr>
          <w:rFonts w:ascii="Times New Roman" w:cs="Times New Roman" w:eastAsia="Times New Roman" w:hAnsi="Times New Roman"/>
          <w:sz w:val="18"/>
          <w:szCs w:val="18"/>
          <w:color w:val="000000"/>
        </w:rPr>
        <w:t xml:space="preserve"> or give rise to a right thereunder to require any payment to be made by the Parent Guarantor, the Borrower or any Restricted Subsidiaries and will not result in the creation or imposition of any Lien on any Property of the Parent Guarantor, the Borrower or any Restricted Subsidiaries</w:t>
      </w:r>
      <w:r>
        <w:rPr>
          <w:rFonts w:ascii="Times New Roman" w:cs="Times New Roman" w:eastAsia="Times New Roman" w:hAnsi="Times New Roman"/>
          <w:sz w:val="18"/>
          <w:szCs w:val="18"/>
          <w:u w:val="single" w:color="auto"/>
          <w:color w:val="0000FF"/>
        </w:rPr>
        <w:t>, except in the case of clauses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 (c) and (d), as would not reasonably expected to result in a Material Adverse Effect</w:t>
      </w:r>
      <w:r>
        <w:rPr>
          <w:rFonts w:ascii="Times New Roman" w:cs="Times New Roman" w:eastAsia="Times New Roman" w:hAnsi="Times New Roman"/>
          <w:sz w:val="18"/>
          <w:szCs w:val="18"/>
          <w:color w:val="000000"/>
        </w:rPr>
        <w:t>.</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4" w:name="page245"/>
    <w:bookmarkEnd w:id="244"/>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7.04</w:t>
      </w:r>
      <w:r>
        <w:rPr>
          <w:sz w:val="20"/>
          <w:szCs w:val="20"/>
          <w:color w:val="auto"/>
        </w:rPr>
        <w:tab/>
      </w:r>
      <w:r>
        <w:rPr>
          <w:rFonts w:ascii="Times New Roman" w:cs="Times New Roman" w:eastAsia="Times New Roman" w:hAnsi="Times New Roman"/>
          <w:sz w:val="17"/>
          <w:szCs w:val="17"/>
          <w:u w:val="single" w:color="auto"/>
          <w:color w:val="auto"/>
        </w:rPr>
        <w:t>Financial Condition; No Material Adverse 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891" w:val="left"/>
        </w:tabs>
        <w:numPr>
          <w:ilvl w:val="0"/>
          <w:numId w:val="1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has heretofore furnished to the Lenders its audited consolidated balance sheet and statements of income, equity and cash flows as of and for the fiscal year ended December 31, </w:t>
      </w:r>
      <w:r>
        <w:rPr>
          <w:rFonts w:ascii="Times New Roman" w:cs="Times New Roman" w:eastAsia="Times New Roman" w:hAnsi="Times New Roman"/>
          <w:sz w:val="18"/>
          <w:szCs w:val="18"/>
          <w:color w:val="FF0000"/>
          <w:strike w:val="1"/>
        </w:rPr>
        <w:t>2012</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reported on by Grant Thornton </w:t>
      </w:r>
      <w:r>
        <w:rPr>
          <w:rFonts w:ascii="Times New Roman" w:cs="Times New Roman" w:eastAsia="Times New Roman" w:hAnsi="Times New Roman"/>
          <w:sz w:val="18"/>
          <w:szCs w:val="18"/>
          <w:color w:val="FF0000"/>
          <w:strike w:val="1"/>
        </w:rPr>
        <w:t>LLC</w:t>
      </w:r>
      <w:r>
        <w:rPr>
          <w:rFonts w:ascii="Times New Roman" w:cs="Times New Roman" w:eastAsia="Times New Roman" w:hAnsi="Times New Roman"/>
          <w:sz w:val="18"/>
          <w:szCs w:val="18"/>
          <w:u w:val="single" w:color="auto"/>
          <w:color w:val="0000FF"/>
        </w:rPr>
        <w:t>LLP</w:t>
      </w:r>
      <w:r>
        <w:rPr>
          <w:rFonts w:ascii="Times New Roman" w:cs="Times New Roman" w:eastAsia="Times New Roman" w:hAnsi="Times New Roman"/>
          <w:sz w:val="18"/>
          <w:szCs w:val="18"/>
          <w:color w:val="auto"/>
        </w:rPr>
        <w:t xml:space="preserve">, independent public accountants </w:t>
      </w:r>
      <w:r>
        <w:rPr>
          <w:rFonts w:ascii="Times New Roman" w:cs="Times New Roman" w:eastAsia="Times New Roman" w:hAnsi="Times New Roman"/>
          <w:sz w:val="18"/>
          <w:szCs w:val="18"/>
          <w:color w:val="FF0000"/>
          <w:strike w:val="1"/>
        </w:rPr>
        <w:t>and its unaudited financial statements as of and for the fiscal quarter and the portion of the fiscal year ended June 30, 2013, certified by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Financial Officer</w:t>
      </w:r>
      <w:r>
        <w:rPr>
          <w:rFonts w:ascii="Times New Roman" w:cs="Times New Roman" w:eastAsia="Times New Roman" w:hAnsi="Times New Roman"/>
          <w:sz w:val="18"/>
          <w:szCs w:val="18"/>
          <w:color w:val="000000"/>
        </w:rPr>
        <w:t>. Such financial statements present fairly, in all material respects, the financial position and results of operations and cash flows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Parent Guarantor and its Subsidiaries as of such dates and for such periods in accordance with GAAP</w:t>
      </w:r>
      <w:r>
        <w:rPr>
          <w:rFonts w:ascii="Times New Roman" w:cs="Times New Roman" w:eastAsia="Times New Roman" w:hAnsi="Times New Roman"/>
          <w:sz w:val="18"/>
          <w:szCs w:val="18"/>
          <w:color w:val="FF0000"/>
          <w:strike w:val="1"/>
        </w:rPr>
        <w:t>, subject to year-end audit adjustments and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absence of footnotes in the case of the unaudited quarterly financial statements</w:t>
      </w:r>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82" w:val="left"/>
        </w:tabs>
        <w:numPr>
          <w:ilvl w:val="0"/>
          <w:numId w:val="1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Since December 31, </w:t>
      </w:r>
      <w:r>
        <w:rPr>
          <w:rFonts w:ascii="Times New Roman" w:cs="Times New Roman" w:eastAsia="Times New Roman" w:hAnsi="Times New Roman"/>
          <w:sz w:val="18"/>
          <w:szCs w:val="18"/>
          <w:color w:val="FF0000"/>
          <w:strike w:val="1"/>
        </w:rPr>
        <w:t>2020</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there has been no event, development or circumstance that has had or could reasonably be expected to have a Material Adverse Effect</w:t>
      </w:r>
      <w:r>
        <w:rPr>
          <w:rFonts w:ascii="Times New Roman" w:cs="Times New Roman" w:eastAsia="Times New Roman" w:hAnsi="Times New Roman"/>
          <w:sz w:val="18"/>
          <w:szCs w:val="18"/>
          <w:u w:val="single" w:color="auto"/>
          <w:color w:val="0000FF"/>
        </w:rPr>
        <w:t>, except as otherwise disclosed in any reports filed with or furnished to the SEC by the Parent Guarantor prior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Fourteenth Amendment Effective Date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7.05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There</w:t>
      </w:r>
      <w:r>
        <w:rPr>
          <w:rFonts w:ascii="Times New Roman" w:cs="Times New Roman" w:eastAsia="Times New Roman" w:hAnsi="Times New Roman"/>
          <w:sz w:val="18"/>
          <w:szCs w:val="18"/>
          <w:u w:val="single" w:color="auto"/>
          <w:color w:val="0000FF"/>
        </w:rPr>
        <w:t>Except as otherwise disclosed in any reports filed with or furnished to the SEC by the Parent Guarantor prior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the Fourteenth Amendment Effective Date, there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are no actions, suits, investigations or proceedings by or before any arbitrator or Governmental Authority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pending against or, to the knowledge of the Borrower, threatened against or affecting the Parent Guarantor, the Borrower or any Restricted Subsidiary not fully covered by insurance (except for normal deductibles) as to which there is a reasonable possibility of an adverse determination that, if adversely determined,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would</w:t>
      </w:r>
      <w:r>
        <w:rPr>
          <w:rFonts w:ascii="Times New Roman" w:cs="Times New Roman" w:eastAsia="Times New Roman" w:hAnsi="Times New Roman"/>
          <w:sz w:val="18"/>
          <w:szCs w:val="18"/>
          <w:color w:val="000000"/>
        </w:rPr>
        <w:t xml:space="preserve"> reasonably be expected, individually or in the aggregate, to result in a Material Adverse Effect </w:t>
      </w:r>
      <w:r>
        <w:rPr>
          <w:rFonts w:ascii="Times New Roman" w:cs="Times New Roman" w:eastAsia="Times New Roman" w:hAnsi="Times New Roman"/>
          <w:sz w:val="18"/>
          <w:szCs w:val="18"/>
          <w:color w:val="FF0000"/>
          <w:strike w:val="1"/>
        </w:rPr>
        <w:t>or that involve any Loan Document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or the Transactions</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7.06 </w:t>
      </w:r>
      <w:r>
        <w:rPr>
          <w:rFonts w:ascii="Times New Roman" w:cs="Times New Roman" w:eastAsia="Times New Roman" w:hAnsi="Times New Roman"/>
          <w:sz w:val="18"/>
          <w:szCs w:val="18"/>
          <w:u w:val="single" w:color="auto"/>
          <w:color w:val="000000"/>
        </w:rPr>
        <w:t>Environmental Matters</w:t>
      </w:r>
      <w:r>
        <w:rPr>
          <w:rFonts w:ascii="Times New Roman" w:cs="Times New Roman" w:eastAsia="Times New Roman" w:hAnsi="Times New Roman"/>
          <w:sz w:val="18"/>
          <w:szCs w:val="18"/>
          <w:color w:val="000000"/>
        </w:rPr>
        <w:t>. Except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as otherwise disclosed in any reports filed with or furnished to the SEC by the Parent Guarantor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prior to the Fourteenth Amendment Effective Date and except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such matters that, individually or in the aggregate,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would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not reasonably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expected to have a Material Adverse Effect </w:t>
      </w:r>
      <w:r>
        <w:rPr>
          <w:rFonts w:ascii="Times New Roman" w:cs="Times New Roman" w:eastAsia="Times New Roman" w:hAnsi="Times New Roman"/>
          <w:sz w:val="18"/>
          <w:szCs w:val="18"/>
          <w:color w:val="FF0000"/>
          <w:strike w:val="1"/>
        </w:rPr>
        <w:t>on the Parent Guarantor or the Borrower</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firstLine="1304"/>
        <w:spacing w:after="0" w:line="282" w:lineRule="auto"/>
        <w:tabs>
          <w:tab w:leader="none" w:pos="1855" w:val="left"/>
        </w:tabs>
        <w:numPr>
          <w:ilvl w:val="0"/>
          <w:numId w:val="1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and the Restricted Subsidiaries </w:t>
      </w:r>
      <w:r>
        <w:rPr>
          <w:rFonts w:ascii="Times New Roman" w:cs="Times New Roman" w:eastAsia="Times New Roman" w:hAnsi="Times New Roman"/>
          <w:sz w:val="18"/>
          <w:szCs w:val="18"/>
          <w:color w:val="FF0000"/>
          <w:strike w:val="1"/>
        </w:rPr>
        <w:t>and each of their respective Properties and operations thereon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are, and within all applicable statute of limitation periods have been,</w:t>
      </w:r>
      <w:r>
        <w:rPr>
          <w:rFonts w:ascii="Times New Roman" w:cs="Times New Roman" w:eastAsia="Times New Roman" w:hAnsi="Times New Roman"/>
          <w:sz w:val="18"/>
          <w:szCs w:val="18"/>
          <w:u w:val="single" w:color="auto"/>
          <w:color w:val="0000FF"/>
        </w:rPr>
        <w:t>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compliance with all applicable Environmental Laws;</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01" w:val="left"/>
        </w:tabs>
        <w:numPr>
          <w:ilvl w:val="0"/>
          <w:numId w:val="1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and the Restricted Subsidiaries have obtained all Environmental Permits required </w:t>
      </w:r>
      <w:r>
        <w:rPr>
          <w:rFonts w:ascii="Times New Roman" w:cs="Times New Roman" w:eastAsia="Times New Roman" w:hAnsi="Times New Roman"/>
          <w:sz w:val="18"/>
          <w:szCs w:val="18"/>
          <w:color w:val="FF0000"/>
          <w:strike w:val="1"/>
        </w:rPr>
        <w:t>for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respective operations and each of their Properties, with all such Environmental Permits being currently in full force and effect, and neither the Parent Guarantor, the Borrower nor any Restricted Subsidiary has received any written notice or otherwise has knowledge that any such existing Environmental Permit will be revoked or that any application for any new Environmental Permit or renewal of any existing Environmental Permit will be protested or denied</w:t>
      </w:r>
      <w:r>
        <w:rPr>
          <w:rFonts w:ascii="Times New Roman" w:cs="Times New Roman" w:eastAsia="Times New Roman" w:hAnsi="Times New Roman"/>
          <w:sz w:val="18"/>
          <w:szCs w:val="18"/>
          <w:u w:val="single" w:color="auto"/>
          <w:color w:val="0000FF"/>
          <w:strike w:val="1"/>
        </w:rPr>
        <w:t>under applicable Environmental Law</w:t>
      </w:r>
      <w:r>
        <w:rPr>
          <w:rFonts w:ascii="Times New Roman" w:cs="Times New Roman" w:eastAsia="Times New Roman" w:hAnsi="Times New Roman"/>
          <w:sz w:val="18"/>
          <w:szCs w:val="18"/>
          <w:color w:val="000000"/>
          <w:strike w:val="1"/>
        </w:rPr>
        <w:t>;</w:t>
      </w:r>
    </w:p>
    <w:p>
      <w:pPr>
        <w:spacing w:after="0" w:line="183"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851" w:val="left"/>
        </w:tabs>
        <w:numPr>
          <w:ilvl w:val="0"/>
          <w:numId w:val="1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There are no claims, demands, suits, orders, inquiries, or proceedings concerning any violation of, or any liability (including as a potentially responsible party) under, any applicable Environmental Laws that is pending or, to either the Parent Guarantor’s or the Borrower’s knowledge, threatened </w:t>
      </w:r>
      <w:r>
        <w:rPr>
          <w:rFonts w:ascii="Times New Roman" w:cs="Times New Roman" w:eastAsia="Times New Roman" w:hAnsi="Times New Roman"/>
          <w:sz w:val="18"/>
          <w:szCs w:val="18"/>
          <w:u w:val="single" w:color="auto"/>
          <w:color w:val="0000FF"/>
        </w:rPr>
        <w:t>in writing</w:t>
      </w:r>
      <w:r>
        <w:rPr>
          <w:rFonts w:ascii="Times New Roman" w:cs="Times New Roman" w:eastAsia="Times New Roman" w:hAnsi="Times New Roman"/>
          <w:sz w:val="18"/>
          <w:szCs w:val="18"/>
          <w:color w:val="auto"/>
        </w:rPr>
        <w:t xml:space="preserve"> against the Parent Guarantor, the Borrower or any Restricted Subsidiary or </w:t>
      </w:r>
      <w:r>
        <w:rPr>
          <w:rFonts w:ascii="Times New Roman" w:cs="Times New Roman" w:eastAsia="Times New Roman" w:hAnsi="Times New Roman"/>
          <w:sz w:val="18"/>
          <w:szCs w:val="18"/>
          <w:color w:val="FF0000"/>
          <w:strike w:val="1"/>
        </w:rPr>
        <w:t>any of their respective Properties or</w:t>
      </w:r>
      <w:r>
        <w:rPr>
          <w:rFonts w:ascii="Times New Roman" w:cs="Times New Roman" w:eastAsia="Times New Roman" w:hAnsi="Times New Roman"/>
          <w:sz w:val="18"/>
          <w:szCs w:val="18"/>
          <w:color w:val="auto"/>
        </w:rPr>
        <w:t xml:space="preserve"> as a result of any operations at the </w:t>
      </w:r>
      <w:r>
        <w:rPr>
          <w:rFonts w:ascii="Times New Roman" w:cs="Times New Roman" w:eastAsia="Times New Roman" w:hAnsi="Times New Roman"/>
          <w:sz w:val="18"/>
          <w:szCs w:val="18"/>
          <w:color w:val="FF0000"/>
          <w:strike w:val="1"/>
        </w:rPr>
        <w:t>Properties;</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both"/>
        <w:ind w:firstLine="1304"/>
        <w:spacing w:after="0" w:line="256" w:lineRule="auto"/>
        <w:tabs>
          <w:tab w:leader="none" w:pos="1826" w:val="left"/>
        </w:tabs>
        <w:numPr>
          <w:ilvl w:val="0"/>
          <w:numId w:val="18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There has been no Release or, to the Parent Guarantor’s or the Borrower’s knowledge, threatened Release, of Hazardous Materials at, on, under or from any</w:t>
      </w:r>
      <w:r>
        <w:rPr>
          <w:rFonts w:ascii="Times New Roman" w:cs="Times New Roman" w:eastAsia="Times New Roman" w:hAnsi="Times New Roman"/>
          <w:sz w:val="18"/>
          <w:szCs w:val="18"/>
          <w:u w:val="single" w:color="auto"/>
          <w:color w:val="0000FF"/>
          <w:strike w:val="1"/>
        </w:rPr>
        <w:t>real properties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of the Parent Guarantor</w:t>
      </w: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8"/>
          <w:szCs w:val="18"/>
          <w:color w:val="000000"/>
          <w:strike w:val="1"/>
        </w:rPr>
        <w:t>, the Borrower</w:t>
      </w:r>
      <w:r>
        <w:rPr>
          <w:rFonts w:ascii="Times New Roman" w:cs="Times New Roman" w:eastAsia="Times New Roman" w:hAnsi="Times New Roman"/>
          <w:sz w:val="18"/>
          <w:szCs w:val="18"/>
          <w:color w:val="FF0000"/>
          <w:strike w:val="1"/>
        </w:rPr>
        <w:t xml:space="preserve">’s or </w:t>
      </w:r>
      <w:r>
        <w:rPr>
          <w:rFonts w:ascii="Times New Roman" w:cs="Times New Roman" w:eastAsia="Times New Roman" w:hAnsi="Times New Roman"/>
          <w:sz w:val="18"/>
          <w:szCs w:val="18"/>
          <w:u w:val="single" w:color="auto"/>
          <w:color w:val="0000FF"/>
          <w:strike w:val="1"/>
        </w:rPr>
        <w:t>and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Restricted Subsidiaries</w:t>
      </w:r>
      <w:r>
        <w:rPr>
          <w:rFonts w:ascii="Times New Roman" w:cs="Times New Roman" w:eastAsia="Times New Roman" w:hAnsi="Times New Roman"/>
          <w:sz w:val="18"/>
          <w:szCs w:val="18"/>
          <w:color w:val="FF0000"/>
          <w:strike w:val="1"/>
        </w:rPr>
        <w:t>’ Properties, there are no investigations, remediations, abatements, removals, or monitorings of Hazardous Materials required under applicable Environmental Laws at such Properties and, to the knowledge of the Borrower, none of such Properties are adversely affected by any Release or threatened Release of a Hazardous Material originating or emanating from any other real property</w:t>
      </w:r>
      <w:r>
        <w:rPr>
          <w:rFonts w:ascii="Times New Roman" w:cs="Times New Roman" w:eastAsia="Times New Roman" w:hAnsi="Times New Roman"/>
          <w:sz w:val="18"/>
          <w:szCs w:val="18"/>
          <w:u w:val="single" w:color="auto"/>
          <w:color w:val="0000FF"/>
          <w:strike w:val="1"/>
        </w:rPr>
        <w:t>, nor do the Borrower and the Parent Guarantor know of any reasonable basis for such a claim, demand, suit, order,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inquiry or proceeding or liability;</w:t>
      </w:r>
    </w:p>
    <w:p>
      <w:pPr>
        <w:spacing w:after="0" w:line="187" w:lineRule="exact"/>
        <w:rPr>
          <w:sz w:val="20"/>
          <w:szCs w:val="20"/>
          <w:color w:val="auto"/>
        </w:rPr>
      </w:pPr>
    </w:p>
    <w:p>
      <w:pPr>
        <w:ind w:left="1820" w:hanging="516"/>
        <w:spacing w:after="0"/>
        <w:tabs>
          <w:tab w:leader="none" w:pos="1820" w:val="left"/>
        </w:tabs>
        <w:numPr>
          <w:ilvl w:val="0"/>
          <w:numId w:val="188"/>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000000"/>
        </w:rPr>
        <w:t>; and</w:t>
      </w:r>
    </w:p>
    <w:p>
      <w:pPr>
        <w:spacing w:after="0" w:line="225" w:lineRule="exact"/>
        <w:rPr>
          <w:rFonts w:ascii="Times New Roman" w:cs="Times New Roman" w:eastAsia="Times New Roman" w:hAnsi="Times New Roman"/>
          <w:sz w:val="18"/>
          <w:szCs w:val="18"/>
          <w:color w:val="0000FF"/>
        </w:rPr>
      </w:pPr>
    </w:p>
    <w:p>
      <w:pPr>
        <w:jc w:val="both"/>
        <w:ind w:firstLine="1304"/>
        <w:spacing w:after="0" w:line="258" w:lineRule="auto"/>
        <w:tabs>
          <w:tab w:leader="none" w:pos="1986" w:val="left"/>
        </w:tabs>
        <w:numPr>
          <w:ilvl w:val="0"/>
          <w:numId w:val="1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Parent Guarantor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nor</w:t>
      </w:r>
      <w:r>
        <w:rPr>
          <w:rFonts w:ascii="Times New Roman" w:cs="Times New Roman" w:eastAsia="Times New Roman" w:hAnsi="Times New Roman"/>
          <w:sz w:val="18"/>
          <w:szCs w:val="18"/>
          <w:color w:val="auto"/>
        </w:rPr>
        <w:t xml:space="preserve"> the Borrower </w:t>
      </w:r>
      <w:r>
        <w:rPr>
          <w:rFonts w:ascii="Times New Roman" w:cs="Times New Roman" w:eastAsia="Times New Roman" w:hAnsi="Times New Roman"/>
          <w:sz w:val="18"/>
          <w:szCs w:val="18"/>
          <w:color w:val="FF0000"/>
          <w:strike w:val="1"/>
        </w:rPr>
        <w:t>nor any of the Restricted Subsidiaries have</w:t>
      </w:r>
      <w:r>
        <w:rPr>
          <w:rFonts w:ascii="Times New Roman" w:cs="Times New Roman" w:eastAsia="Times New Roman" w:hAnsi="Times New Roman"/>
          <w:sz w:val="18"/>
          <w:szCs w:val="18"/>
          <w:u w:val="single" w:color="auto"/>
          <w:color w:val="0000FF"/>
        </w:rPr>
        <w:t>has</w:t>
      </w:r>
      <w:r>
        <w:rPr>
          <w:rFonts w:ascii="Times New Roman" w:cs="Times New Roman" w:eastAsia="Times New Roman" w:hAnsi="Times New Roman"/>
          <w:sz w:val="18"/>
          <w:szCs w:val="18"/>
          <w:color w:val="auto"/>
        </w:rPr>
        <w:t xml:space="preserve"> received any written notice asserting an alleged liability or obligation under any applicable Environmental Laws </w:t>
      </w:r>
      <w:r>
        <w:rPr>
          <w:rFonts w:ascii="Times New Roman" w:cs="Times New Roman" w:eastAsia="Times New Roman" w:hAnsi="Times New Roman"/>
          <w:sz w:val="18"/>
          <w:szCs w:val="18"/>
          <w:color w:val="FF0000"/>
          <w:strike w:val="1"/>
        </w:rPr>
        <w:t>with respect to the investigation, remediation, abatement, removal,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monitoring of any Hazardous Materials at, under, or Released or threatened to be Released from any real properties offsite the Parent Guarantor’s, the Borrower’s or the Restricted Subsidiaries’ Properties and, to the Parent Guarantor’s and the Borrower’s knowledge, there are no conditions or circumstances that could reasonably be expected to result in the receipt of such written notice</w:t>
      </w:r>
      <w:r>
        <w:rPr>
          <w:rFonts w:ascii="Times New Roman" w:cs="Times New Roman" w:eastAsia="Times New Roman" w:hAnsi="Times New Roman"/>
          <w:sz w:val="18"/>
          <w:szCs w:val="18"/>
          <w:color w:val="000000"/>
          <w:strike w:val="1"/>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7.07 </w:t>
      </w:r>
      <w:r>
        <w:rPr>
          <w:rFonts w:ascii="Times New Roman" w:cs="Times New Roman" w:eastAsia="Times New Roman" w:hAnsi="Times New Roman"/>
          <w:sz w:val="18"/>
          <w:szCs w:val="18"/>
          <w:u w:val="single" w:color="auto"/>
          <w:color w:val="000000"/>
        </w:rPr>
        <w:t>Compliance With Laws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FF0000"/>
          <w:strike w:val="1"/>
        </w:rPr>
        <w:t>and Agreements; No Defaults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Parent Guarantor, the Borrower and each of the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Subsidiaries are in compliance with all Governmental Requirements applicable to it </w:t>
      </w:r>
      <w:r>
        <w:rPr>
          <w:rFonts w:ascii="Times New Roman" w:cs="Times New Roman" w:eastAsia="Times New Roman" w:hAnsi="Times New Roman"/>
          <w:sz w:val="18"/>
          <w:szCs w:val="18"/>
          <w:color w:val="FF0000"/>
          <w:strike w:val="1"/>
        </w:rPr>
        <w:t>or its Property and all agreements and other instruments binding upon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it or its Property, and possesses all licenses, permits, franchises, exemptions, approvals and other governmental authorizations necessary for the ownership of its Property and the conduct of its business</w:t>
      </w:r>
      <w:r>
        <w:rPr>
          <w:rFonts w:ascii="Times New Roman" w:cs="Times New Roman" w:eastAsia="Times New Roman" w:hAnsi="Times New Roman"/>
          <w:sz w:val="18"/>
          <w:szCs w:val="18"/>
          <w:color w:val="000000"/>
          <w:strike w:val="1"/>
        </w:rPr>
        <w:t>, in each case except where the failure to do so, individually or in the aggregate,</w:t>
      </w:r>
      <w:r>
        <w:rPr>
          <w:rFonts w:ascii="Times New Roman" w:cs="Times New Roman" w:eastAsia="Times New Roman" w:hAnsi="Times New Roman"/>
          <w:sz w:val="18"/>
          <w:szCs w:val="18"/>
          <w:color w:val="FF0000"/>
          <w:strike w:val="1"/>
        </w:rPr>
        <w:t xml:space="preserve"> could</w:t>
      </w:r>
      <w:r>
        <w:rPr>
          <w:rFonts w:ascii="Times New Roman" w:cs="Times New Roman" w:eastAsia="Times New Roman" w:hAnsi="Times New Roman"/>
          <w:sz w:val="18"/>
          <w:szCs w:val="18"/>
          <w:u w:val="single" w:color="auto"/>
          <w:color w:val="0000FF"/>
          <w:strike w:val="1"/>
        </w:rPr>
        <w:t>would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not reasonably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be expected to result in a Material Adverse Effect.</w:t>
      </w:r>
    </w:p>
    <w:p>
      <w:pPr>
        <w:spacing w:after="0" w:line="183" w:lineRule="exact"/>
        <w:rPr>
          <w:sz w:val="20"/>
          <w:szCs w:val="20"/>
          <w:color w:val="auto"/>
        </w:rPr>
      </w:pPr>
    </w:p>
    <w:p>
      <w:pPr>
        <w:ind w:left="1820" w:hanging="516"/>
        <w:spacing w:after="0"/>
        <w:tabs>
          <w:tab w:leader="none" w:pos="1820" w:val="left"/>
        </w:tabs>
        <w:numPr>
          <w:ilvl w:val="0"/>
          <w:numId w:val="18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No Default has occurred and is continuing.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7.08 </w:t>
      </w:r>
      <w:r>
        <w:rPr>
          <w:rFonts w:ascii="Times New Roman" w:cs="Times New Roman" w:eastAsia="Times New Roman" w:hAnsi="Times New Roman"/>
          <w:sz w:val="18"/>
          <w:szCs w:val="18"/>
          <w:u w:val="single" w:color="auto"/>
          <w:color w:val="000000"/>
        </w:rPr>
        <w:t>Investment Company</w:t>
      </w:r>
      <w:r>
        <w:rPr>
          <w:rFonts w:ascii="Times New Roman" w:cs="Times New Roman" w:eastAsia="Times New Roman" w:hAnsi="Times New Roman"/>
          <w:sz w:val="18"/>
          <w:szCs w:val="18"/>
          <w:color w:val="000000"/>
        </w:rPr>
        <w:t>. Neither the Parent Guarantor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nor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Borrower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nor any Restricted Subsidiary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an “investment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or a company “controlled” by an “investment company,” within the meaning of, or subject to regulation under,</w:t>
      </w:r>
      <w:r>
        <w:rPr>
          <w:rFonts w:ascii="Times New Roman" w:cs="Times New Roman" w:eastAsia="Times New Roman" w:hAnsi="Times New Roman"/>
          <w:sz w:val="18"/>
          <w:szCs w:val="18"/>
          <w:u w:val="single" w:color="auto"/>
          <w:color w:val="0000FF"/>
        </w:rPr>
        <w:t>as such term is defined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Investment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Company Act of 1940, as amended.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7.09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The Parent Guarantor, the Borrower and the Restricted Subsidiaries have timely filed or caused to be filed all Tax returns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and reports required to have been filed and </w:t>
      </w:r>
      <w:r>
        <w:rPr>
          <w:rFonts w:ascii="Times New Roman" w:cs="Times New Roman" w:eastAsia="Times New Roman" w:hAnsi="Times New Roman"/>
          <w:sz w:val="18"/>
          <w:szCs w:val="18"/>
          <w:color w:val="FF0000"/>
          <w:strike w:val="1"/>
        </w:rPr>
        <w:t>has</w:t>
      </w:r>
      <w:r>
        <w:rPr>
          <w:rFonts w:ascii="Times New Roman" w:cs="Times New Roman" w:eastAsia="Times New Roman" w:hAnsi="Times New Roman"/>
          <w:sz w:val="18"/>
          <w:szCs w:val="18"/>
          <w:u w:val="single" w:color="auto"/>
          <w:color w:val="0000FF"/>
        </w:rPr>
        <w:t>have</w:t>
      </w:r>
      <w:r>
        <w:rPr>
          <w:rFonts w:ascii="Times New Roman" w:cs="Times New Roman" w:eastAsia="Times New Roman" w:hAnsi="Times New Roman"/>
          <w:sz w:val="18"/>
          <w:szCs w:val="18"/>
          <w:color w:val="000000"/>
        </w:rPr>
        <w:t xml:space="preserve"> paid or caused to be paid all Taxes required to have been paid by </w:t>
      </w:r>
      <w:r>
        <w:rPr>
          <w:rFonts w:ascii="Times New Roman" w:cs="Times New Roman" w:eastAsia="Times New Roman" w:hAnsi="Times New Roman"/>
          <w:sz w:val="18"/>
          <w:szCs w:val="18"/>
          <w:color w:val="FF0000"/>
          <w:strike w:val="1"/>
        </w:rPr>
        <w:t>it</w:t>
      </w:r>
      <w:r>
        <w:rPr>
          <w:rFonts w:ascii="Times New Roman" w:cs="Times New Roman" w:eastAsia="Times New Roman" w:hAnsi="Times New Roman"/>
          <w:sz w:val="18"/>
          <w:szCs w:val="18"/>
          <w:u w:val="single" w:color="auto"/>
          <w:color w:val="0000FF"/>
        </w:rPr>
        <w:t>them</w:t>
      </w:r>
      <w:r>
        <w:rPr>
          <w:rFonts w:ascii="Times New Roman" w:cs="Times New Roman" w:eastAsia="Times New Roman" w:hAnsi="Times New Roman"/>
          <w:sz w:val="18"/>
          <w:szCs w:val="18"/>
          <w:color w:val="000000"/>
        </w:rPr>
        <w:t xml:space="preserve">, except (a) Taxes that are being contested in good faith by appropriate proceedings and for which the Parent Guarantor, the Borrower or Restricted Subsidiary, as applicable, has set aside on its books adequate reserves in accordance with GAAP or (b) to the extent that the failure to do so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would</w:t>
      </w:r>
      <w:r>
        <w:rPr>
          <w:rFonts w:ascii="Times New Roman" w:cs="Times New Roman" w:eastAsia="Times New Roman" w:hAnsi="Times New Roman"/>
          <w:sz w:val="18"/>
          <w:szCs w:val="18"/>
          <w:color w:val="000000"/>
        </w:rPr>
        <w:t xml:space="preserve"> not reasonably be expected to result in a Material Adverse Effect. </w:t>
      </w:r>
      <w:r>
        <w:rPr>
          <w:rFonts w:ascii="Times New Roman" w:cs="Times New Roman" w:eastAsia="Times New Roman" w:hAnsi="Times New Roman"/>
          <w:sz w:val="18"/>
          <w:szCs w:val="18"/>
          <w:color w:val="FF0000"/>
          <w:strike w:val="1"/>
        </w:rPr>
        <w:t>The charges, accruals and reserves on the books of the Parent Guarantor, the Borrower and the Restricted Subsidiaries in respect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of Taxes and other governmental charges are, in the reasonable opinion of the Parent Guarantor and the Borrower, adequate. No Tax Lien has been filed and, to the knowledge of the Parent Guarantor and the Borrower, no claim is being asserted with respect to any such Tax or other such governmental charge.</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7.10 </w:t>
      </w:r>
      <w:r>
        <w:rPr>
          <w:rFonts w:ascii="Times New Roman" w:cs="Times New Roman" w:eastAsia="Times New Roman" w:hAnsi="Times New Roman"/>
          <w:sz w:val="18"/>
          <w:szCs w:val="18"/>
          <w:u w:val="single" w:color="auto"/>
          <w:color w:val="000000"/>
        </w:rPr>
        <w:t>ERISA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Except for such matters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C000"/>
        </w:rPr>
        <w:t>that, individually or in the aggregate,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would not reasonably be expected to have a Material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Adverse Effect:</w:t>
      </w:r>
    </w:p>
    <w:p>
      <w:pPr>
        <w:spacing w:after="0" w:line="162" w:lineRule="exact"/>
        <w:rPr>
          <w:sz w:val="20"/>
          <w:szCs w:val="20"/>
          <w:color w:val="auto"/>
        </w:rPr>
      </w:pPr>
    </w:p>
    <w:p>
      <w:pPr>
        <w:ind w:right="20" w:firstLine="1304"/>
        <w:spacing w:after="0" w:line="282" w:lineRule="auto"/>
        <w:tabs>
          <w:tab w:leader="none" w:pos="1851"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the Restricted Subsidiaries and each ERISA Affiliate have complied </w:t>
      </w:r>
      <w:r>
        <w:rPr>
          <w:rFonts w:ascii="Times New Roman" w:cs="Times New Roman" w:eastAsia="Times New Roman" w:hAnsi="Times New Roman"/>
          <w:sz w:val="18"/>
          <w:szCs w:val="18"/>
          <w:color w:val="FF0000"/>
          <w:strike w:val="1"/>
        </w:rPr>
        <w:t>in all material respects</w:t>
      </w:r>
      <w:r>
        <w:rPr>
          <w:rFonts w:ascii="Times New Roman" w:cs="Times New Roman" w:eastAsia="Times New Roman" w:hAnsi="Times New Roman"/>
          <w:sz w:val="18"/>
          <w:szCs w:val="18"/>
          <w:color w:val="auto"/>
        </w:rPr>
        <w:t xml:space="preserve"> with ERISA and, where applicable, the Code regarding each Plan.</w:t>
      </w:r>
    </w:p>
    <w:p>
      <w:pPr>
        <w:spacing w:after="0" w:line="161"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Plan is, and has been, established</w:t>
      </w:r>
      <w:r>
        <w:rPr>
          <w:rFonts w:ascii="Times New Roman" w:cs="Times New Roman" w:eastAsia="Times New Roman" w:hAnsi="Times New Roman"/>
          <w:sz w:val="18"/>
          <w:szCs w:val="18"/>
          <w:u w:val="single" w:color="auto"/>
          <w:color w:val="0000FF"/>
        </w:rPr>
        <w:t>, operated</w:t>
      </w:r>
      <w:r>
        <w:rPr>
          <w:rFonts w:ascii="Times New Roman" w:cs="Times New Roman" w:eastAsia="Times New Roman" w:hAnsi="Times New Roman"/>
          <w:sz w:val="18"/>
          <w:szCs w:val="18"/>
          <w:color w:val="auto"/>
        </w:rPr>
        <w:t xml:space="preserve"> and maintained in substantial compliance with its terms, ERISA and, where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applicable, the Code.</w:t>
      </w:r>
    </w:p>
    <w:p>
      <w:pPr>
        <w:spacing w:after="0" w:line="206"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99"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act, omission or transaction has occurred which could result in imposition on the Parent Guarantor, the Borrower, any Restricted Subsidiary or any ERISA Affiliate (whether directly or indirectly) of (i) either a civil penalty assessed pursuant to subsections (c), (i), (l) or (m) of section 502 of ERISA or a tax imposed pursuant to Chapter 43 of Subtitle D of the Code or (ii) breach of fiduciary duty liability damages under section 409 of ERISA.</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1820"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Full payment when due has been made of all amounts which the Parent Guarantor, the Borrower, any Restricted Subsidiary or any ERISA Affiliate is required under the terms of each Plan or applicable law to have paid as contributions to such Plan as of the date hereof.</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810"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Neither the Parent Guarantor, the Borrower, any Restricted Subsidiary nor any ERISA Affiliate sponsors, maintains, or contributes to an employee welfare benefit plan, as defined in section 3(1) of ERISA, including, without limitation, any such plan maintained to provide benefits to former employees of such entities, that may not be terminated by the Parent Guarantor, the Borrower, any Restricted Subsidiary or any ERISA Affiliate in its sole discretion at any time without any </w:t>
      </w:r>
      <w:r>
        <w:rPr>
          <w:rFonts w:ascii="Times New Roman" w:cs="Times New Roman" w:eastAsia="Times New Roman" w:hAnsi="Times New Roman"/>
          <w:sz w:val="18"/>
          <w:szCs w:val="18"/>
          <w:color w:val="FF0000"/>
          <w:strike w:val="1"/>
        </w:rPr>
        <w:t>material</w:t>
      </w:r>
      <w:r>
        <w:rPr>
          <w:rFonts w:ascii="Times New Roman" w:cs="Times New Roman" w:eastAsia="Times New Roman" w:hAnsi="Times New Roman"/>
          <w:sz w:val="18"/>
          <w:szCs w:val="18"/>
          <w:color w:val="auto"/>
        </w:rPr>
        <w:t xml:space="preserve"> liability.</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36"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Parent Guarantor, the Borrower, any Restricted Subsidiary nor any ERISA Affiliate sponsors, maintains or contributes to, or has at any time in the six-year period preceding the date hereof sponsored, maintained or contributed to, any employee pension benefit plan, as defined in section 3(2) of ERISA, that is subject to Title IV of ERISA, section 302 of ERISA or section 412 of the Code.</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010000"/>
        </w:rPr>
        <w:t>Section 7.11</w:t>
      </w:r>
      <w:r>
        <w:rPr>
          <w:sz w:val="20"/>
          <w:szCs w:val="20"/>
          <w:color w:val="auto"/>
        </w:rPr>
        <w:tab/>
      </w:r>
      <w:r>
        <w:rPr>
          <w:rFonts w:ascii="Times New Roman" w:cs="Times New Roman" w:eastAsia="Times New Roman" w:hAnsi="Times New Roman"/>
          <w:sz w:val="17"/>
          <w:szCs w:val="17"/>
          <w:u w:val="single" w:color="auto"/>
          <w:color w:val="auto"/>
        </w:rPr>
        <w:t>Disclosure; No Material Misstatement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61" w:val="left"/>
        </w:tabs>
        <w:numPr>
          <w:ilvl w:val="1"/>
          <w:numId w:val="191"/>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Parent Guarantor and the Borrower have disclosed to the Administrative Agent and the Lenders all agreements, instruments </w:t>
      </w:r>
      <w:r>
        <w:rPr>
          <w:rFonts w:ascii="Times New Roman" w:cs="Times New Roman" w:eastAsia="Times New Roman" w:hAnsi="Times New Roman"/>
          <w:sz w:val="18"/>
          <w:szCs w:val="18"/>
          <w:color w:val="FF0000"/>
          <w:strike w:val="1"/>
        </w:rPr>
        <w:t xml:space="preserve">and corporate or other restrictions to which it, or any of its Restricted Subsidiaries is subject, and all other matters known to it, </w:t>
      </w:r>
      <w:r>
        <w:rPr>
          <w:rFonts w:ascii="Times New Roman" w:cs="Times New Roman" w:eastAsia="Times New Roman" w:hAnsi="Times New Roman"/>
          <w:sz w:val="18"/>
          <w:szCs w:val="18"/>
          <w:color w:val="00C000"/>
          <w:strike w:val="1"/>
        </w:rPr>
        <w:t>that, individually or in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 xml:space="preserve">aggregate, </w:t>
      </w:r>
      <w:r>
        <w:rPr>
          <w:rFonts w:ascii="Times New Roman" w:cs="Times New Roman" w:eastAsia="Times New Roman" w:hAnsi="Times New Roman"/>
          <w:sz w:val="18"/>
          <w:szCs w:val="18"/>
          <w:color w:val="FF0000"/>
          <w:strike w:val="1"/>
        </w:rPr>
        <w:t>could reasonably be expected to result in a Material Adverse Effect. None of the other reports, financial statements, certificates or other</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 xml:space="preserve">information furnished by or on behalf of the Parent Guarantor, the Borrower or any Restricted Subsidiary to the Administrative Agent or any Lender or any of their Affiliates in connection with the negotiation of this Agreement or any other Loan Document or delivered hereunder or under any other Loan Document (as modified or supplemented by other information so furnished) contains any material misstatement of fact or omits to state any </w:t>
      </w:r>
      <w:r>
        <w:rPr>
          <w:rFonts w:ascii="Times New Roman" w:cs="Times New Roman" w:eastAsia="Times New Roman" w:hAnsi="Times New Roman"/>
          <w:sz w:val="18"/>
          <w:szCs w:val="18"/>
          <w:color w:val="00C000"/>
          <w:strike w:val="1"/>
        </w:rPr>
        <w:t>material fact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 xml:space="preserve">necessary to make the statements </w:t>
      </w:r>
      <w:r>
        <w:rPr>
          <w:rFonts w:ascii="Times New Roman" w:cs="Times New Roman" w:eastAsia="Times New Roman" w:hAnsi="Times New Roman"/>
          <w:sz w:val="18"/>
          <w:szCs w:val="18"/>
          <w:color w:val="FF0000"/>
          <w:strike w:val="1"/>
        </w:rPr>
        <w:t>therein, in the</w:t>
      </w:r>
      <w:r>
        <w:rPr>
          <w:rFonts w:ascii="Times New Roman" w:cs="Times New Roman" w:eastAsia="Times New Roman" w:hAnsi="Times New Roman"/>
          <w:sz w:val="18"/>
          <w:szCs w:val="18"/>
          <w:color w:val="00C000"/>
          <w:strike w:val="1"/>
        </w:rPr>
        <w:t xml:space="preserve"> light of the circumstances under which they were made</w:t>
      </w:r>
      <w:r>
        <w:rPr>
          <w:rFonts w:ascii="Times New Roman" w:cs="Times New Roman" w:eastAsia="Times New Roman" w:hAnsi="Times New Roman"/>
          <w:sz w:val="18"/>
          <w:szCs w:val="18"/>
          <w:color w:val="FF0000"/>
          <w:strike w:val="1"/>
        </w:rPr>
        <w:t>, not misleading;</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that, with respect to</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 xml:space="preserve">projected financial information, the Parent Guarantor, and the Borrower represent only that such information was </w:t>
      </w:r>
      <w:r>
        <w:rPr>
          <w:rFonts w:ascii="Times New Roman" w:cs="Times New Roman" w:eastAsia="Times New Roman" w:hAnsi="Times New Roman"/>
          <w:sz w:val="18"/>
          <w:szCs w:val="18"/>
          <w:color w:val="00C000"/>
          <w:strike w:val="1"/>
        </w:rPr>
        <w:t>prepared in good faith based upon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assumptions believed to be reasonable at the time</w:t>
      </w:r>
      <w:r>
        <w:rPr>
          <w:rFonts w:ascii="Times New Roman" w:cs="Times New Roman" w:eastAsia="Times New Roman" w:hAnsi="Times New Roman"/>
          <w:sz w:val="18"/>
          <w:szCs w:val="18"/>
          <w:color w:val="FF0000"/>
          <w:strike w:val="1"/>
        </w:rPr>
        <w:t>. There is no fact peculiar to the Parent Guarantor, the Borrower or any Restricted Subsidiary which could</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reasonably be expected to have a Material Adverse Effect or in the future is reasonably likely to have a Material Adverse Effect and which has not been set forth in this Agreement or the Loan Documents or the other documents, certificates and statements furnished to the Administrative Agent or the Lenders by or on behalf of the Borrower or any Restricted Subsidiary prior to, or on, the date hereof in connection with the transactions contemplated hereby.</w:t>
      </w:r>
    </w:p>
    <w:p>
      <w:pPr>
        <w:spacing w:after="0" w:line="189" w:lineRule="exact"/>
        <w:rPr>
          <w:rFonts w:ascii="Times New Roman" w:cs="Times New Roman" w:eastAsia="Times New Roman" w:hAnsi="Times New Roman"/>
          <w:sz w:val="18"/>
          <w:szCs w:val="18"/>
          <w:color w:val="FF0000"/>
        </w:rPr>
      </w:pPr>
    </w:p>
    <w:p>
      <w:pPr>
        <w:jc w:val="both"/>
        <w:ind w:firstLine="656"/>
        <w:spacing w:after="0" w:line="253" w:lineRule="auto"/>
        <w:tabs>
          <w:tab w:leader="none" w:pos="1271" w:val="left"/>
        </w:tabs>
        <w:numPr>
          <w:ilvl w:val="0"/>
          <w:numId w:val="192"/>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As of the Sixth Amendment Closing Date, the information included in the Beneficial Ownership Certification is true and correct in all </w:t>
      </w:r>
      <w:r>
        <w:rPr>
          <w:rFonts w:ascii="Times New Roman" w:cs="Times New Roman" w:eastAsia="Times New Roman" w:hAnsi="Times New Roman"/>
          <w:sz w:val="18"/>
          <w:szCs w:val="18"/>
          <w:color w:val="FF0000"/>
          <w:strike w:val="1"/>
        </w:rPr>
        <w:t xml:space="preserve">respects </w:t>
      </w:r>
      <w:r>
        <w:rPr>
          <w:rFonts w:ascii="Times New Roman" w:cs="Times New Roman" w:eastAsia="Times New Roman" w:hAnsi="Times New Roman"/>
          <w:sz w:val="18"/>
          <w:szCs w:val="18"/>
          <w:u w:val="single" w:color="auto"/>
          <w:color w:val="0000FF"/>
          <w:strike w:val="1"/>
        </w:rPr>
        <w:t>As of the Fourteenth Amendment Effective Date, (a) all financial projections concerning the Parent Guarantor, the Borrower and the Restricted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 xml:space="preserve">Subsidiaries that have been made available to the Administrative Agent or any Lender by the Parent Guarantor or any of its representatives (on the Parent Guarantor’s behalf) in connection with the Transactions or the Endeavor Acquisition Transactions (the “Projections”) have been </w:t>
      </w:r>
      <w:r>
        <w:rPr>
          <w:rFonts w:ascii="Times New Roman" w:cs="Times New Roman" w:eastAsia="Times New Roman" w:hAnsi="Times New Roman"/>
          <w:sz w:val="18"/>
          <w:szCs w:val="18"/>
          <w:u w:val="single" w:color="auto"/>
          <w:color w:val="00C000"/>
          <w:strike w:val="1"/>
        </w:rPr>
        <w:t>prepared in good faith</w:t>
      </w:r>
      <w:r>
        <w:rPr>
          <w:rFonts w:ascii="Times New Roman" w:cs="Times New Roman" w:eastAsia="Times New Roman" w:hAnsi="Times New Roman"/>
          <w:sz w:val="18"/>
          <w:szCs w:val="18"/>
          <w:u w:val="single" w:color="auto"/>
          <w:color w:val="0000FF"/>
          <w:strike w:val="1"/>
        </w:rPr>
        <w:t xml:space="preserve"> </w:t>
      </w:r>
      <w:r>
        <w:rPr>
          <w:rFonts w:ascii="Times New Roman" w:cs="Times New Roman" w:eastAsia="Times New Roman" w:hAnsi="Times New Roman"/>
          <w:sz w:val="18"/>
          <w:szCs w:val="18"/>
          <w:u w:val="single" w:color="auto"/>
          <w:color w:val="00C000"/>
          <w:strike w:val="1"/>
        </w:rPr>
        <w:t xml:space="preserve">based upon assumptions </w:t>
      </w:r>
      <w:r>
        <w:rPr>
          <w:rFonts w:ascii="Times New Roman" w:cs="Times New Roman" w:eastAsia="Times New Roman" w:hAnsi="Times New Roman"/>
          <w:sz w:val="18"/>
          <w:szCs w:val="18"/>
          <w:u w:val="single" w:color="auto"/>
          <w:color w:val="0000FF"/>
          <w:strike w:val="1"/>
        </w:rPr>
        <w:t>that the Parent Guarantor</w:t>
      </w:r>
      <w:r>
        <w:rPr>
          <w:rFonts w:ascii="Times New Roman" w:cs="Times New Roman" w:eastAsia="Times New Roman" w:hAnsi="Times New Roman"/>
          <w:sz w:val="18"/>
          <w:szCs w:val="18"/>
          <w:u w:val="single" w:color="auto"/>
          <w:color w:val="00C000"/>
          <w:strike w:val="1"/>
        </w:rPr>
        <w:t xml:space="preserve"> believed to be reasonable at the time </w:t>
      </w:r>
      <w:r>
        <w:rPr>
          <w:rFonts w:ascii="Times New Roman" w:cs="Times New Roman" w:eastAsia="Times New Roman" w:hAnsi="Times New Roman"/>
          <w:sz w:val="18"/>
          <w:szCs w:val="18"/>
          <w:u w:val="single" w:color="auto"/>
          <w:color w:val="0000FF"/>
          <w:strike w:val="1"/>
        </w:rPr>
        <w:t>made (it being understood that the Projections are subject to</w:t>
      </w:r>
      <w:r>
        <w:rPr>
          <w:rFonts w:ascii="Times New Roman" w:cs="Times New Roman" w:eastAsia="Times New Roman" w:hAnsi="Times New Roman"/>
          <w:sz w:val="18"/>
          <w:szCs w:val="18"/>
          <w:u w:val="single" w:color="auto"/>
          <w:color w:val="00C000"/>
          <w:strike w:val="1"/>
        </w:rPr>
        <w:t xml:space="preserve"> </w:t>
      </w:r>
      <w:r>
        <w:rPr>
          <w:rFonts w:ascii="Times New Roman" w:cs="Times New Roman" w:eastAsia="Times New Roman" w:hAnsi="Times New Roman"/>
          <w:sz w:val="18"/>
          <w:szCs w:val="18"/>
          <w:u w:val="single" w:color="auto"/>
          <w:color w:val="0000FF"/>
          <w:strike w:val="1"/>
        </w:rPr>
        <w:t xml:space="preserve">significant uncertainties and contingencies, many of which are beyond the Parent Guarantor’s control, the Projections, by their nature, are inherently uncertain and no assurances are being given that the results reflected in the Projections will be achieved, and that actual results during the period or periods covered by such Projections may differ from projected results and such differences may be material) and (b) all written information (other than Projections and information of a general industry nature) which has been made available to the Administrative Agent or any Lender by the Parent Guarantor or any of its representatives (on the Parent Guarantor’s behalf) in connection with Transactions or the Endeavor Acquisition Transactions, taken as a whole, is (as of the date made available) correct in all material respects and does not (as of the date made available) contain any untrue statement of a material fact or omit to state a </w:t>
      </w:r>
      <w:r>
        <w:rPr>
          <w:rFonts w:ascii="Times New Roman" w:cs="Times New Roman" w:eastAsia="Times New Roman" w:hAnsi="Times New Roman"/>
          <w:sz w:val="18"/>
          <w:szCs w:val="18"/>
          <w:u w:val="single" w:color="auto"/>
          <w:color w:val="00C000"/>
          <w:strike w:val="1"/>
        </w:rPr>
        <w:t>material fact necessary to make the statements</w:t>
      </w:r>
      <w:r>
        <w:rPr>
          <w:rFonts w:ascii="Times New Roman" w:cs="Times New Roman" w:eastAsia="Times New Roman" w:hAnsi="Times New Roman"/>
          <w:sz w:val="18"/>
          <w:szCs w:val="18"/>
          <w:u w:val="single" w:color="auto"/>
          <w:color w:val="0000FF"/>
          <w:strike w:val="1"/>
        </w:rPr>
        <w:t xml:space="preserve"> contained therein, taken as a whole, not materially misleading in </w:t>
      </w:r>
      <w:r>
        <w:rPr>
          <w:rFonts w:ascii="Times New Roman" w:cs="Times New Roman" w:eastAsia="Times New Roman" w:hAnsi="Times New Roman"/>
          <w:sz w:val="18"/>
          <w:szCs w:val="18"/>
          <w:u w:val="single" w:color="auto"/>
          <w:color w:val="00C000"/>
          <w:strike w:val="1"/>
        </w:rPr>
        <w:t>light of the circumstances under</w:t>
      </w:r>
      <w:r>
        <w:rPr>
          <w:rFonts w:ascii="Times New Roman" w:cs="Times New Roman" w:eastAsia="Times New Roman" w:hAnsi="Times New Roman"/>
          <w:sz w:val="18"/>
          <w:szCs w:val="18"/>
          <w:u w:val="single" w:color="auto"/>
          <w:color w:val="0000FF"/>
          <w:strike w:val="1"/>
        </w:rPr>
        <w:t xml:space="preserve"> </w:t>
      </w:r>
      <w:r>
        <w:rPr>
          <w:rFonts w:ascii="Times New Roman" w:cs="Times New Roman" w:eastAsia="Times New Roman" w:hAnsi="Times New Roman"/>
          <w:sz w:val="18"/>
          <w:szCs w:val="18"/>
          <w:u w:val="single" w:color="auto"/>
          <w:color w:val="00C000"/>
          <w:strike w:val="1"/>
        </w:rPr>
        <w:t>which they were made</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u w:val="single" w:color="auto"/>
          <w:color w:val="0000FF"/>
          <w:strike w:val="1"/>
        </w:rPr>
        <w:t>(after giving effect to all supplements and updates thereto from time to time)</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-3512185</wp:posOffset>
            </wp:positionV>
            <wp:extent cx="63080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3080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-1729105</wp:posOffset>
            </wp:positionV>
            <wp:extent cx="67195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1957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7.12 </w:t>
      </w:r>
      <w:r>
        <w:rPr>
          <w:rFonts w:ascii="Times New Roman" w:cs="Times New Roman" w:eastAsia="Times New Roman" w:hAnsi="Times New Roman"/>
          <w:sz w:val="18"/>
          <w:szCs w:val="18"/>
          <w:u w:val="single" w:color="auto"/>
          <w:color w:val="000000"/>
        </w:rPr>
        <w:t>Use of Loans and Letters of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proceeds of the Loans and the Letters of Credit shall be used (a) to provide working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capital for lease acquisitions, exploration, production operations and development (including the drilling and completion of producing wells)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(b) </w:t>
      </w:r>
      <w:r>
        <w:rPr>
          <w:rFonts w:ascii="Times New Roman" w:cs="Times New Roman" w:eastAsia="Times New Roman" w:hAnsi="Times New Roman"/>
          <w:sz w:val="18"/>
          <w:szCs w:val="18"/>
          <w:u w:val="single" w:color="auto"/>
          <w:color w:val="0000FF"/>
        </w:rPr>
        <w:t>finance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portion of the Endeavor Acquisition Consideratio and/or (c)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general corporate purposes of the Parent Guarantor and its Subsidiaries, including to make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payments not prohibited by </w:t>
      </w:r>
      <w:r>
        <w:rPr>
          <w:rFonts w:ascii="Times New Roman" w:cs="Times New Roman" w:eastAsia="Times New Roman" w:hAnsi="Times New Roman"/>
          <w:sz w:val="18"/>
          <w:szCs w:val="18"/>
          <w:u w:val="single" w:color="auto"/>
          <w:color w:val="000000"/>
        </w:rPr>
        <w:t>Article IX</w:t>
      </w:r>
      <w:r>
        <w:rPr>
          <w:rFonts w:ascii="Times New Roman" w:cs="Times New Roman" w:eastAsia="Times New Roman" w:hAnsi="Times New Roman"/>
          <w:sz w:val="18"/>
          <w:szCs w:val="18"/>
          <w:color w:val="000000"/>
        </w:rPr>
        <w:t xml:space="preserve">. The Borrower and the Restricted Subsidiaries are not engaged principally, or as one of its or their important activities, in the business of extending credit for the purpose, whether immediate, incidental or ultimate, of buying or carrying </w:t>
      </w:r>
      <w:r>
        <w:rPr>
          <w:rFonts w:ascii="Times New Roman" w:cs="Times New Roman" w:eastAsia="Times New Roman" w:hAnsi="Times New Roman"/>
          <w:sz w:val="18"/>
          <w:szCs w:val="18"/>
          <w:color w:val="FF0000"/>
          <w:strike w:val="1"/>
        </w:rPr>
        <w:t>margin stock</w:t>
      </w:r>
      <w:r>
        <w:rPr>
          <w:rFonts w:ascii="Times New Roman" w:cs="Times New Roman" w:eastAsia="Times New Roman" w:hAnsi="Times New Roman"/>
          <w:sz w:val="18"/>
          <w:szCs w:val="18"/>
          <w:u w:val="single" w:color="auto"/>
          <w:color w:val="0000FF"/>
        </w:rPr>
        <w:t>Margin Stock</w:t>
      </w:r>
      <w:r>
        <w:rPr>
          <w:rFonts w:ascii="Times New Roman" w:cs="Times New Roman" w:eastAsia="Times New Roman" w:hAnsi="Times New Roman"/>
          <w:sz w:val="18"/>
          <w:szCs w:val="18"/>
          <w:color w:val="000000"/>
        </w:rPr>
        <w:t xml:space="preserve"> (within the meaning of Regulation T, U or X of the Board).</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7.13 </w:t>
      </w:r>
      <w:r>
        <w:rPr>
          <w:rFonts w:ascii="Times New Roman" w:cs="Times New Roman" w:eastAsia="Times New Roman" w:hAnsi="Times New Roman"/>
          <w:sz w:val="18"/>
          <w:szCs w:val="18"/>
          <w:u w:val="single" w:color="auto"/>
          <w:color w:val="000000"/>
        </w:rPr>
        <w:t>Anti-Corruption Laws; Anti-Money Laundering Laws and Sanctions</w:t>
      </w:r>
      <w:r>
        <w:rPr>
          <w:rFonts w:ascii="Times New Roman" w:cs="Times New Roman" w:eastAsia="Times New Roman" w:hAnsi="Times New Roman"/>
          <w:sz w:val="18"/>
          <w:szCs w:val="18"/>
          <w:color w:val="000000"/>
        </w:rPr>
        <w:t>. Each of the Parent Guarantor and the Borrower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implemented and maintains in effect such policies and procedures, if any, as it reasonably deems appropriate, in light of its business and international activities (if any), that are reasonably designed to ensure compliance by the Parent Guarantor and its Subsidiaries and their respective directors, officers, employees and agents acting in their respective capacity as such with applicable Anti-Corruption Laws, Anti-Money Laundering Laws, and applicable Sanctions</w:t>
      </w:r>
      <w:r>
        <w:rPr>
          <w:rFonts w:ascii="Times New Roman" w:cs="Times New Roman" w:eastAsia="Times New Roman" w:hAnsi="Times New Roman"/>
          <w:sz w:val="18"/>
          <w:szCs w:val="18"/>
          <w:color w:val="FF0000"/>
          <w:strike w:val="1"/>
        </w:rPr>
        <w:t>, and the</w:t>
      </w:r>
      <w:r>
        <w:rPr>
          <w:rFonts w:ascii="Times New Roman" w:cs="Times New Roman" w:eastAsia="Times New Roman" w:hAnsi="Times New Roman"/>
          <w:sz w:val="18"/>
          <w:szCs w:val="18"/>
          <w:u w:val="single" w:color="auto"/>
          <w:color w:val="0000FF"/>
        </w:rPr>
        <w:t>. The</w:t>
      </w:r>
      <w:r>
        <w:rPr>
          <w:rFonts w:ascii="Times New Roman" w:cs="Times New Roman" w:eastAsia="Times New Roman" w:hAnsi="Times New Roman"/>
          <w:sz w:val="18"/>
          <w:szCs w:val="18"/>
          <w:color w:val="000000"/>
        </w:rPr>
        <w:t xml:space="preserve"> Parent Guarantor and its Subsidiaries and, to the knowledge of the Parent Guarantor and the Borrower, their respective directors, officers, employees and agents, are in compliance with applicable Anti-Corruption Laws, Anti-Money Laundering Laws, and applicable Sanctions in all material respects. None of (a) the Parent Guarantor and its Subsidiaries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or any of their respective directors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officers or </w:t>
      </w:r>
      <w:r>
        <w:rPr>
          <w:rFonts w:ascii="Times New Roman" w:cs="Times New Roman" w:eastAsia="Times New Roman" w:hAnsi="Times New Roman"/>
          <w:sz w:val="18"/>
          <w:szCs w:val="18"/>
          <w:color w:val="FF0000"/>
          <w:strike w:val="1"/>
        </w:rPr>
        <w:t>employees, or</w:t>
      </w:r>
      <w:r>
        <w:rPr>
          <w:rFonts w:ascii="Times New Roman" w:cs="Times New Roman" w:eastAsia="Times New Roman" w:hAnsi="Times New Roman"/>
          <w:sz w:val="18"/>
          <w:szCs w:val="18"/>
          <w:color w:val="000000"/>
        </w:rPr>
        <w:t xml:space="preserve"> (b) to the knowledge of the Parent Guarantor and the Borrower, any </w:t>
      </w:r>
      <w:r>
        <w:rPr>
          <w:rFonts w:ascii="Times New Roman" w:cs="Times New Roman" w:eastAsia="Times New Roman" w:hAnsi="Times New Roman"/>
          <w:sz w:val="18"/>
          <w:szCs w:val="18"/>
          <w:u w:val="single" w:color="auto"/>
          <w:color w:val="0000FF"/>
        </w:rPr>
        <w:t>employee or</w:t>
      </w:r>
      <w:r>
        <w:rPr>
          <w:rFonts w:ascii="Times New Roman" w:cs="Times New Roman" w:eastAsia="Times New Roman" w:hAnsi="Times New Roman"/>
          <w:sz w:val="18"/>
          <w:szCs w:val="18"/>
          <w:color w:val="000000"/>
        </w:rPr>
        <w:t xml:space="preserve"> agent of the Parent Guarantor or any Subsidiary that will act in such capacity in connection with or benefit from the Facility, is a Sanctioned Person. No </w:t>
      </w:r>
      <w:r>
        <w:rPr>
          <w:rFonts w:ascii="Times New Roman" w:cs="Times New Roman" w:eastAsia="Times New Roman" w:hAnsi="Times New Roman"/>
          <w:sz w:val="18"/>
          <w:szCs w:val="18"/>
          <w:u w:val="single" w:color="auto"/>
          <w:color w:val="0000FF"/>
        </w:rPr>
        <w:t>use of proceeds of any</w:t>
      </w:r>
      <w:r>
        <w:rPr>
          <w:rFonts w:ascii="Times New Roman" w:cs="Times New Roman" w:eastAsia="Times New Roman" w:hAnsi="Times New Roman"/>
          <w:sz w:val="18"/>
          <w:szCs w:val="18"/>
          <w:color w:val="000000"/>
        </w:rPr>
        <w:t xml:space="preserve"> Borrowing or </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000000"/>
        </w:rPr>
        <w:t xml:space="preserve"> Letter of Credit</w:t>
      </w:r>
      <w:r>
        <w:rPr>
          <w:rFonts w:ascii="Times New Roman" w:cs="Times New Roman" w:eastAsia="Times New Roman" w:hAnsi="Times New Roman"/>
          <w:sz w:val="18"/>
          <w:szCs w:val="18"/>
          <w:color w:val="FF0000"/>
          <w:strike w:val="1"/>
        </w:rPr>
        <w:t>, use of proceeds or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transaction contemplated by this Agreement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will violate any applicable Anti-Corruption Law, Anti-Money Laundering Laws, or applicable Sanctions.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information and documentation provided is true, correct, and complete in order to identify the Parent Guarantor, the Borrower, and each Restricted Subsidiary for purposes of </w:t>
      </w:r>
      <w:r>
        <w:rPr>
          <w:rFonts w:ascii="Times New Roman" w:cs="Times New Roman" w:eastAsia="Times New Roman" w:hAnsi="Times New Roman"/>
          <w:sz w:val="18"/>
          <w:szCs w:val="18"/>
          <w:u w:val="single" w:color="auto"/>
          <w:color w:val="FF0000"/>
          <w:strike w:val="1"/>
        </w:rPr>
        <w:t>Section 12.16</w:t>
      </w:r>
      <w:r>
        <w:rPr>
          <w:rFonts w:ascii="Times New Roman" w:cs="Times New Roman" w:eastAsia="Times New Roman" w:hAnsi="Times New Roman"/>
          <w:sz w:val="18"/>
          <w:szCs w:val="18"/>
          <w:color w:val="FF0000"/>
          <w:strike w:val="1"/>
        </w:rPr>
        <w:t>.</w:t>
      </w:r>
    </w:p>
    <w:p>
      <w:pPr>
        <w:spacing w:after="0" w:line="190" w:lineRule="exact"/>
        <w:rPr>
          <w:sz w:val="20"/>
          <w:szCs w:val="20"/>
          <w:color w:val="auto"/>
        </w:rPr>
      </w:pPr>
    </w:p>
    <w:p>
      <w:pPr>
        <w:jc w:val="center"/>
        <w:ind w:right="-139"/>
        <w:spacing w:after="0"/>
        <w:tabs>
          <w:tab w:leader="none" w:pos="240" w:val="left"/>
        </w:tabs>
        <w:rPr>
          <w:sz w:val="20"/>
          <w:szCs w:val="20"/>
          <w:color w:val="auto"/>
        </w:rPr>
      </w:pPr>
      <w:r>
        <w:rPr>
          <w:rFonts w:ascii="Times New Roman" w:cs="Times New Roman" w:eastAsia="Times New Roman" w:hAnsi="Times New Roman"/>
          <w:sz w:val="18"/>
          <w:szCs w:val="18"/>
          <w:color w:val="FF0000"/>
          <w:strike w:val="1"/>
        </w:rPr>
        <w:t>Section 7.14</w:t>
      </w:r>
      <w:r>
        <w:rPr>
          <w:sz w:val="20"/>
          <w:szCs w:val="20"/>
          <w:color w:val="auto"/>
        </w:rPr>
        <w:tab/>
      </w:r>
      <w:r>
        <w:rPr>
          <w:rFonts w:ascii="Times New Roman" w:cs="Times New Roman" w:eastAsia="Times New Roman" w:hAnsi="Times New Roman"/>
          <w:sz w:val="18"/>
          <w:szCs w:val="18"/>
          <w:u w:val="single" w:color="auto"/>
          <w:color w:val="FF0000"/>
          <w:strike w:val="1"/>
        </w:rPr>
        <w:t>Affected Financial Institutions</w:t>
      </w:r>
      <w:r>
        <w:rPr>
          <w:rFonts w:ascii="Times New Roman" w:cs="Times New Roman" w:eastAsia="Times New Roman" w:hAnsi="Times New Roman"/>
          <w:sz w:val="18"/>
          <w:szCs w:val="18"/>
          <w:color w:val="FF0000"/>
          <w:strike w:val="1"/>
        </w:rPr>
        <w:t>. Neither the Parent Guarantor nor any of its Subsidiaries is an Affected Financial Institution.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Until the Commitments have expired or been terminated and the principal of and interest on each Loan and all fees payable hereunder and all other amounts payable under the Loan Documents </w:t>
      </w:r>
      <w:r>
        <w:rPr>
          <w:rFonts w:ascii="Times New Roman" w:cs="Times New Roman" w:eastAsia="Times New Roman" w:hAnsi="Times New Roman"/>
          <w:sz w:val="18"/>
          <w:szCs w:val="18"/>
          <w:u w:val="single" w:color="auto"/>
          <w:color w:val="0000FF"/>
        </w:rPr>
        <w:t>(other than expense reimbursement, indemnification, increased cost or tax gross up amounts for which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claim has been made)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have been paid in full and all Letters of Credit shall have expired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terminated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all LC Disbursements shall have been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reimbursed</w:t>
      </w:r>
      <w:r>
        <w:rPr>
          <w:rFonts w:ascii="Times New Roman" w:cs="Times New Roman" w:eastAsia="Times New Roman" w:hAnsi="Times New Roman"/>
          <w:sz w:val="18"/>
          <w:szCs w:val="18"/>
          <w:u w:val="single" w:color="auto"/>
          <w:color w:val="0000FF"/>
        </w:rPr>
        <w:t>or been cash-collateralized or otherwise backstopped in a manner satisfactory to the relevant Issuing Bank</w:t>
      </w:r>
      <w:r>
        <w:rPr>
          <w:rFonts w:ascii="Times New Roman" w:cs="Times New Roman" w:eastAsia="Times New Roman" w:hAnsi="Times New Roman"/>
          <w:sz w:val="18"/>
          <w:szCs w:val="18"/>
          <w:color w:val="000000"/>
        </w:rPr>
        <w:t>, each of the Parent Guarantor and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Borrower covenants and agrees with the Lenders that: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8.01 </w:t>
      </w:r>
      <w:r>
        <w:rPr>
          <w:rFonts w:ascii="Times New Roman" w:cs="Times New Roman" w:eastAsia="Times New Roman" w:hAnsi="Times New Roman"/>
          <w:sz w:val="18"/>
          <w:szCs w:val="18"/>
          <w:u w:val="single" w:color="auto"/>
          <w:color w:val="000000"/>
        </w:rPr>
        <w:t>Financial Statements; Other Information</w:t>
      </w:r>
      <w:r>
        <w:rPr>
          <w:rFonts w:ascii="Times New Roman" w:cs="Times New Roman" w:eastAsia="Times New Roman" w:hAnsi="Times New Roman"/>
          <w:sz w:val="18"/>
          <w:szCs w:val="18"/>
          <w:color w:val="000000"/>
        </w:rPr>
        <w:t>. The Parent Guarantor will furnish to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(who shall furnish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Lender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304"/>
        <w:spacing w:after="0" w:line="253" w:lineRule="auto"/>
        <w:tabs>
          <w:tab w:leader="none" w:pos="1851" w:val="left"/>
        </w:tabs>
        <w:numPr>
          <w:ilvl w:val="0"/>
          <w:numId w:val="1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As soon as available, but in any event </w:t>
      </w:r>
      <w:r>
        <w:rPr>
          <w:rFonts w:ascii="Times New Roman" w:cs="Times New Roman" w:eastAsia="Times New Roman" w:hAnsi="Times New Roman"/>
          <w:sz w:val="18"/>
          <w:szCs w:val="18"/>
          <w:color w:val="FF0000"/>
          <w:strike w:val="1"/>
        </w:rPr>
        <w:t>in accordance with then applicable law and not later than 90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days after the end of each fiscal year</w:t>
      </w:r>
      <w:r>
        <w:rPr>
          <w:rFonts w:ascii="Times New Roman" w:cs="Times New Roman" w:eastAsia="Times New Roman" w:hAnsi="Times New Roman"/>
          <w:sz w:val="18"/>
          <w:szCs w:val="18"/>
          <w:u w:val="single" w:color="auto"/>
          <w:color w:val="0000FF"/>
        </w:rPr>
        <w:t>within five Business Days after the date by which the Annual Report on Form 10-K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Parent Guarantor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for 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fiscal year is required to be filed under the rules and regulations of the SEC (after giving effect to any extension thereof (not to exceed 20 Business Days))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its audited consolidated balance sheet and related statements of operations, equity and cash flows as of the end of and for such year, setting forth in each case in comparative form the figures for the previous fiscal year (if financial statements of the Parent Guarantor exist for such previous fiscal year), all reported on by independent public accountants of recognized national standing </w:t>
      </w:r>
      <w:r>
        <w:rPr>
          <w:rFonts w:ascii="Times New Roman" w:cs="Times New Roman" w:eastAsia="Times New Roman" w:hAnsi="Times New Roman"/>
          <w:sz w:val="18"/>
          <w:szCs w:val="18"/>
          <w:color w:val="FF0000"/>
          <w:strike w:val="1"/>
        </w:rPr>
        <w:t>(without a “going concern” or like qualification or exception and without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any qualification or exception as to the scope of such audit)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the effect that such consolidated financial statements present fairly in all material respects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financial condition and results of operations of the Parent Guarantor and its Consolidated Subsidiaries on a consolidated basis in accordance with GAAP consistently applied (it being understood that the filing with the SEC by the Parent Guarantor of such annual financial statements of the Parent Guarantor and its Subsidiaries shall satisfy the requirements of this </w:t>
      </w:r>
      <w:r>
        <w:rPr>
          <w:rFonts w:ascii="Times New Roman" w:cs="Times New Roman" w:eastAsia="Times New Roman" w:hAnsi="Times New Roman"/>
          <w:sz w:val="18"/>
          <w:szCs w:val="18"/>
          <w:u w:val="single" w:color="auto"/>
          <w:color w:val="000000"/>
        </w:rPr>
        <w:t>Section 8.01(a)</w:t>
      </w:r>
      <w:r>
        <w:rPr>
          <w:rFonts w:ascii="Times New Roman" w:cs="Times New Roman" w:eastAsia="Times New Roman" w:hAnsi="Times New Roman"/>
          <w:sz w:val="18"/>
          <w:szCs w:val="18"/>
          <w:color w:val="000000"/>
        </w:rPr>
        <w:t xml:space="preserve"> to the extent such annual financial statements include the information specified herein).</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jc w:val="both"/>
        <w:ind w:firstLine="1304"/>
        <w:spacing w:after="0" w:line="253" w:lineRule="auto"/>
        <w:tabs>
          <w:tab w:leader="none" w:pos="2014" w:val="left"/>
        </w:tabs>
        <w:numPr>
          <w:ilvl w:val="0"/>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but in any event </w:t>
      </w:r>
      <w:r>
        <w:rPr>
          <w:rFonts w:ascii="Times New Roman" w:cs="Times New Roman" w:eastAsia="Times New Roman" w:hAnsi="Times New Roman"/>
          <w:sz w:val="18"/>
          <w:szCs w:val="18"/>
          <w:color w:val="FF0000"/>
          <w:strike w:val="1"/>
        </w:rPr>
        <w:t>in accordance with then applicable law and not later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45 days after the end of</w:t>
      </w:r>
      <w:r>
        <w:rPr>
          <w:rFonts w:ascii="Times New Roman" w:cs="Times New Roman" w:eastAsia="Times New Roman" w:hAnsi="Times New Roman"/>
          <w:sz w:val="18"/>
          <w:szCs w:val="18"/>
          <w:u w:val="single" w:color="auto"/>
          <w:color w:val="0000FF"/>
        </w:rPr>
        <w:t>within five Business Days after the date by which the Quarterly Report on Form 10-Q of the Parent Guarantor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each of the first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three fiscal quarters of each fiscal year </w:t>
      </w:r>
      <w:r>
        <w:rPr>
          <w:rFonts w:ascii="Times New Roman" w:cs="Times New Roman" w:eastAsia="Times New Roman" w:hAnsi="Times New Roman"/>
          <w:sz w:val="18"/>
          <w:szCs w:val="18"/>
          <w:color w:val="FF0000"/>
          <w:strike w:val="1"/>
        </w:rPr>
        <w:t>of the Parent Guarantor</w:t>
      </w:r>
      <w:r>
        <w:rPr>
          <w:rFonts w:ascii="Times New Roman" w:cs="Times New Roman" w:eastAsia="Times New Roman" w:hAnsi="Times New Roman"/>
          <w:sz w:val="18"/>
          <w:szCs w:val="18"/>
          <w:u w:val="single" w:color="auto"/>
          <w:color w:val="0000FF"/>
        </w:rPr>
        <w:t>is required to be filed under the rules and regulations of the SEC (after giving effect to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extension thereof (not to exceed 10 Business Days))</w:t>
      </w:r>
      <w:r>
        <w:rPr>
          <w:rFonts w:ascii="Times New Roman" w:cs="Times New Roman" w:eastAsia="Times New Roman" w:hAnsi="Times New Roman"/>
          <w:sz w:val="18"/>
          <w:szCs w:val="18"/>
          <w:color w:val="000000"/>
        </w:rPr>
        <w:t>, its consolidated balance sheet and related statements of operations, equity and cash flows as of the end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of and for such fiscal quarter and the then elapsed portion of the fiscal year, setting forth in each case in comparative form the figures for the corresponding period or periods of (or, in the case of the balance sheet, as of the end of) the previous fiscal year (if financial statements of the Parent Guarantor exist for such previous fiscal year), all certified by one of its Financial Officers as presenting fairly in all material respects the financial condition and results of operations of the Parent Guarantor and its Consolidated Subsidiaries in accordance with GAAP consistently applied, subject to normal year-end adjustments and the absence of footnotes (it being understood that the filing with the SEC by the Parent Guarantor of such quarterly financial statements of the Parent Guarantor and its Subsidiaries shall satisfy the requirements of this </w:t>
      </w:r>
      <w:r>
        <w:rPr>
          <w:rFonts w:ascii="Times New Roman" w:cs="Times New Roman" w:eastAsia="Times New Roman" w:hAnsi="Times New Roman"/>
          <w:sz w:val="18"/>
          <w:szCs w:val="18"/>
          <w:u w:val="single" w:color="auto"/>
          <w:color w:val="000000"/>
        </w:rPr>
        <w:t>Section 8.01(b)</w:t>
      </w:r>
      <w:r>
        <w:rPr>
          <w:rFonts w:ascii="Times New Roman" w:cs="Times New Roman" w:eastAsia="Times New Roman" w:hAnsi="Times New Roman"/>
          <w:sz w:val="18"/>
          <w:szCs w:val="18"/>
          <w:color w:val="000000"/>
        </w:rPr>
        <w:t xml:space="preserve"> to the extent such quarterly financial statements include the information specified herein).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C000"/>
        </w:rPr>
        <w:t xml:space="preserve">Notwithstanding the foregoing, the obligations </w:t>
      </w:r>
      <w:r>
        <w:rPr>
          <w:rFonts w:ascii="Times New Roman" w:cs="Times New Roman" w:eastAsia="Times New Roman" w:hAnsi="Times New Roman"/>
          <w:sz w:val="18"/>
          <w:szCs w:val="18"/>
          <w:u w:val="single" w:color="auto"/>
          <w:color w:val="0000FF"/>
        </w:rPr>
        <w:t>in clauses (a) and (b) of this Section 8.01 may be satisfied with respect to the consolidated financial</w:t>
      </w:r>
      <w:r>
        <w:rPr>
          <w:rFonts w:ascii="Times New Roman" w:cs="Times New Roman" w:eastAsia="Times New Roman" w:hAnsi="Times New Roman"/>
          <w:sz w:val="18"/>
          <w:szCs w:val="18"/>
          <w:u w:val="single" w:color="auto"/>
          <w:color w:val="00C000"/>
        </w:rPr>
        <w:t xml:space="preserve"> </w:t>
      </w:r>
      <w:r>
        <w:rPr>
          <w:rFonts w:ascii="Times New Roman" w:cs="Times New Roman" w:eastAsia="Times New Roman" w:hAnsi="Times New Roman"/>
          <w:sz w:val="18"/>
          <w:szCs w:val="18"/>
          <w:u w:val="single" w:color="auto"/>
          <w:color w:val="0000FF"/>
        </w:rPr>
        <w:t>information of the Parent Guarantor by furnishing the consolidated financial information of New Parent that would be required by clauses (a) and (b) of this Section 8.01 with all references to the “Parent Guarantor” therein being deemed to refer to New Parent and all references to “Financial Officer” therein being deemed to refer to a comparable officer of New Parent.</w:t>
      </w:r>
    </w:p>
    <w:p>
      <w:pPr>
        <w:spacing w:after="0" w:line="180" w:lineRule="exact"/>
        <w:rPr>
          <w:sz w:val="20"/>
          <w:szCs w:val="20"/>
          <w:color w:val="auto"/>
        </w:rPr>
      </w:pPr>
    </w:p>
    <w:p>
      <w:pPr>
        <w:jc w:val="both"/>
        <w:ind w:firstLine="1304"/>
        <w:spacing w:after="0" w:line="256" w:lineRule="auto"/>
        <w:tabs>
          <w:tab w:leader="none" w:pos="2058" w:val="left"/>
        </w:tabs>
        <w:numPr>
          <w:ilvl w:val="0"/>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Certificate of Financial Officer –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Concurrently</w:t>
      </w:r>
      <w:r>
        <w:rPr>
          <w:rFonts w:ascii="Times New Roman" w:cs="Times New Roman" w:eastAsia="Times New Roman" w:hAnsi="Times New Roman"/>
          <w:sz w:val="18"/>
          <w:szCs w:val="18"/>
          <w:u w:val="single" w:color="auto"/>
          <w:color w:val="0000FF"/>
        </w:rPr>
        <w:t>Substantially concurrently</w:t>
      </w:r>
      <w:r>
        <w:rPr>
          <w:rFonts w:ascii="Times New Roman" w:cs="Times New Roman" w:eastAsia="Times New Roman" w:hAnsi="Times New Roman"/>
          <w:sz w:val="18"/>
          <w:szCs w:val="18"/>
          <w:color w:val="auto"/>
        </w:rPr>
        <w:t xml:space="preserve"> with any delivery </w:t>
      </w:r>
      <w:r>
        <w:rPr>
          <w:rFonts w:ascii="Times New Roman" w:cs="Times New Roman" w:eastAsia="Times New Roman" w:hAnsi="Times New Roman"/>
          <w:sz w:val="18"/>
          <w:szCs w:val="18"/>
          <w:u w:val="single" w:color="auto"/>
          <w:color w:val="0000FF"/>
        </w:rPr>
        <w:t>(or deemed delivery)</w:t>
      </w:r>
      <w:r>
        <w:rPr>
          <w:rFonts w:ascii="Times New Roman" w:cs="Times New Roman" w:eastAsia="Times New Roman" w:hAnsi="Times New Roman"/>
          <w:sz w:val="18"/>
          <w:szCs w:val="18"/>
          <w:color w:val="auto"/>
        </w:rPr>
        <w:t xml:space="preserve"> of financial statements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 certificate of a Financial Officer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(iii) stating whether any change in GAAP or in the application thereof has occurred since the date of the audited financial statements referred to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w:t>
      </w:r>
    </w:p>
    <w:p>
      <w:pPr>
        <w:spacing w:after="0" w:line="187" w:lineRule="exact"/>
        <w:rPr>
          <w:rFonts w:ascii="Times New Roman" w:cs="Times New Roman" w:eastAsia="Times New Roman" w:hAnsi="Times New Roman"/>
          <w:sz w:val="18"/>
          <w:szCs w:val="18"/>
          <w:color w:val="010000"/>
        </w:rPr>
      </w:pPr>
    </w:p>
    <w:p>
      <w:pPr>
        <w:ind w:left="2200" w:hanging="896"/>
        <w:spacing w:after="0"/>
        <w:tabs>
          <w:tab w:leader="none" w:pos="2200" w:val="left"/>
        </w:tabs>
        <w:numPr>
          <w:ilvl w:val="0"/>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FF0000"/>
          <w:strike w:val="1"/>
        </w:rPr>
        <w:t>Insurance Coverage</w:t>
      </w:r>
      <w:r>
        <w:rPr>
          <w:rFonts w:ascii="Times New Roman" w:cs="Times New Roman" w:eastAsia="Times New Roman" w:hAnsi="Times New Roman"/>
          <w:sz w:val="18"/>
          <w:szCs w:val="18"/>
          <w:color w:val="FF0000"/>
          <w:strike w:val="1"/>
        </w:rPr>
        <w:t>. If requested by the Administrative Agent or any Lender, copies of the insurance policies required by</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FF0000"/>
          <w:strike w:val="1"/>
        </w:rPr>
        <w:t>Section 8.06</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strike w:val="1"/>
        </w:rPr>
        <w:t>[Reserved].</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jc w:val="both"/>
        <w:ind w:firstLine="1304"/>
        <w:spacing w:after="0" w:line="258" w:lineRule="auto"/>
        <w:tabs>
          <w:tab w:leader="none" w:pos="2031" w:val="left"/>
        </w:tabs>
        <w:numPr>
          <w:ilvl w:val="0"/>
          <w:numId w:val="1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 and Other Filings; Reports to Shareholders</w:t>
      </w:r>
      <w:r>
        <w:rPr>
          <w:rFonts w:ascii="Times New Roman" w:cs="Times New Roman" w:eastAsia="Times New Roman" w:hAnsi="Times New Roman"/>
          <w:sz w:val="18"/>
          <w:szCs w:val="18"/>
          <w:color w:val="auto"/>
        </w:rPr>
        <w:t xml:space="preserve">. Promptly after the same become publicly available, copies of all periodic and other reports, proxy statements and other materials filed by the Parent Guarantor with the SEC, or with any national securities exchange, or distributed by the Parent Guarantor to its shareholders generally, as the case may be (it being understood that public availability of such reports, proxy statements and other materials filed by the Parent Guarantor, the Borrower or a Restricted Subsidiary shall satisfy the requirements of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to the extent such reports, proxy statements and other materials include the information specified herein).</w:t>
      </w:r>
    </w:p>
    <w:p>
      <w:pPr>
        <w:spacing w:after="0" w:line="183" w:lineRule="exact"/>
        <w:rPr>
          <w:rFonts w:ascii="Times New Roman" w:cs="Times New Roman" w:eastAsia="Times New Roman" w:hAnsi="Times New Roman"/>
          <w:sz w:val="18"/>
          <w:szCs w:val="18"/>
          <w:color w:val="010000"/>
        </w:rPr>
      </w:pPr>
    </w:p>
    <w:p>
      <w:pPr>
        <w:ind w:right="20" w:firstLine="1304"/>
        <w:spacing w:after="0" w:line="282" w:lineRule="auto"/>
        <w:tabs>
          <w:tab w:leader="none" w:pos="2070" w:val="left"/>
        </w:tabs>
        <w:numPr>
          <w:ilvl w:val="0"/>
          <w:numId w:val="1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FF0000"/>
          <w:strike w:val="1"/>
        </w:rPr>
        <w:t>Changes in Index Debt Ratings</w:t>
      </w:r>
      <w:r>
        <w:rPr>
          <w:rFonts w:ascii="Times New Roman" w:cs="Times New Roman" w:eastAsia="Times New Roman" w:hAnsi="Times New Roman"/>
          <w:sz w:val="18"/>
          <w:szCs w:val="18"/>
          <w:color w:val="FF0000"/>
          <w:strike w:val="1"/>
        </w:rPr>
        <w:t>. Promptly after any Rating Agency shall have announced a change in the rating established or</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deemed to have been established for the Index Debt, written notice of such rating change.</w:t>
      </w:r>
      <w:r>
        <w:rPr>
          <w:rFonts w:ascii="Times New Roman" w:cs="Times New Roman" w:eastAsia="Times New Roman" w:hAnsi="Times New Roman"/>
          <w:sz w:val="18"/>
          <w:szCs w:val="18"/>
          <w:u w:val="single" w:color="auto"/>
          <w:color w:val="0000FF"/>
          <w:strike w:val="1"/>
        </w:rPr>
        <w:t>[Reserved].</w:t>
      </w:r>
    </w:p>
    <w:p>
      <w:pPr>
        <w:spacing w:after="0" w:line="16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2149" w:val="left"/>
        </w:tabs>
        <w:numPr>
          <w:ilvl w:val="0"/>
          <w:numId w:val="1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Requested Information</w:t>
      </w:r>
      <w:r>
        <w:rPr>
          <w:rFonts w:ascii="Times New Roman" w:cs="Times New Roman" w:eastAsia="Times New Roman" w:hAnsi="Times New Roman"/>
          <w:sz w:val="18"/>
          <w:szCs w:val="18"/>
          <w:color w:val="auto"/>
        </w:rPr>
        <w:t xml:space="preserve">. Promptly following any request therefor, (i) such other information regarding the operations, business affairs and financial condition of the Parent Guarantor, the Borrower or any Restricted Subsidiary </w:t>
      </w:r>
      <w:r>
        <w:rPr>
          <w:rFonts w:ascii="Times New Roman" w:cs="Times New Roman" w:eastAsia="Times New Roman" w:hAnsi="Times New Roman"/>
          <w:sz w:val="18"/>
          <w:szCs w:val="18"/>
          <w:color w:val="FF0000"/>
          <w:strike w:val="1"/>
        </w:rPr>
        <w:t>(including any Plan and any reports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information required to be filed with respect thereto under the Code or under ERISA)</w:t>
      </w:r>
      <w:r>
        <w:rPr>
          <w:rFonts w:ascii="Times New Roman" w:cs="Times New Roman" w:eastAsia="Times New Roman" w:hAnsi="Times New Roman"/>
          <w:sz w:val="18"/>
          <w:szCs w:val="18"/>
          <w:color w:val="000000"/>
        </w:rPr>
        <w:t>, or compliance with the terms of this Agreement or any other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Document, as the Administrative Agent or any Lender may reasonably request or (ii) information and documentation reasonably requested by the Administrative Agent or any Lender for purposes of compliance with applicable “know your customer” requirements under the USA PATRIOT Act or other applicable Anti-Money Laundering Laws and the Beneficial Ownership Regulation to the extent that the Borrower qualifies as a “legal entity customer” thereunder.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each case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it being understood that the filing </w:t>
      </w:r>
      <w:r>
        <w:rPr>
          <w:rFonts w:ascii="Times New Roman" w:cs="Times New Roman" w:eastAsia="Times New Roman" w:hAnsi="Times New Roman"/>
          <w:sz w:val="18"/>
          <w:szCs w:val="18"/>
          <w:u w:val="single" w:color="auto"/>
          <w:color w:val="0000FF"/>
        </w:rPr>
        <w:t>or furnishing</w:t>
      </w:r>
      <w:r>
        <w:rPr>
          <w:rFonts w:ascii="Times New Roman" w:cs="Times New Roman" w:eastAsia="Times New Roman" w:hAnsi="Times New Roman"/>
          <w:sz w:val="18"/>
          <w:szCs w:val="18"/>
          <w:color w:val="auto"/>
        </w:rPr>
        <w:t xml:space="preserve"> with the SEC by the Parent Guarantor of a current report on Form 8-K or other applicable report shall satisfy the requirements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to the extent such filing includes the information specified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8.02 </w:t>
      </w:r>
      <w:r>
        <w:rPr>
          <w:rFonts w:ascii="Times New Roman" w:cs="Times New Roman" w:eastAsia="Times New Roman" w:hAnsi="Times New Roman"/>
          <w:sz w:val="18"/>
          <w:szCs w:val="18"/>
          <w:u w:val="single" w:color="auto"/>
          <w:color w:val="000000"/>
        </w:rPr>
        <w:t>Notices of Material Events</w:t>
      </w:r>
      <w:r>
        <w:rPr>
          <w:rFonts w:ascii="Times New Roman" w:cs="Times New Roman" w:eastAsia="Times New Roman" w:hAnsi="Times New Roman"/>
          <w:sz w:val="18"/>
          <w:szCs w:val="18"/>
          <w:color w:val="000000"/>
        </w:rPr>
        <w:t>. The Parent Guarantor and the Borrower will furnish to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(who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furnish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Lender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prompt written notice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following:</w:t>
      </w:r>
    </w:p>
    <w:p>
      <w:pPr>
        <w:spacing w:after="0" w:line="162" w:lineRule="exact"/>
        <w:rPr>
          <w:sz w:val="20"/>
          <w:szCs w:val="20"/>
          <w:color w:val="auto"/>
        </w:rPr>
      </w:pPr>
    </w:p>
    <w:p>
      <w:pPr>
        <w:ind w:left="1360" w:hanging="704"/>
        <w:spacing w:after="0"/>
        <w:tabs>
          <w:tab w:leader="none" w:pos="1360" w:val="left"/>
        </w:tabs>
        <w:numPr>
          <w:ilvl w:val="0"/>
          <w:numId w:val="19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w:t>
      </w:r>
      <w:r>
        <w:rPr>
          <w:rFonts w:ascii="Times New Roman" w:cs="Times New Roman" w:eastAsia="Times New Roman" w:hAnsi="Times New Roman"/>
          <w:sz w:val="18"/>
          <w:szCs w:val="18"/>
          <w:color w:val="000000"/>
        </w:rPr>
        <w:t>occurrence of any Default</w:t>
      </w:r>
      <w:r>
        <w:rPr>
          <w:rFonts w:ascii="Times New Roman" w:cs="Times New Roman" w:eastAsia="Times New Roman" w:hAnsi="Times New Roman"/>
          <w:sz w:val="18"/>
          <w:szCs w:val="18"/>
          <w:color w:val="FF0000"/>
          <w:strike w:val="1"/>
        </w:rPr>
        <w:t>;</w:t>
      </w:r>
    </w:p>
    <w:p>
      <w:pPr>
        <w:spacing w:after="0" w:line="225" w:lineRule="exact"/>
        <w:rPr>
          <w:rFonts w:ascii="Times New Roman" w:cs="Times New Roman" w:eastAsia="Times New Roman" w:hAnsi="Times New Roman"/>
          <w:sz w:val="18"/>
          <w:szCs w:val="18"/>
          <w:color w:val="FF0000"/>
        </w:rPr>
      </w:pPr>
    </w:p>
    <w:p>
      <w:pPr>
        <w:jc w:val="both"/>
        <w:ind w:firstLine="1304"/>
        <w:spacing w:after="0" w:line="261" w:lineRule="auto"/>
        <w:tabs>
          <w:tab w:leader="none" w:pos="1889" w:val="left"/>
        </w:tabs>
        <w:numPr>
          <w:ilvl w:val="1"/>
          <w:numId w:val="19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filing or commencement of, or the threat in writing of, any action, suit, proceeding, investigation or arbitration by or before </w:t>
      </w:r>
      <w:r>
        <w:rPr>
          <w:rFonts w:ascii="Times New Roman" w:cs="Times New Roman" w:eastAsia="Times New Roman" w:hAnsi="Times New Roman"/>
          <w:sz w:val="18"/>
          <w:szCs w:val="18"/>
          <w:color w:val="FF0000"/>
          <w:strike w:val="1"/>
        </w:rPr>
        <w:t>any arbitrator or Governmental Authority against or affecting the Parent Guarantor, the Borrower or any Subsidiary Affiliate thereof, not previously disclosed in writing to the Lenders or any material adverse development in any action, suit, proceeding, investigation or arbitration (whether or not previously disclosed to the Lenders) that, in either case, if adversely determined, could reasonably be expected to result in a Material Adverse Effect;</w:t>
      </w:r>
    </w:p>
    <w:p>
      <w:pPr>
        <w:spacing w:after="0" w:line="179" w:lineRule="exact"/>
        <w:rPr>
          <w:rFonts w:ascii="Times New Roman" w:cs="Times New Roman" w:eastAsia="Times New Roman" w:hAnsi="Times New Roman"/>
          <w:sz w:val="18"/>
          <w:szCs w:val="18"/>
          <w:color w:val="FF0000"/>
        </w:rPr>
      </w:pPr>
    </w:p>
    <w:p>
      <w:pPr>
        <w:ind w:left="1820" w:hanging="516"/>
        <w:spacing w:after="0"/>
        <w:tabs>
          <w:tab w:leader="none" w:pos="1820" w:val="left"/>
        </w:tabs>
        <w:numPr>
          <w:ilvl w:val="1"/>
          <w:numId w:val="19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other development that results in, or could reasonably be expected to result in, a Material Adverse Effect; and</w:t>
      </w:r>
    </w:p>
    <w:p>
      <w:pPr>
        <w:spacing w:after="0" w:line="225" w:lineRule="exact"/>
        <w:rPr>
          <w:rFonts w:ascii="Times New Roman" w:cs="Times New Roman" w:eastAsia="Times New Roman" w:hAnsi="Times New Roman"/>
          <w:sz w:val="18"/>
          <w:szCs w:val="18"/>
          <w:color w:val="FF0000"/>
          <w:strike w:val="1"/>
        </w:rPr>
      </w:pPr>
    </w:p>
    <w:p>
      <w:pPr>
        <w:jc w:val="both"/>
        <w:ind w:firstLine="1304"/>
        <w:spacing w:after="0" w:line="261" w:lineRule="auto"/>
        <w:tabs>
          <w:tab w:leader="none" w:pos="1952" w:val="left"/>
        </w:tabs>
        <w:numPr>
          <w:ilvl w:val="1"/>
          <w:numId w:val="19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any change in the information provided in the Beneficial Ownership Certification that would result in a change to the list of </w:t>
      </w:r>
      <w:r>
        <w:rPr>
          <w:rFonts w:ascii="Times New Roman" w:cs="Times New Roman" w:eastAsia="Times New Roman" w:hAnsi="Times New Roman"/>
          <w:sz w:val="18"/>
          <w:szCs w:val="18"/>
          <w:color w:val="FF0000"/>
          <w:strike w:val="1"/>
        </w:rPr>
        <w:t xml:space="preserve">beneficial owners identified in parts (c) or (d) of such certification. </w:t>
      </w:r>
      <w:r>
        <w:rPr>
          <w:rFonts w:ascii="Times New Roman" w:cs="Times New Roman" w:eastAsia="Times New Roman" w:hAnsi="Times New Roman"/>
          <w:sz w:val="18"/>
          <w:szCs w:val="18"/>
          <w:u w:val="single" w:color="auto"/>
          <w:color w:val="0000FF"/>
          <w:strike w:val="1"/>
        </w:rPr>
        <w:t>of which any Responsible Officer of the Parent Guarantor or the Borrower obtains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knowledge.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Each notice delivered under this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00"/>
          <w:strike w:val="1"/>
        </w:rPr>
        <w:t>Section 8.02</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shall be accompanied by a statement of a Responsible Officer setting forth the details of the event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or development requiring such notice and any action taken or proposed to be taken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-1734185</wp:posOffset>
            </wp:positionV>
            <wp:extent cx="6089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-1459865</wp:posOffset>
            </wp:positionV>
            <wp:extent cx="63074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30745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-499745</wp:posOffset>
            </wp:positionV>
            <wp:extent cx="63068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06820"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8.03 </w:t>
      </w:r>
      <w:r>
        <w:rPr>
          <w:rFonts w:ascii="Times New Roman" w:cs="Times New Roman" w:eastAsia="Times New Roman" w:hAnsi="Times New Roman"/>
          <w:sz w:val="18"/>
          <w:szCs w:val="18"/>
          <w:u w:val="single" w:color="auto"/>
          <w:color w:val="000000"/>
        </w:rPr>
        <w:t>Existence</w:t>
      </w:r>
      <w:r>
        <w:rPr>
          <w:rFonts w:ascii="Times New Roman" w:cs="Times New Roman" w:eastAsia="Times New Roman" w:hAnsi="Times New Roman"/>
          <w:sz w:val="18"/>
          <w:szCs w:val="18"/>
          <w:u w:val="single" w:color="auto"/>
          <w:color w:val="FF0000"/>
          <w:strike w:val="1"/>
        </w:rPr>
        <w:t>; Conduct of Business</w:t>
      </w:r>
      <w:r>
        <w:rPr>
          <w:rFonts w:ascii="Times New Roman" w:cs="Times New Roman" w:eastAsia="Times New Roman" w:hAnsi="Times New Roman"/>
          <w:sz w:val="18"/>
          <w:szCs w:val="18"/>
          <w:color w:val="000000"/>
        </w:rPr>
        <w:t>. The Parent Guarantor and the Borrower will, and will cause each Restricted Subsidiary to, do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cause to be done all things necessary to preserve, renew and keep in full force and effect its legal existence </w:t>
      </w:r>
      <w:r>
        <w:rPr>
          <w:rFonts w:ascii="Times New Roman" w:cs="Times New Roman" w:eastAsia="Times New Roman" w:hAnsi="Times New Roman"/>
          <w:sz w:val="18"/>
          <w:szCs w:val="18"/>
          <w:color w:val="FF0000"/>
          <w:strike w:val="1"/>
        </w:rPr>
        <w:t>and the rights, licenses, permits, privileges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franchises material to the conduct of its business and maintain, if necessary, its qualification to do business in each other jurisdiction in which its Oil and Gas Properties is located or the ownership of its Properties requires such qualification, except</w:t>
      </w:r>
      <w:r>
        <w:rPr>
          <w:rFonts w:ascii="Times New Roman" w:cs="Times New Roman" w:eastAsia="Times New Roman" w:hAnsi="Times New Roman"/>
          <w:sz w:val="18"/>
          <w:szCs w:val="18"/>
          <w:u w:val="single" w:color="auto"/>
          <w:color w:val="0000FF"/>
          <w:strike w:val="1"/>
        </w:rPr>
        <w:t>(except, with respect to the Restricted Subsidiaries,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where</w:t>
      </w:r>
      <w:r>
        <w:rPr>
          <w:rFonts w:ascii="Times New Roman" w:cs="Times New Roman" w:eastAsia="Times New Roman" w:hAnsi="Times New Roman"/>
          <w:sz w:val="18"/>
          <w:szCs w:val="18"/>
          <w:color w:val="FF0000"/>
          <w:strike w:val="1"/>
        </w:rPr>
        <w:t xml:space="preserve"> the </w:t>
      </w:r>
      <w:r>
        <w:rPr>
          <w:rFonts w:ascii="Times New Roman" w:cs="Times New Roman" w:eastAsia="Times New Roman" w:hAnsi="Times New Roman"/>
          <w:sz w:val="18"/>
          <w:szCs w:val="18"/>
          <w:color w:val="000000"/>
          <w:strike w:val="1"/>
        </w:rPr>
        <w:t xml:space="preserve">failure to </w:t>
      </w:r>
      <w:r>
        <w:rPr>
          <w:rFonts w:ascii="Times New Roman" w:cs="Times New Roman" w:eastAsia="Times New Roman" w:hAnsi="Times New Roman"/>
          <w:sz w:val="18"/>
          <w:szCs w:val="18"/>
          <w:u w:val="single" w:color="auto"/>
          <w:color w:val="0000FF"/>
          <w:strike w:val="1"/>
        </w:rPr>
        <w:t>do</w:t>
      </w:r>
      <w:r>
        <w:rPr>
          <w:rFonts w:ascii="Times New Roman" w:cs="Times New Roman" w:eastAsia="Times New Roman" w:hAnsi="Times New Roman"/>
          <w:sz w:val="18"/>
          <w:szCs w:val="18"/>
          <w:color w:val="000000"/>
          <w:strike w:val="1"/>
        </w:rPr>
        <w:t xml:space="preserve"> so </w:t>
      </w:r>
      <w:r>
        <w:rPr>
          <w:rFonts w:ascii="Times New Roman" w:cs="Times New Roman" w:eastAsia="Times New Roman" w:hAnsi="Times New Roman"/>
          <w:sz w:val="18"/>
          <w:szCs w:val="18"/>
          <w:color w:val="FF0000"/>
          <w:strike w:val="1"/>
        </w:rPr>
        <w:t>qualify could</w:t>
      </w:r>
      <w:r>
        <w:rPr>
          <w:rFonts w:ascii="Times New Roman" w:cs="Times New Roman" w:eastAsia="Times New Roman" w:hAnsi="Times New Roman"/>
          <w:sz w:val="18"/>
          <w:szCs w:val="18"/>
          <w:u w:val="single" w:color="auto"/>
          <w:color w:val="0000FF"/>
          <w:strike w:val="1"/>
        </w:rPr>
        <w:t>would</w:t>
      </w:r>
      <w:r>
        <w:rPr>
          <w:rFonts w:ascii="Times New Roman" w:cs="Times New Roman" w:eastAsia="Times New Roman" w:hAnsi="Times New Roman"/>
          <w:sz w:val="18"/>
          <w:szCs w:val="18"/>
          <w:color w:val="000000"/>
          <w:strike w:val="1"/>
        </w:rPr>
        <w:t xml:space="preserve"> not reasonably be expected to have a Material Adverse Effect</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that the foregoing shall not prohibit any merger, consolidation, liquidation or dissolution </w:t>
      </w:r>
      <w:r>
        <w:rPr>
          <w:rFonts w:ascii="Times New Roman" w:cs="Times New Roman" w:eastAsia="Times New Roman" w:hAnsi="Times New Roman"/>
          <w:sz w:val="18"/>
          <w:szCs w:val="18"/>
          <w:color w:val="FF0000"/>
          <w:strike w:val="1"/>
        </w:rPr>
        <w:t>permitted under</w:t>
      </w:r>
      <w:r>
        <w:rPr>
          <w:rFonts w:ascii="Times New Roman" w:cs="Times New Roman" w:eastAsia="Times New Roman" w:hAnsi="Times New Roman"/>
          <w:sz w:val="18"/>
          <w:szCs w:val="18"/>
          <w:u w:val="single" w:color="auto"/>
          <w:color w:val="0000FF"/>
          <w:strike w:val="1"/>
        </w:rPr>
        <w:t>not prohibited by</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Section 9.05</w:t>
      </w:r>
      <w:r>
        <w:rPr>
          <w:rFonts w:ascii="Times New Roman" w:cs="Times New Roman" w:eastAsia="Times New Roman" w:hAnsi="Times New Roman"/>
          <w:sz w:val="18"/>
          <w:szCs w:val="18"/>
          <w:color w:val="000000"/>
          <w:strike w:val="1"/>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8.04 </w:t>
      </w:r>
      <w:r>
        <w:rPr>
          <w:rFonts w:ascii="Times New Roman" w:cs="Times New Roman" w:eastAsia="Times New Roman" w:hAnsi="Times New Roman"/>
          <w:sz w:val="18"/>
          <w:szCs w:val="18"/>
          <w:u w:val="single" w:color="auto"/>
          <w:color w:val="000000"/>
        </w:rPr>
        <w:t>Payment of Taxes</w:t>
      </w:r>
      <w:r>
        <w:rPr>
          <w:rFonts w:ascii="Times New Roman" w:cs="Times New Roman" w:eastAsia="Times New Roman" w:hAnsi="Times New Roman"/>
          <w:sz w:val="18"/>
          <w:szCs w:val="18"/>
          <w:color w:val="000000"/>
        </w:rPr>
        <w:t>. The Parent Guarantor and the Borrower will, and will cause each of the Restricted Subsidiaries to, pay the Tax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liabilities of the Parent Guarantor, the Borrower and all of the Restricted Subsidiaries before the same shall become delinquent or in default, except where</w:t>
      </w:r>
    </w:p>
    <w:p>
      <w:pPr>
        <w:jc w:val="both"/>
        <w:ind w:firstLine="8"/>
        <w:spacing w:after="0" w:line="255" w:lineRule="auto"/>
        <w:tabs>
          <w:tab w:leader="none" w:pos="25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validity or amount thereof is being contested in good faith by appropriate proceedings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Parent Guarantor, the Borrower or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Restricted Subsidiaries has set aside on their books adequate reserves with respect thereto in accordance with GAAP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 (b)</w:t>
      </w:r>
      <w:r>
        <w:rPr>
          <w:rFonts w:ascii="Times New Roman" w:cs="Times New Roman" w:eastAsia="Times New Roman" w:hAnsi="Times New Roman"/>
          <w:sz w:val="18"/>
          <w:szCs w:val="18"/>
          <w:color w:val="000000"/>
        </w:rPr>
        <w:t xml:space="preserve"> the failure to make payment pending such contest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would</w:t>
      </w:r>
      <w:r>
        <w:rPr>
          <w:rFonts w:ascii="Times New Roman" w:cs="Times New Roman" w:eastAsia="Times New Roman" w:hAnsi="Times New Roman"/>
          <w:sz w:val="18"/>
          <w:szCs w:val="18"/>
          <w:color w:val="000000"/>
        </w:rPr>
        <w:t xml:space="preserve"> not reasonably be expected to result in a Material Adverse Effect.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8.05 </w:t>
      </w:r>
      <w:r>
        <w:rPr>
          <w:rFonts w:ascii="Times New Roman" w:cs="Times New Roman" w:eastAsia="Times New Roman" w:hAnsi="Times New Roman"/>
          <w:sz w:val="18"/>
          <w:szCs w:val="18"/>
          <w:u w:val="single" w:color="auto"/>
          <w:color w:val="FF0000"/>
          <w:strike w:val="1"/>
        </w:rPr>
        <w:t>Performance of Obligations Under Loan Documents</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FF0000"/>
          <w:strike w:val="1"/>
        </w:rPr>
        <w:t>. The Borrower will pay the Loans according to the terms, tenor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and effect thereof, and the Parent Guarantor and the Borrower will, and will cause each of the Restricted Subsidiaries to, do and perform every act and discharge all of the obligations to be performed and discharged by them under the Loan Documents, including, without limitation, this Agreement, at the time or times and in the manner specified.</w:t>
      </w:r>
      <w:r>
        <w:rPr>
          <w:rFonts w:ascii="Times New Roman" w:cs="Times New Roman" w:eastAsia="Times New Roman" w:hAnsi="Times New Roman"/>
          <w:sz w:val="18"/>
          <w:szCs w:val="18"/>
          <w:u w:val="single" w:color="auto"/>
          <w:color w:val="0000FF"/>
          <w:strike w:val="1"/>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8.06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The Parent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Guarantors</w:t>
      </w:r>
      <w:r>
        <w:rPr>
          <w:rFonts w:ascii="Times New Roman" w:cs="Times New Roman" w:eastAsia="Times New Roman" w:hAnsi="Times New Roman"/>
          <w:sz w:val="18"/>
          <w:szCs w:val="18"/>
          <w:u w:val="single" w:color="auto"/>
          <w:color w:val="0000FF"/>
        </w:rPr>
        <w:t>Guarantor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the Borrower will, and will cause each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Restricted</w:t>
      </w:r>
      <w:r>
        <w:rPr>
          <w:rFonts w:ascii="Times New Roman" w:cs="Times New Roman" w:eastAsia="Times New Roman" w:hAnsi="Times New Roman"/>
          <w:sz w:val="18"/>
          <w:szCs w:val="18"/>
          <w:u w:val="single" w:color="auto"/>
          <w:color w:val="0000FF"/>
        </w:rPr>
        <w:t>Material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maintain with </w:t>
      </w:r>
      <w:r>
        <w:rPr>
          <w:rFonts w:ascii="Times New Roman" w:cs="Times New Roman" w:eastAsia="Times New Roman" w:hAnsi="Times New Roman"/>
          <w:sz w:val="18"/>
          <w:szCs w:val="18"/>
          <w:color w:val="FF0000"/>
          <w:strike w:val="1"/>
        </w:rPr>
        <w:t>financially sound and reputable</w:t>
      </w:r>
      <w:r>
        <w:rPr>
          <w:rFonts w:ascii="Times New Roman" w:cs="Times New Roman" w:eastAsia="Times New Roman" w:hAnsi="Times New Roman"/>
          <w:sz w:val="18"/>
          <w:szCs w:val="18"/>
          <w:u w:val="single" w:color="auto"/>
          <w:color w:val="0000FF"/>
        </w:rPr>
        <w:t>creditworthy</w:t>
      </w:r>
      <w:r>
        <w:rPr>
          <w:rFonts w:ascii="Times New Roman" w:cs="Times New Roman" w:eastAsia="Times New Roman" w:hAnsi="Times New Roman"/>
          <w:sz w:val="18"/>
          <w:szCs w:val="18"/>
          <w:color w:val="000000"/>
        </w:rPr>
        <w:t xml:space="preserve"> insurance companies </w:t>
      </w:r>
      <w:r>
        <w:rPr>
          <w:rFonts w:ascii="Times New Roman" w:cs="Times New Roman" w:eastAsia="Times New Roman" w:hAnsi="Times New Roman"/>
          <w:sz w:val="18"/>
          <w:szCs w:val="18"/>
          <w:u w:val="single" w:color="auto"/>
          <w:color w:val="0000FF"/>
        </w:rPr>
        <w:t>or self-insure</w:t>
      </w:r>
      <w:r>
        <w:rPr>
          <w:rFonts w:ascii="Times New Roman" w:cs="Times New Roman" w:eastAsia="Times New Roman" w:hAnsi="Times New Roman"/>
          <w:sz w:val="18"/>
          <w:szCs w:val="18"/>
          <w:color w:val="000000"/>
        </w:rPr>
        <w:t xml:space="preserve">, insurance in such amounts and against such risks as are customarily maintained by </w:t>
      </w:r>
      <w:r>
        <w:rPr>
          <w:rFonts w:ascii="Times New Roman" w:cs="Times New Roman" w:eastAsia="Times New Roman" w:hAnsi="Times New Roman"/>
          <w:sz w:val="18"/>
          <w:szCs w:val="18"/>
          <w:u w:val="single" w:color="auto"/>
          <w:color w:val="0000FF"/>
        </w:rPr>
        <w:t>other</w:t>
      </w:r>
      <w:r>
        <w:rPr>
          <w:rFonts w:ascii="Times New Roman" w:cs="Times New Roman" w:eastAsia="Times New Roman" w:hAnsi="Times New Roman"/>
          <w:sz w:val="18"/>
          <w:szCs w:val="18"/>
          <w:color w:val="000000"/>
        </w:rPr>
        <w:t xml:space="preserve"> companies engaged in the same or similar businesses </w:t>
      </w:r>
      <w:r>
        <w:rPr>
          <w:rFonts w:ascii="Times New Roman" w:cs="Times New Roman" w:eastAsia="Times New Roman" w:hAnsi="Times New Roman"/>
          <w:sz w:val="18"/>
          <w:szCs w:val="18"/>
          <w:color w:val="FF0000"/>
          <w:strike w:val="1"/>
        </w:rPr>
        <w:t>operating in the same or similar locations</w:t>
      </w:r>
      <w:r>
        <w:rPr>
          <w:rFonts w:ascii="Times New Roman" w:cs="Times New Roman" w:eastAsia="Times New Roman" w:hAnsi="Times New Roman"/>
          <w:sz w:val="18"/>
          <w:szCs w:val="18"/>
          <w:u w:val="single" w:color="auto"/>
          <w:color w:val="0000FF"/>
        </w:rPr>
        <w:t>or consistent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Parent Guarantor, the Borrower or such Material Subsidiary’s past practice</w:t>
      </w:r>
      <w:r>
        <w:rPr>
          <w:rFonts w:ascii="Times New Roman" w:cs="Times New Roman" w:eastAsia="Times New Roman" w:hAnsi="Times New Roman"/>
          <w:sz w:val="18"/>
          <w:szCs w:val="18"/>
          <w:color w:val="000000"/>
        </w:rPr>
        <w:t>.</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8.07 </w:t>
      </w:r>
      <w:r>
        <w:rPr>
          <w:rFonts w:ascii="Times New Roman" w:cs="Times New Roman" w:eastAsia="Times New Roman" w:hAnsi="Times New Roman"/>
          <w:sz w:val="18"/>
          <w:szCs w:val="18"/>
          <w:u w:val="single" w:color="auto"/>
          <w:color w:val="000000"/>
        </w:rPr>
        <w:t>Books and Records</w:t>
      </w:r>
      <w:r>
        <w:rPr>
          <w:rFonts w:ascii="Times New Roman" w:cs="Times New Roman" w:eastAsia="Times New Roman" w:hAnsi="Times New Roman"/>
          <w:sz w:val="18"/>
          <w:szCs w:val="18"/>
          <w:color w:val="000000"/>
        </w:rPr>
        <w:t>. The Parent Guarantor and the Borrower will, and will cause each of the Restricted Subsidiaries to, keep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FF0000"/>
          <w:strike w:val="1"/>
        </w:rPr>
        <w:t>proper</w:t>
      </w:r>
      <w:r>
        <w:rPr>
          <w:rFonts w:ascii="Times New Roman" w:cs="Times New Roman" w:eastAsia="Times New Roman" w:hAnsi="Times New Roman"/>
          <w:sz w:val="18"/>
          <w:szCs w:val="18"/>
          <w:u w:val="single" w:color="auto"/>
          <w:color w:val="0000FF"/>
        </w:rPr>
        <w:t>appropriate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books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record and account</w:t>
      </w:r>
      <w:r>
        <w:rPr>
          <w:rFonts w:ascii="Times New Roman" w:cs="Times New Roman" w:eastAsia="Times New Roman" w:hAnsi="Times New Roman"/>
          <w:sz w:val="18"/>
          <w:szCs w:val="18"/>
          <w:u w:val="single" w:color="auto"/>
          <w:color w:val="0000FF"/>
        </w:rPr>
        <w:t>records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which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full, true and correct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entries are made of all dealings and transactions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material to the Parent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Guarantor and its Subsidiaries, taken as a whole,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relation to its business and activities. The Parent Guarantor and the Borrower will, and will cause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of the Restricted Subsidiaries to, </w:t>
      </w:r>
      <w:r>
        <w:rPr>
          <w:rFonts w:ascii="Times New Roman" w:cs="Times New Roman" w:eastAsia="Times New Roman" w:hAnsi="Times New Roman"/>
          <w:sz w:val="18"/>
          <w:szCs w:val="18"/>
          <w:u w:val="single" w:color="auto"/>
          <w:color w:val="0000FF"/>
        </w:rPr>
        <w:t>subject to applicable law,</w:t>
      </w:r>
      <w:r>
        <w:rPr>
          <w:rFonts w:ascii="Times New Roman" w:cs="Times New Roman" w:eastAsia="Times New Roman" w:hAnsi="Times New Roman"/>
          <w:sz w:val="18"/>
          <w:szCs w:val="18"/>
          <w:color w:val="000000"/>
        </w:rPr>
        <w:t xml:space="preserve"> permit any representatives </w:t>
      </w:r>
      <w:r>
        <w:rPr>
          <w:rFonts w:ascii="Times New Roman" w:cs="Times New Roman" w:eastAsia="Times New Roman" w:hAnsi="Times New Roman"/>
          <w:sz w:val="18"/>
          <w:szCs w:val="18"/>
          <w:color w:val="FF0000"/>
          <w:strike w:val="1"/>
        </w:rPr>
        <w:t>designated by</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color w:val="000000"/>
        </w:rPr>
        <w:t xml:space="preserve"> the Administrative Agent or </w:t>
      </w:r>
      <w:r>
        <w:rPr>
          <w:rFonts w:ascii="Times New Roman" w:cs="Times New Roman" w:eastAsia="Times New Roman" w:hAnsi="Times New Roman"/>
          <w:sz w:val="18"/>
          <w:szCs w:val="18"/>
          <w:color w:val="FF0000"/>
          <w:strike w:val="1"/>
        </w:rPr>
        <w:t>any Lender</w:t>
      </w:r>
      <w:r>
        <w:rPr>
          <w:rFonts w:ascii="Times New Roman" w:cs="Times New Roman" w:eastAsia="Times New Roman" w:hAnsi="Times New Roman"/>
          <w:sz w:val="18"/>
          <w:szCs w:val="18"/>
          <w:u w:val="single" w:color="auto"/>
          <w:color w:val="0000FF"/>
        </w:rPr>
        <w:t>, if an Event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of Default has occurred and is continuing, of any Lender (in each case, which representatives shall be reasonably acceptable to the Parent Guarantor and at their own cost and expense, subject to the final sentence of this Section 8.07)</w:t>
      </w:r>
      <w:r>
        <w:rPr>
          <w:rFonts w:ascii="Times New Roman" w:cs="Times New Roman" w:eastAsia="Times New Roman" w:hAnsi="Times New Roman"/>
          <w:sz w:val="18"/>
          <w:szCs w:val="18"/>
          <w:color w:val="000000"/>
        </w:rPr>
        <w:t>, upon reasonable prior notice, to visit and inspect its Properties, to examine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and make extracts from its books and records, and to discuss its </w:t>
      </w:r>
      <w:r>
        <w:rPr>
          <w:rFonts w:ascii="Times New Roman" w:cs="Times New Roman" w:eastAsia="Times New Roman" w:hAnsi="Times New Roman"/>
          <w:sz w:val="18"/>
          <w:szCs w:val="18"/>
          <w:u w:val="single" w:color="auto"/>
          <w:color w:val="0000FF"/>
        </w:rPr>
        <w:t>business and</w:t>
      </w:r>
      <w:r>
        <w:rPr>
          <w:rFonts w:ascii="Times New Roman" w:cs="Times New Roman" w:eastAsia="Times New Roman" w:hAnsi="Times New Roman"/>
          <w:sz w:val="18"/>
          <w:szCs w:val="18"/>
          <w:color w:val="000000"/>
        </w:rPr>
        <w:t xml:space="preserve"> affairs</w:t>
      </w:r>
      <w:r>
        <w:rPr>
          <w:rFonts w:ascii="Times New Roman" w:cs="Times New Roman" w:eastAsia="Times New Roman" w:hAnsi="Times New Roman"/>
          <w:sz w:val="18"/>
          <w:szCs w:val="18"/>
          <w:color w:val="FF0000"/>
          <w:strike w:val="1"/>
        </w:rPr>
        <w:t>, finances and condition</w:t>
      </w:r>
      <w:r>
        <w:rPr>
          <w:rFonts w:ascii="Times New Roman" w:cs="Times New Roman" w:eastAsia="Times New Roman" w:hAnsi="Times New Roman"/>
          <w:sz w:val="18"/>
          <w:szCs w:val="18"/>
          <w:color w:val="000000"/>
        </w:rPr>
        <w:t xml:space="preserve"> with its officers </w:t>
      </w:r>
      <w:r>
        <w:rPr>
          <w:rFonts w:ascii="Times New Roman" w:cs="Times New Roman" w:eastAsia="Times New Roman" w:hAnsi="Times New Roman"/>
          <w:sz w:val="18"/>
          <w:szCs w:val="18"/>
          <w:color w:val="FF0000"/>
          <w:strike w:val="1"/>
        </w:rPr>
        <w:t>and independent accountants</w:t>
      </w:r>
      <w:r>
        <w:rPr>
          <w:rFonts w:ascii="Times New Roman" w:cs="Times New Roman" w:eastAsia="Times New Roman" w:hAnsi="Times New Roman"/>
          <w:sz w:val="18"/>
          <w:szCs w:val="18"/>
          <w:color w:val="000000"/>
        </w:rPr>
        <w:t xml:space="preserve">, all at such reasonable times </w:t>
      </w:r>
      <w:r>
        <w:rPr>
          <w:rFonts w:ascii="Times New Roman" w:cs="Times New Roman" w:eastAsia="Times New Roman" w:hAnsi="Times New Roman"/>
          <w:sz w:val="18"/>
          <w:szCs w:val="18"/>
          <w:color w:val="FF0000"/>
          <w:strike w:val="1"/>
        </w:rPr>
        <w:t>and as often as reasonably requested</w:t>
      </w:r>
      <w:r>
        <w:rPr>
          <w:rFonts w:ascii="Times New Roman" w:cs="Times New Roman" w:eastAsia="Times New Roman" w:hAnsi="Times New Roman"/>
          <w:sz w:val="18"/>
          <w:szCs w:val="18"/>
          <w:u w:val="single" w:color="auto"/>
          <w:color w:val="0000FF"/>
        </w:rPr>
        <w:t>(during normal business hours) (unless an Event of Default has occurred and is continuing)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no more than once per fiscal year of the Parent Guarantor; provided that such designated representatives agree to any reasonable confidentiality obligations proposed by the Parent Guarantor, including, but not limited to, confidentiality obligations agreed to by the Lenders under or in connection with this Agreement; provided further that the rights of the Administrative Agent and Lenders under this Section 8.07 shall not extend to any information covered by attorney-client or other legal privilege or to the extent the exercise of such inspection rights would reasonably be expected to result in violation or other breach of any third-party confidentiality agreements. The Parent Guarantor or the Borrower shall indemnify each Lender and the Administrative Agent for such out-of-pocket costs and expenses that are reasonable and documented in connection with any exercise of rights under this Section 8.07 if an Event of Default has occurred and is continuing</w:t>
      </w:r>
      <w:r>
        <w:rPr>
          <w:rFonts w:ascii="Times New Roman" w:cs="Times New Roman" w:eastAsia="Times New Roman" w:hAnsi="Times New Roman"/>
          <w:sz w:val="18"/>
          <w:szCs w:val="18"/>
          <w:color w:val="000000"/>
        </w:rPr>
        <w:t>.</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8.08 </w:t>
      </w:r>
      <w:r>
        <w:rPr>
          <w:rFonts w:ascii="Times New Roman" w:cs="Times New Roman" w:eastAsia="Times New Roman" w:hAnsi="Times New Roman"/>
          <w:sz w:val="18"/>
          <w:szCs w:val="18"/>
          <w:u w:val="single" w:color="auto"/>
          <w:color w:val="000000"/>
        </w:rPr>
        <w:t>Compliance With Laws</w:t>
      </w:r>
      <w:r>
        <w:rPr>
          <w:rFonts w:ascii="Times New Roman" w:cs="Times New Roman" w:eastAsia="Times New Roman" w:hAnsi="Times New Roman"/>
          <w:sz w:val="18"/>
          <w:szCs w:val="18"/>
          <w:color w:val="000000"/>
        </w:rPr>
        <w:t>. The Parent Guarantor and the Borrower will, and will cause each of the Restricted Subsidiaries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comply with all laws, rules, regulations and orders of any Governmental Authority applicable to them or their Property, except where the failure to do so, individually or in the aggregate,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would</w:t>
      </w:r>
      <w:r>
        <w:rPr>
          <w:rFonts w:ascii="Times New Roman" w:cs="Times New Roman" w:eastAsia="Times New Roman" w:hAnsi="Times New Roman"/>
          <w:sz w:val="18"/>
          <w:szCs w:val="18"/>
          <w:color w:val="000000"/>
        </w:rPr>
        <w:t xml:space="preserve"> not reasonably be expected to result in a Material Adverse Effect. The Borrower will maintain in effect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enforce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 policies and procedures, if any, as it reasonably deems appropriate, in light of its business and international activities (if any), that 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reasonably designed to ensure compliance by the Borrower, its Subsidiaries and each of their respective directors, officers, employees and agents acting in their respective capacity as such with applicable Anti-Corruption Laws, Anti-Money Laundering Laws, and applicable Sanctions.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8.09 </w:t>
      </w:r>
      <w:r>
        <w:rPr>
          <w:rFonts w:ascii="Times New Roman" w:cs="Times New Roman" w:eastAsia="Times New Roman" w:hAnsi="Times New Roman"/>
          <w:sz w:val="18"/>
          <w:szCs w:val="18"/>
          <w:u w:val="single" w:color="auto"/>
          <w:color w:val="000000"/>
        </w:rPr>
        <w:t>Environmental Matters</w:t>
      </w:r>
      <w:r>
        <w:rPr>
          <w:rFonts w:ascii="Times New Roman" w:cs="Times New Roman" w:eastAsia="Times New Roman" w:hAnsi="Times New Roman"/>
          <w:sz w:val="18"/>
          <w:szCs w:val="18"/>
          <w:color w:val="000000"/>
        </w:rPr>
        <w:t>. The Parent Guarantor and the Borrower shall each, at its sole expense</w:t>
      </w:r>
      <w:r>
        <w:rPr>
          <w:rFonts w:ascii="Times New Roman" w:cs="Times New Roman" w:eastAsia="Times New Roman" w:hAnsi="Times New Roman"/>
          <w:sz w:val="18"/>
          <w:szCs w:val="18"/>
          <w:color w:val="FF0000"/>
          <w:strike w:val="1"/>
        </w:rPr>
        <w:t>: (a)</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comply, and shall cause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Properties and operations and each Restricted Subsidiary and each Restricted Subsidiary’s Properties and operations to comply, with all applicable Environmental Laws, the breach of which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would</w:t>
      </w:r>
      <w:r>
        <w:rPr>
          <w:rFonts w:ascii="Times New Roman" w:cs="Times New Roman" w:eastAsia="Times New Roman" w:hAnsi="Times New Roman"/>
          <w:sz w:val="18"/>
          <w:szCs w:val="18"/>
          <w:color w:val="000000"/>
        </w:rPr>
        <w:t xml:space="preserve"> be reasonably expected to have a Material Adverse Effect</w:t>
      </w:r>
      <w:r>
        <w:rPr>
          <w:rFonts w:ascii="Times New Roman" w:cs="Times New Roman" w:eastAsia="Times New Roman" w:hAnsi="Times New Roman"/>
          <w:sz w:val="18"/>
          <w:szCs w:val="18"/>
          <w:color w:val="FF0000"/>
          <w:strike w:val="1"/>
        </w:rPr>
        <w:t>; (b) not Release or threaten to Release,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and shall cause each Restricted Subsidiary not to Release or threaten to Release, any Hazardous Material on, under, about or from any of the Parent Guarantor’s, the Borrower’s or the Restricted Subsidiaries’ Properties or any other property offsite the Property to the extent caused by the Parent Guarantor’s, the Borrower’s or any of the Restricted Subsidiaries’ operations except in compliance with applicable Environmental Laws, the Release or threatened Release of which could reasonably be expected to have a Material Adverse Effect; (c) timely obtain or file, and shall cause each Restricted Subsidiary to timely obtain or file, all Environmental Permits, if any, required under applicable Environmental Laws to be obtained or filed in connection with the operation or use of the Parent Guarantor’s, the Borrower’s or the Restricted Subsidiaries’ Properties, which failure to obtain or file could reasonably be expected to have a Material Adverse Effect; (d) promptly commence and diligently prosecute to completion, and shall cause each Subsidiary to promptly commence and diligently prosecute to completion, any assessment, evaluation, investigation, monitoring, containment, cleanup, removal, repair, restoration, remediation or other remedial obligations (collectively, the “</w:t>
      </w:r>
      <w:r>
        <w:rPr>
          <w:rFonts w:ascii="Times New Roman" w:cs="Times New Roman" w:eastAsia="Times New Roman" w:hAnsi="Times New Roman"/>
          <w:sz w:val="18"/>
          <w:szCs w:val="18"/>
          <w:u w:val="single" w:color="auto"/>
          <w:color w:val="FF0000"/>
          <w:strike w:val="1"/>
        </w:rPr>
        <w:t>Remedial Work</w:t>
      </w:r>
      <w:r>
        <w:rPr>
          <w:rFonts w:ascii="Times New Roman" w:cs="Times New Roman" w:eastAsia="Times New Roman" w:hAnsi="Times New Roman"/>
          <w:sz w:val="18"/>
          <w:szCs w:val="18"/>
          <w:color w:val="FF0000"/>
          <w:strike w:val="1"/>
        </w:rPr>
        <w:t xml:space="preserve">”) in the event any Remedial Work is required or reasonably necessary under applicable Environmental Laws because of or in connection with the actual or suspected past, present or future Release or threatened Release of any Hazardous Material on, under, about or from any of the Parent Guarantor’s, the Borrower’s or the Restricted Subsidiaries’ Properties, which failure to commence and diligently prosecute to completion could reasonably be expected to have a Material Adverse Effect; (e) conduct, and cause the Restricted Subsidiaries to conduct, their respective operations and businesses in a manner that will not expose any Property or Person to Hazardous Materials that could reasonably be expected to form the basis for a claim for damages or compensation; and (f) establish and implement, and shall cause each Restricted Subsidiary to establish and implement, such procedures as may be necessary to continuously determine and assure that the Parent Guarantor’s, the Borrower’s and the Restricted Subsidiaries’ obligations under this </w:t>
      </w:r>
      <w:r>
        <w:rPr>
          <w:rFonts w:ascii="Times New Roman" w:cs="Times New Roman" w:eastAsia="Times New Roman" w:hAnsi="Times New Roman"/>
          <w:sz w:val="18"/>
          <w:szCs w:val="18"/>
          <w:u w:val="single" w:color="auto"/>
          <w:color w:val="FF0000"/>
          <w:strike w:val="1"/>
        </w:rPr>
        <w:t>Section 8.09</w:t>
      </w:r>
      <w:r>
        <w:rPr>
          <w:rFonts w:ascii="Times New Roman" w:cs="Times New Roman" w:eastAsia="Times New Roman" w:hAnsi="Times New Roman"/>
          <w:sz w:val="18"/>
          <w:szCs w:val="18"/>
          <w:color w:val="FF0000"/>
          <w:strike w:val="1"/>
        </w:rPr>
        <w:t xml:space="preserve"> are timely and fully satisfied, which failure to establish and implement could reasonably be expected to have a Material Adverse Effect</w:t>
      </w:r>
      <w:r>
        <w:rPr>
          <w:rFonts w:ascii="Times New Roman" w:cs="Times New Roman" w:eastAsia="Times New Roman" w:hAnsi="Times New Roman"/>
          <w:sz w:val="18"/>
          <w:szCs w:val="18"/>
          <w:color w:val="000000"/>
          <w:strike w:val="1"/>
        </w:rPr>
        <w:t>.</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8.10 </w:t>
      </w:r>
      <w:r>
        <w:rPr>
          <w:rFonts w:ascii="Times New Roman" w:cs="Times New Roman" w:eastAsia="Times New Roman" w:hAnsi="Times New Roman"/>
          <w:sz w:val="18"/>
          <w:szCs w:val="18"/>
          <w:u w:val="single" w:color="auto"/>
          <w:color w:val="FF0000"/>
          <w:strike w:val="1"/>
        </w:rPr>
        <w:t>ERISA Compliance</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u w:val="single" w:color="auto"/>
          <w:color w:val="FF0000"/>
          <w:strike w:val="1"/>
        </w:rPr>
        <w:t>. The Parent Guarantor and the Borrower will promptly furnish and will cause the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FF0000"/>
          <w:strike w:val="1"/>
        </w:rPr>
        <w:t>Subsidiaries and any ERISA Affiliate to promptly furnish to the Administrative Agent immediately upon becoming aware of the occurrence of any “prohibited transaction,” as described in section 406 of ERISA or in section 4975 of the Code, in connection with any Plan or any trust created thereunder, a written notice signed by the President or the principal Financial Officer, the Restricted Subsidiary or the ERISA Affiliate, as the case may be, specifying the nature thereof, what action the Parent Guarantor, the Borrower, the Restricted Subsidiary or the ERISA Affiliate is taking or proposes to take with respect thereto, and, when known, any action taken or proposed by the Internal Revenue Service or the Department of Labor with respect thereto.</w:t>
      </w:r>
    </w:p>
    <w:p>
      <w:pPr>
        <w:spacing w:after="0" w:line="187"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010000"/>
        </w:rPr>
        <w:t>Section 8.11</w:t>
      </w:r>
      <w:r>
        <w:rPr>
          <w:sz w:val="20"/>
          <w:szCs w:val="20"/>
          <w:color w:val="auto"/>
        </w:rPr>
        <w:tab/>
      </w:r>
      <w:r>
        <w:rPr>
          <w:rFonts w:ascii="Times New Roman" w:cs="Times New Roman" w:eastAsia="Times New Roman" w:hAnsi="Times New Roman"/>
          <w:sz w:val="18"/>
          <w:szCs w:val="18"/>
          <w:u w:val="single" w:color="auto"/>
          <w:color w:val="auto"/>
        </w:rPr>
        <w:t>Unrestricted Subsidiaries</w:t>
      </w:r>
      <w:r>
        <w:rPr>
          <w:rFonts w:ascii="Times New Roman" w:cs="Times New Roman" w:eastAsia="Times New Roman" w:hAnsi="Times New Roman"/>
          <w:sz w:val="18"/>
          <w:szCs w:val="18"/>
          <w:color w:val="auto"/>
        </w:rPr>
        <w:t>. The Borrower and the Parent Guarantor</w:t>
      </w:r>
    </w:p>
    <w:p>
      <w:pPr>
        <w:spacing w:after="0" w:line="225" w:lineRule="exact"/>
        <w:rPr>
          <w:sz w:val="20"/>
          <w:szCs w:val="20"/>
          <w:color w:val="auto"/>
        </w:rPr>
      </w:pPr>
    </w:p>
    <w:p>
      <w:pPr>
        <w:jc w:val="both"/>
        <w:ind w:firstLine="1304"/>
        <w:spacing w:after="0" w:line="256" w:lineRule="auto"/>
        <w:tabs>
          <w:tab w:leader="none" w:pos="2019" w:val="left"/>
        </w:tabs>
        <w:numPr>
          <w:ilvl w:val="0"/>
          <w:numId w:val="199"/>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will cause the management, business and affairs of its Subsidiaries to be conducted in such a manner (including, without </w:t>
      </w:r>
      <w:r>
        <w:rPr>
          <w:rFonts w:ascii="Times New Roman" w:cs="Times New Roman" w:eastAsia="Times New Roman" w:hAnsi="Times New Roman"/>
          <w:sz w:val="18"/>
          <w:szCs w:val="18"/>
          <w:color w:val="FF0000"/>
          <w:strike w:val="1"/>
        </w:rPr>
        <w:t xml:space="preserve">limitation, by keeping separate books of account, furnishing separate financial statements of Unrestricted Subsidiaries to creditors and potential creditors thereof and by not permitting Properties of the Parent Guarantor, the Borrower and the Restricted Subsidiaries to be commingled) so that each Unrestricted Subsidiary that is a corporation or limited liability company will be treated as an entity separate and distinct from the Parent Guarantor, the Borrower and the Restricted Subsidiaries.(b) </w:t>
      </w:r>
      <w:r>
        <w:rPr>
          <w:rFonts w:ascii="Times New Roman" w:cs="Times New Roman" w:eastAsia="Times New Roman" w:hAnsi="Times New Roman"/>
          <w:sz w:val="18"/>
          <w:szCs w:val="18"/>
          <w:color w:val="000000"/>
          <w:strike w:val="1"/>
        </w:rPr>
        <w:t>will not permit any Unrestricted Subsidiary to hold any Equity Interest in, or any Debt of, the Parent Guarantor,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Borrower or any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-768985</wp:posOffset>
            </wp:positionV>
            <wp:extent cx="63042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04280" cy="8890"/>
                    </a:xfrm>
                    <a:prstGeom prst="rect">
                      <a:avLst/>
                    </a:prstGeom>
                    <a:noFill/>
                  </pic:spPr>
                </pic:pic>
              </a:graphicData>
            </a:graphic>
          </wp:anchor>
        </w:drawing>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Until the Commitments have expired or terminated and the principal of and interest on each Loan and all fees payable hereunder and all other amounts payable under the Loan Documents </w:t>
      </w:r>
      <w:r>
        <w:rPr>
          <w:rFonts w:ascii="Times New Roman" w:cs="Times New Roman" w:eastAsia="Times New Roman" w:hAnsi="Times New Roman"/>
          <w:sz w:val="18"/>
          <w:szCs w:val="18"/>
          <w:u w:val="single" w:color="auto"/>
          <w:color w:val="0000FF"/>
        </w:rPr>
        <w:t>(other than expense reimbursement, indemnification, increased cost or tax gross up amounts for which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claim has been made)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have been paid in full and all Letters of 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shall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have expired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terminated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all LC Disbursements shall have been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reimbursed</w:t>
      </w:r>
      <w:r>
        <w:rPr>
          <w:rFonts w:ascii="Times New Roman" w:cs="Times New Roman" w:eastAsia="Times New Roman" w:hAnsi="Times New Roman"/>
          <w:sz w:val="18"/>
          <w:szCs w:val="18"/>
          <w:u w:val="single" w:color="auto"/>
          <w:color w:val="0000FF"/>
        </w:rPr>
        <w:t>or been cash-collateralized or otherwise backstopped in a manner satisfactory to the relevant Issuing Bank</w:t>
      </w:r>
      <w:r>
        <w:rPr>
          <w:rFonts w:ascii="Times New Roman" w:cs="Times New Roman" w:eastAsia="Times New Roman" w:hAnsi="Times New Roman"/>
          <w:sz w:val="18"/>
          <w:szCs w:val="18"/>
          <w:color w:val="000000"/>
        </w:rPr>
        <w:t>, each of the Parent Guarantor and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Borrower, covenants and agrees with the Lenders that: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9.01 </w:t>
      </w:r>
      <w:r>
        <w:rPr>
          <w:rFonts w:ascii="Times New Roman" w:cs="Times New Roman" w:eastAsia="Times New Roman" w:hAnsi="Times New Roman"/>
          <w:sz w:val="18"/>
          <w:szCs w:val="18"/>
          <w:u w:val="single" w:color="auto"/>
          <w:color w:val="000000"/>
        </w:rPr>
        <w:t>Financial Covenant</w:t>
      </w:r>
      <w:r>
        <w:rPr>
          <w:rFonts w:ascii="Times New Roman" w:cs="Times New Roman" w:eastAsia="Times New Roman" w:hAnsi="Times New Roman"/>
          <w:sz w:val="18"/>
          <w:szCs w:val="18"/>
          <w:color w:val="000000"/>
        </w:rPr>
        <w:t>. The Parent Guarantor will not permit the Total Net Debt to Capitalization Ratio, expressed as a percentage,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to exceed 65% </w:t>
      </w:r>
      <w:r>
        <w:rPr>
          <w:rFonts w:ascii="Times New Roman" w:cs="Times New Roman" w:eastAsia="Times New Roman" w:hAnsi="Times New Roman"/>
          <w:sz w:val="18"/>
          <w:szCs w:val="18"/>
          <w:color w:val="FF0000"/>
          <w:strike w:val="1"/>
        </w:rPr>
        <w:t>at</w:t>
      </w:r>
      <w:r>
        <w:rPr>
          <w:rFonts w:ascii="Times New Roman" w:cs="Times New Roman" w:eastAsia="Times New Roman" w:hAnsi="Times New Roman"/>
          <w:sz w:val="18"/>
          <w:szCs w:val="18"/>
          <w:u w:val="single" w:color="auto"/>
          <w:color w:val="0000FF"/>
        </w:rPr>
        <w:t>on the last day of</w:t>
      </w:r>
      <w:r>
        <w:rPr>
          <w:rFonts w:ascii="Times New Roman" w:cs="Times New Roman" w:eastAsia="Times New Roman" w:hAnsi="Times New Roman"/>
          <w:sz w:val="18"/>
          <w:szCs w:val="18"/>
          <w:color w:val="000000"/>
        </w:rPr>
        <w:t xml:space="preserve"> any </w:t>
      </w:r>
      <w:r>
        <w:rPr>
          <w:rFonts w:ascii="Times New Roman" w:cs="Times New Roman" w:eastAsia="Times New Roman" w:hAnsi="Times New Roman"/>
          <w:sz w:val="18"/>
          <w:szCs w:val="18"/>
          <w:color w:val="FF0000"/>
          <w:strike w:val="1"/>
        </w:rPr>
        <w:t>time</w:t>
      </w:r>
      <w:r>
        <w:rPr>
          <w:rFonts w:ascii="Times New Roman" w:cs="Times New Roman" w:eastAsia="Times New Roman" w:hAnsi="Times New Roman"/>
          <w:sz w:val="18"/>
          <w:szCs w:val="18"/>
          <w:u w:val="single" w:color="auto"/>
          <w:color w:val="0000FF"/>
        </w:rPr>
        <w:t>fiscal quarter</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010000"/>
        </w:rPr>
        <w:t>Section 9.02</w:t>
      </w:r>
      <w:r>
        <w:rPr>
          <w:sz w:val="20"/>
          <w:szCs w:val="20"/>
          <w:color w:val="auto"/>
        </w:rPr>
        <w:tab/>
      </w:r>
      <w:r>
        <w:rPr>
          <w:rFonts w:ascii="Times New Roman" w:cs="Times New Roman" w:eastAsia="Times New Roman" w:hAnsi="Times New Roman"/>
          <w:sz w:val="18"/>
          <w:szCs w:val="18"/>
          <w:u w:val="single" w:color="auto"/>
          <w:color w:val="auto"/>
        </w:rPr>
        <w:t>Subsidiary Debt</w:t>
      </w:r>
      <w:r>
        <w:rPr>
          <w:rFonts w:ascii="Times New Roman" w:cs="Times New Roman" w:eastAsia="Times New Roman" w:hAnsi="Times New Roman"/>
          <w:sz w:val="18"/>
          <w:szCs w:val="18"/>
          <w:color w:val="auto"/>
        </w:rPr>
        <w:t>. The Parent Guarantor and the Borrower will not permit any Restricted Subsidiary that is not the Borrower 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Guarantor to incur, create, assume or suffer to exist any Debt </w:t>
      </w:r>
      <w:r>
        <w:rPr>
          <w:rFonts w:ascii="Times New Roman" w:cs="Times New Roman" w:eastAsia="Times New Roman" w:hAnsi="Times New Roman"/>
          <w:sz w:val="18"/>
          <w:szCs w:val="18"/>
          <w:color w:val="FF0000"/>
          <w:strike w:val="1"/>
        </w:rPr>
        <w:t>for borrowed money</w:t>
      </w:r>
      <w:r>
        <w:rPr>
          <w:rFonts w:ascii="Times New Roman" w:cs="Times New Roman" w:eastAsia="Times New Roman" w:hAnsi="Times New Roman"/>
          <w:sz w:val="18"/>
          <w:szCs w:val="18"/>
          <w:u w:val="single" w:color="auto"/>
          <w:color w:val="0000FF"/>
        </w:rPr>
        <w:t>referred to in clause (a) of the definition thereof</w:t>
      </w:r>
      <w:r>
        <w:rPr>
          <w:rFonts w:ascii="Times New Roman" w:cs="Times New Roman" w:eastAsia="Times New Roman" w:hAnsi="Times New Roman"/>
          <w:sz w:val="18"/>
          <w:szCs w:val="18"/>
          <w:color w:val="auto"/>
        </w:rPr>
        <w:t>, except:</w:t>
      </w:r>
    </w:p>
    <w:p>
      <w:pPr>
        <w:spacing w:after="0" w:line="207" w:lineRule="exact"/>
        <w:rPr>
          <w:sz w:val="20"/>
          <w:szCs w:val="20"/>
          <w:color w:val="auto"/>
        </w:rPr>
      </w:pPr>
    </w:p>
    <w:p>
      <w:pPr>
        <w:jc w:val="both"/>
        <w:ind w:firstLine="1304"/>
        <w:spacing w:after="0" w:line="266" w:lineRule="auto"/>
        <w:tabs>
          <w:tab w:leader="none" w:pos="1824" w:val="left"/>
        </w:tabs>
        <w:numPr>
          <w:ilvl w:val="0"/>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intercompany Debt between the Parent Guarantor </w:t>
      </w:r>
      <w:r>
        <w:rPr>
          <w:rFonts w:ascii="Times New Roman" w:cs="Times New Roman" w:eastAsia="Times New Roman" w:hAnsi="Times New Roman"/>
          <w:sz w:val="18"/>
          <w:szCs w:val="18"/>
          <w:u w:val="single" w:color="auto"/>
          <w:color w:val="0000FF"/>
        </w:rPr>
        <w:t>or the Borrower</w:t>
      </w:r>
      <w:r>
        <w:rPr>
          <w:rFonts w:ascii="Times New Roman" w:cs="Times New Roman" w:eastAsia="Times New Roman" w:hAnsi="Times New Roman"/>
          <w:sz w:val="18"/>
          <w:szCs w:val="18"/>
          <w:color w:val="auto"/>
        </w:rPr>
        <w:t xml:space="preserve"> and a Restricted Subsidiary or between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not held, assigned, transferred, negotiated or pledged to any Person other than the Parent Guarantor</w:t>
      </w:r>
      <w:r>
        <w:rPr>
          <w:rFonts w:ascii="Times New Roman" w:cs="Times New Roman" w:eastAsia="Times New Roman" w:hAnsi="Times New Roman"/>
          <w:sz w:val="18"/>
          <w:szCs w:val="18"/>
          <w:u w:val="single" w:color="auto"/>
          <w:color w:val="0000FF"/>
        </w:rPr>
        <w:t>, the Borrower</w:t>
      </w:r>
      <w:r>
        <w:rPr>
          <w:rFonts w:ascii="Times New Roman" w:cs="Times New Roman" w:eastAsia="Times New Roman" w:hAnsi="Times New Roman"/>
          <w:sz w:val="18"/>
          <w:szCs w:val="18"/>
          <w:color w:val="auto"/>
        </w:rPr>
        <w:t xml:space="preserve"> or a Restricted Subsidiary;</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15" w:val="left"/>
        </w:tabs>
        <w:numPr>
          <w:ilvl w:val="0"/>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purchase money Debt to finance the acquisition, </w:t>
      </w:r>
      <w:r>
        <w:rPr>
          <w:rFonts w:ascii="Times New Roman" w:cs="Times New Roman" w:eastAsia="Times New Roman" w:hAnsi="Times New Roman"/>
          <w:sz w:val="18"/>
          <w:szCs w:val="18"/>
          <w:u w:val="single" w:color="auto"/>
          <w:color w:val="0000FF"/>
        </w:rPr>
        <w:t>design,</w:t>
      </w:r>
      <w:r>
        <w:rPr>
          <w:rFonts w:ascii="Times New Roman" w:cs="Times New Roman" w:eastAsia="Times New Roman" w:hAnsi="Times New Roman"/>
          <w:sz w:val="18"/>
          <w:szCs w:val="18"/>
          <w:color w:val="auto"/>
        </w:rPr>
        <w:t xml:space="preserve"> construction, </w:t>
      </w:r>
      <w:r>
        <w:rPr>
          <w:rFonts w:ascii="Times New Roman" w:cs="Times New Roman" w:eastAsia="Times New Roman" w:hAnsi="Times New Roman"/>
          <w:sz w:val="18"/>
          <w:szCs w:val="18"/>
          <w:u w:val="single" w:color="auto"/>
          <w:color w:val="0000FF"/>
        </w:rPr>
        <w:t>installation, repair, alteration, replacement, expansion</w:t>
      </w:r>
      <w:r>
        <w:rPr>
          <w:rFonts w:ascii="Times New Roman" w:cs="Times New Roman" w:eastAsia="Times New Roman" w:hAnsi="Times New Roman"/>
          <w:sz w:val="18"/>
          <w:szCs w:val="18"/>
          <w:color w:val="auto"/>
        </w:rPr>
        <w:t xml:space="preserve"> or improvement, or capital lease of assets (including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when incurred shall not exceed the purchase price and costs, as applicable, of acquisition, </w:t>
      </w:r>
      <w:r>
        <w:rPr>
          <w:rFonts w:ascii="Times New Roman" w:cs="Times New Roman" w:eastAsia="Times New Roman" w:hAnsi="Times New Roman"/>
          <w:sz w:val="18"/>
          <w:szCs w:val="18"/>
          <w:u w:val="single" w:color="auto"/>
          <w:color w:val="0000FF"/>
        </w:rPr>
        <w:t>design,</w:t>
      </w:r>
      <w:r>
        <w:rPr>
          <w:rFonts w:ascii="Times New Roman" w:cs="Times New Roman" w:eastAsia="Times New Roman" w:hAnsi="Times New Roman"/>
          <w:sz w:val="18"/>
          <w:szCs w:val="18"/>
          <w:color w:val="auto"/>
        </w:rPr>
        <w:t xml:space="preserve"> construction</w:t>
      </w:r>
      <w:r>
        <w:rPr>
          <w:rFonts w:ascii="Times New Roman" w:cs="Times New Roman" w:eastAsia="Times New Roman" w:hAnsi="Times New Roman"/>
          <w:sz w:val="18"/>
          <w:szCs w:val="18"/>
          <w:u w:val="single" w:color="auto"/>
          <w:color w:val="0000FF"/>
        </w:rPr>
        <w:t>, installation, repair, alteration replacement, expansion</w:t>
      </w:r>
      <w:r>
        <w:rPr>
          <w:rFonts w:ascii="Times New Roman" w:cs="Times New Roman" w:eastAsia="Times New Roman" w:hAnsi="Times New Roman"/>
          <w:sz w:val="18"/>
          <w:szCs w:val="18"/>
          <w:color w:val="auto"/>
        </w:rPr>
        <w:t xml:space="preserve"> or improvement of the asset(s) financed and all fees, costs, and expenses relating thereto;</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37" w:val="left"/>
        </w:tabs>
        <w:numPr>
          <w:ilvl w:val="0"/>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Debt of a </w:t>
      </w:r>
      <w:r>
        <w:rPr>
          <w:rFonts w:ascii="Times New Roman" w:cs="Times New Roman" w:eastAsia="Times New Roman" w:hAnsi="Times New Roman"/>
          <w:sz w:val="18"/>
          <w:szCs w:val="18"/>
          <w:u w:val="single" w:color="auto"/>
          <w:color w:val="0000FF"/>
        </w:rPr>
        <w:t>Person who becomes a</w:t>
      </w:r>
      <w:r>
        <w:rPr>
          <w:rFonts w:ascii="Times New Roman" w:cs="Times New Roman" w:eastAsia="Times New Roman" w:hAnsi="Times New Roman"/>
          <w:sz w:val="18"/>
          <w:szCs w:val="18"/>
          <w:color w:val="auto"/>
        </w:rPr>
        <w:t xml:space="preserve"> Restricted Subsidiary which Debt exists prior to the time </w:t>
      </w:r>
      <w:r>
        <w:rPr>
          <w:rFonts w:ascii="Times New Roman" w:cs="Times New Roman" w:eastAsia="Times New Roman" w:hAnsi="Times New Roman"/>
          <w:sz w:val="18"/>
          <w:szCs w:val="18"/>
          <w:color w:val="FF0000"/>
          <w:strike w:val="1"/>
        </w:rPr>
        <w:t>of acquisition of</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0000FF"/>
        </w:rPr>
        <w:t>Person becomes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Restricted Subsidiary (including Debt at the time of the acquisition of the Equity Interests or Property of such Person or a merger with or consolidation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such Person by the Borrower or a Restricted Subsidiary) as long as such Debt was not created in anticipation thereof;</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1874" w:val="left"/>
        </w:tabs>
        <w:numPr>
          <w:ilvl w:val="0"/>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Debt (i) under unsecured overdraft lines of credit or for working capital purposes in foreign countries with financial institutions and (ii) arising from the honoring by a bank or other Person of a check, draft or similar instrument inadvertently drawing against insufficient funds;</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837" w:val="left"/>
        </w:tabs>
        <w:numPr>
          <w:ilvl w:val="0"/>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Debt outstanding on the Twelfth Amendment Effective Date that immediately prior to such date was either (i) Debt of Energen at the time of the Energen Merger </w:t>
      </w:r>
      <w:r>
        <w:rPr>
          <w:rFonts w:ascii="Times New Roman" w:cs="Times New Roman" w:eastAsia="Times New Roman" w:hAnsi="Times New Roman"/>
          <w:sz w:val="18"/>
          <w:szCs w:val="18"/>
          <w:color w:val="FF0000"/>
          <w:strike w:val="1"/>
        </w:rPr>
        <w:t>and any Permitted Refinancing Debt in respect thereof</w:t>
      </w:r>
      <w:r>
        <w:rPr>
          <w:rFonts w:ascii="Times New Roman" w:cs="Times New Roman" w:eastAsia="Times New Roman" w:hAnsi="Times New Roman"/>
          <w:sz w:val="18"/>
          <w:szCs w:val="18"/>
          <w:color w:val="auto"/>
        </w:rPr>
        <w:t xml:space="preserve">, (ii) Debt of QEP at the time of the QEP Merger and </w:t>
      </w:r>
      <w:r>
        <w:rPr>
          <w:rFonts w:ascii="Times New Roman" w:cs="Times New Roman" w:eastAsia="Times New Roman" w:hAnsi="Times New Roman"/>
          <w:sz w:val="18"/>
          <w:szCs w:val="18"/>
          <w:color w:val="FF0000"/>
          <w:strike w:val="1"/>
        </w:rPr>
        <w:t>any 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Refinancing Debt in respect thereof and</w:t>
      </w:r>
      <w:r>
        <w:rPr>
          <w:rFonts w:ascii="Times New Roman" w:cs="Times New Roman" w:eastAsia="Times New Roman" w:hAnsi="Times New Roman"/>
          <w:sz w:val="18"/>
          <w:szCs w:val="18"/>
          <w:color w:val="000000"/>
        </w:rPr>
        <w:t>/or (iii) Debt of any Permitted Acquisition Target at the time of such Permitted Acquisition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 any Permitted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Refinancing Debt in respect thereof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in each case of the foregoing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sub-clauses (i)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such Debt was not incurred in connection with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merger or acquisition, as applicable;</w:t>
      </w:r>
    </w:p>
    <w:p>
      <w:pPr>
        <w:spacing w:after="0" w:line="183"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173" w:val="left"/>
        </w:tabs>
        <w:numPr>
          <w:ilvl w:val="0"/>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Extensions, refinancing, renewals,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replacements </w:t>
      </w:r>
      <w:r>
        <w:rPr>
          <w:rFonts w:ascii="Times New Roman" w:cs="Times New Roman" w:eastAsia="Times New Roman" w:hAnsi="Times New Roman"/>
          <w:sz w:val="18"/>
          <w:szCs w:val="18"/>
          <w:u w:val="single" w:color="auto"/>
          <w:color w:val="0000FF"/>
        </w:rPr>
        <w:t>or refundings</w:t>
      </w:r>
      <w:r>
        <w:rPr>
          <w:rFonts w:ascii="Times New Roman" w:cs="Times New Roman" w:eastAsia="Times New Roman" w:hAnsi="Times New Roman"/>
          <w:sz w:val="18"/>
          <w:szCs w:val="18"/>
          <w:color w:val="auto"/>
        </w:rPr>
        <w:t xml:space="preserve"> (and successive extensions, refinancing, renewals,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replacements </w:t>
      </w:r>
      <w:r>
        <w:rPr>
          <w:rFonts w:ascii="Times New Roman" w:cs="Times New Roman" w:eastAsia="Times New Roman" w:hAnsi="Times New Roman"/>
          <w:sz w:val="18"/>
          <w:szCs w:val="18"/>
          <w:u w:val="single" w:color="auto"/>
          <w:color w:val="0000FF"/>
        </w:rPr>
        <w:t>or refundings</w:t>
      </w:r>
      <w:r>
        <w:rPr>
          <w:rFonts w:ascii="Times New Roman" w:cs="Times New Roman" w:eastAsia="Times New Roman" w:hAnsi="Times New Roman"/>
          <w:sz w:val="18"/>
          <w:szCs w:val="18"/>
          <w:color w:val="auto"/>
        </w:rPr>
        <w:t xml:space="preserve">), in whole or in part, of the Debt permitted by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which, in the case of any such extension, refinancing, renewal,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replacement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 refunding</w:t>
      </w:r>
      <w:r>
        <w:rPr>
          <w:rFonts w:ascii="Times New Roman" w:cs="Times New Roman" w:eastAsia="Times New Roman" w:hAnsi="Times New Roman"/>
          <w:sz w:val="18"/>
          <w:szCs w:val="18"/>
          <w:color w:val="000000"/>
        </w:rPr>
        <w:t>, does not increase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principal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amount of the Debt being extended, refinanced, renewed,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replaced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 refunded</w:t>
      </w:r>
      <w:r>
        <w:rPr>
          <w:rFonts w:ascii="Times New Roman" w:cs="Times New Roman" w:eastAsia="Times New Roman" w:hAnsi="Times New Roman"/>
          <w:sz w:val="18"/>
          <w:szCs w:val="18"/>
          <w:color w:val="000000"/>
        </w:rPr>
        <w:t>, other than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amounts incurred to pay the </w:t>
      </w:r>
      <w:r>
        <w:rPr>
          <w:rFonts w:ascii="Times New Roman" w:cs="Times New Roman" w:eastAsia="Times New Roman" w:hAnsi="Times New Roman"/>
          <w:sz w:val="18"/>
          <w:szCs w:val="18"/>
          <w:u w:val="single" w:color="auto"/>
          <w:color w:val="0000FF"/>
        </w:rPr>
        <w:t>underwriting discounts,</w:t>
      </w:r>
      <w:r>
        <w:rPr>
          <w:rFonts w:ascii="Times New Roman" w:cs="Times New Roman" w:eastAsia="Times New Roman" w:hAnsi="Times New Roman"/>
          <w:sz w:val="18"/>
          <w:szCs w:val="18"/>
          <w:color w:val="000000"/>
        </w:rPr>
        <w:t xml:space="preserve"> costs </w:t>
      </w:r>
      <w:r>
        <w:rPr>
          <w:rFonts w:ascii="Times New Roman" w:cs="Times New Roman" w:eastAsia="Times New Roman" w:hAnsi="Times New Roman"/>
          <w:sz w:val="18"/>
          <w:szCs w:val="18"/>
          <w:color w:val="FF0000"/>
          <w:strike w:val="1"/>
        </w:rPr>
        <w:t>of</w:t>
      </w:r>
      <w:r>
        <w:rPr>
          <w:rFonts w:ascii="Times New Roman" w:cs="Times New Roman" w:eastAsia="Times New Roman" w:hAnsi="Times New Roman"/>
          <w:sz w:val="18"/>
          <w:szCs w:val="18"/>
          <w:u w:val="single" w:color="auto"/>
          <w:color w:val="0000FF"/>
        </w:rPr>
        <w:t>, commissions and other reasonable amounts paid, and fees and expenses (including upfront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fees, original issue discount or initial yield payments) incurred, in connection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extension, refinancing, renewal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replacement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refunding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pay interest and premium, if any, with respect to the Debt being extended, refinanced, renewed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replaced </w:t>
      </w:r>
      <w:r>
        <w:rPr>
          <w:rFonts w:ascii="Times New Roman" w:cs="Times New Roman" w:eastAsia="Times New Roman" w:hAnsi="Times New Roman"/>
          <w:sz w:val="18"/>
          <w:szCs w:val="18"/>
          <w:u w:val="single" w:color="auto"/>
          <w:color w:val="0000FF"/>
        </w:rPr>
        <w:t>or refunded</w:t>
      </w:r>
      <w:r>
        <w:rPr>
          <w:rFonts w:ascii="Times New Roman" w:cs="Times New Roman" w:eastAsia="Times New Roman" w:hAnsi="Times New Roman"/>
          <w:sz w:val="18"/>
          <w:szCs w:val="18"/>
          <w:color w:val="000000"/>
        </w:rPr>
        <w:t>; and</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5" w:name="page256"/>
    <w:bookmarkEnd w:id="255"/>
    <w:p>
      <w:pPr>
        <w:jc w:val="both"/>
        <w:ind w:firstLine="1304"/>
        <w:spacing w:after="0" w:line="266" w:lineRule="auto"/>
        <w:tabs>
          <w:tab w:leader="none" w:pos="1955" w:val="left"/>
        </w:tabs>
        <w:numPr>
          <w:ilvl w:val="0"/>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other Debt not otherwise permitted by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in a principal amount outstanding at the time of any incurrence thereof not to exceed fifteen percent (15.0%) of Consolidated Net Tangible Assets </w:t>
      </w:r>
      <w:r>
        <w:rPr>
          <w:rFonts w:ascii="Times New Roman" w:cs="Times New Roman" w:eastAsia="Times New Roman" w:hAnsi="Times New Roman"/>
          <w:sz w:val="18"/>
          <w:szCs w:val="18"/>
          <w:color w:val="FF0000"/>
          <w:strike w:val="1"/>
        </w:rPr>
        <w:t>(as reflected in Parent Guarantor’s consolidated balance sheet contained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 Parent Guarantor’s latest annual or quarterly consolidated financial statements available at the time such Debt is incurred)</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9.03 </w:t>
      </w:r>
      <w:r>
        <w:rPr>
          <w:rFonts w:ascii="Times New Roman" w:cs="Times New Roman" w:eastAsia="Times New Roman" w:hAnsi="Times New Roman"/>
          <w:sz w:val="18"/>
          <w:szCs w:val="18"/>
          <w:u w:val="single" w:color="auto"/>
          <w:color w:val="000000"/>
        </w:rPr>
        <w:t>Liens</w:t>
      </w:r>
      <w:r>
        <w:rPr>
          <w:rFonts w:ascii="Times New Roman" w:cs="Times New Roman" w:eastAsia="Times New Roman" w:hAnsi="Times New Roman"/>
          <w:sz w:val="18"/>
          <w:szCs w:val="18"/>
          <w:color w:val="000000"/>
        </w:rPr>
        <w:t>. The Parent Guarantor and the Borrower will not, and will not permit any of the Restricted Subsidiaries to, create, incur,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assume or permit to exist any Lien on any of their Properties (now owned or hereafter acquired), except:</w:t>
      </w:r>
    </w:p>
    <w:p>
      <w:pPr>
        <w:spacing w:after="0" w:line="162" w:lineRule="exact"/>
        <w:rPr>
          <w:sz w:val="20"/>
          <w:szCs w:val="20"/>
          <w:color w:val="auto"/>
        </w:rPr>
      </w:pPr>
    </w:p>
    <w:p>
      <w:pPr>
        <w:jc w:val="both"/>
        <w:ind w:firstLine="1304"/>
        <w:spacing w:after="0" w:line="266" w:lineRule="auto"/>
        <w:tabs>
          <w:tab w:leader="none" w:pos="1923"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Liens securing the payment of any Indebtedness created pursuant to any Loan Documents and (ii) Liens on cash or deposits granted in favor of the Issuing Bank or Swingline Lender to Cash Collateralize any Defaulting Lender’s participation in Letters of Credit or Swingline Loans.</w:t>
      </w:r>
    </w:p>
    <w:p>
      <w:pPr>
        <w:spacing w:after="0" w:line="175" w:lineRule="exact"/>
        <w:rPr>
          <w:rFonts w:ascii="Times New Roman" w:cs="Times New Roman" w:eastAsia="Times New Roman" w:hAnsi="Times New Roman"/>
          <w:sz w:val="18"/>
          <w:szCs w:val="18"/>
          <w:color w:val="010000"/>
        </w:rPr>
      </w:pPr>
    </w:p>
    <w:p>
      <w:pPr>
        <w:ind w:left="1820" w:hanging="516"/>
        <w:spacing w:after="0"/>
        <w:tabs>
          <w:tab w:leader="none" w:pos="1820"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Excepted Liens.</w:t>
      </w:r>
    </w:p>
    <w:p>
      <w:pPr>
        <w:spacing w:after="0" w:line="225" w:lineRule="exact"/>
        <w:rPr>
          <w:rFonts w:ascii="Times New Roman" w:cs="Times New Roman" w:eastAsia="Times New Roman" w:hAnsi="Times New Roman"/>
          <w:sz w:val="18"/>
          <w:szCs w:val="18"/>
          <w:color w:val="010000"/>
        </w:rPr>
      </w:pPr>
    </w:p>
    <w:p>
      <w:pPr>
        <w:ind w:left="2100" w:hanging="796"/>
        <w:spacing w:after="0"/>
        <w:tabs>
          <w:tab w:leader="none" w:pos="2100"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outstanding on the Investment Grade Changeover Date securing obligations that in the aggregate do not exceed</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$50,000,000.</w:t>
      </w:r>
    </w:p>
    <w:p>
      <w:pPr>
        <w:spacing w:after="0" w:line="206"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847"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other Liens upon Property not otherwise permitted by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(i) the aggregate Debt secured thereby and incurred on or after the Investment Grade Changeover Date (with Debt outstanding on the Investment Grade Changeover Date being deemed incurred on such date for purposes of this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 xml:space="preserve">) and outstanding at the time such Debt is incurred or such Lien is granted, shall not, at such time, exceed fifteen percent (15.0%) of Consolidated Net Tangible Assets </w:t>
      </w:r>
      <w:r>
        <w:rPr>
          <w:rFonts w:ascii="Times New Roman" w:cs="Times New Roman" w:eastAsia="Times New Roman" w:hAnsi="Times New Roman"/>
          <w:sz w:val="18"/>
          <w:szCs w:val="18"/>
          <w:color w:val="FF0000"/>
          <w:strike w:val="1"/>
        </w:rPr>
        <w:t>(as reflected in the Parent Guarantor’s consolidated balance sheet contained in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Guarantor’s latest annual or quarterly consolidated financial statements available at the time such Debt is incurred or such Lien is granted)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(ii)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Liens do not encumber or attach to any Equity Interest in a Restricted Subsidiary.</w:t>
      </w:r>
    </w:p>
    <w:p>
      <w:pPr>
        <w:spacing w:after="0" w:line="187" w:lineRule="exact"/>
        <w:rPr>
          <w:rFonts w:ascii="Times New Roman" w:cs="Times New Roman" w:eastAsia="Times New Roman" w:hAnsi="Times New Roman"/>
          <w:sz w:val="18"/>
          <w:szCs w:val="18"/>
          <w:color w:val="010000"/>
        </w:rPr>
      </w:pPr>
    </w:p>
    <w:p>
      <w:pPr>
        <w:ind w:left="1820" w:hanging="516"/>
        <w:spacing w:after="0"/>
        <w:tabs>
          <w:tab w:leader="none" w:pos="1820"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arising under an indenture in favor of the trustee thereunder for its own benefit and not for the benefit of the holders of Debt</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under such indenture.</w:t>
      </w:r>
    </w:p>
    <w:p>
      <w:pPr>
        <w:spacing w:after="0" w:line="206" w:lineRule="exact"/>
        <w:rPr>
          <w:rFonts w:ascii="Times New Roman" w:cs="Times New Roman" w:eastAsia="Times New Roman" w:hAnsi="Times New Roman"/>
          <w:sz w:val="18"/>
          <w:szCs w:val="18"/>
          <w:color w:val="010000"/>
        </w:rPr>
      </w:pPr>
    </w:p>
    <w:p>
      <w:pPr>
        <w:ind w:left="1840" w:hanging="536"/>
        <w:spacing w:after="0"/>
        <w:tabs>
          <w:tab w:leader="none" w:pos="1840"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cash, cash equivalents and other property arising in connection with the defeasance, discharge or redemption of Debt.</w:t>
      </w:r>
    </w:p>
    <w:p>
      <w:pPr>
        <w:spacing w:after="0" w:line="225" w:lineRule="exact"/>
        <w:rPr>
          <w:rFonts w:ascii="Times New Roman" w:cs="Times New Roman" w:eastAsia="Times New Roman" w:hAnsi="Times New Roman"/>
          <w:sz w:val="18"/>
          <w:szCs w:val="18"/>
          <w:color w:val="010000"/>
        </w:rPr>
      </w:pPr>
    </w:p>
    <w:p>
      <w:pPr>
        <w:ind w:left="1820" w:hanging="516"/>
        <w:spacing w:after="0"/>
        <w:tabs>
          <w:tab w:leader="none" w:pos="1820"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rFonts w:ascii="Times New Roman" w:cs="Times New Roman" w:eastAsia="Times New Roman" w:hAnsi="Times New Roman"/>
          <w:sz w:val="18"/>
          <w:szCs w:val="18"/>
          <w:color w:val="010000"/>
        </w:rPr>
      </w:pPr>
    </w:p>
    <w:p>
      <w:pPr>
        <w:ind w:right="20" w:firstLine="1304"/>
        <w:spacing w:after="0" w:line="282" w:lineRule="auto"/>
        <w:tabs>
          <w:tab w:leader="none" w:pos="1901"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Equity Interests in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shall not secure any Debt for which the Parent Guarantor, the Borrower, or any Restricted Subsidiary is liable, other than Customary Recourse Exceptions.</w:t>
      </w:r>
    </w:p>
    <w:p>
      <w:pPr>
        <w:spacing w:after="0" w:line="161" w:lineRule="exact"/>
        <w:rPr>
          <w:rFonts w:ascii="Times New Roman" w:cs="Times New Roman" w:eastAsia="Times New Roman" w:hAnsi="Times New Roman"/>
          <w:sz w:val="18"/>
          <w:szCs w:val="18"/>
          <w:color w:val="010000"/>
        </w:rPr>
      </w:pPr>
    </w:p>
    <w:p>
      <w:pPr>
        <w:ind w:left="1980" w:hanging="676"/>
        <w:spacing w:after="0"/>
        <w:tabs>
          <w:tab w:leader="none" w:pos="1980" w:val="left"/>
        </w:tabs>
        <w:numPr>
          <w:ilvl w:val="0"/>
          <w:numId w:val="2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assets of QEP at the time of the QEP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incurred in connection with such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merger.</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6" w:name="page257"/>
    <w:bookmarkEnd w:id="256"/>
    <w:p>
      <w:pPr>
        <w:ind w:left="1860" w:hanging="556"/>
        <w:spacing w:after="0"/>
        <w:tabs>
          <w:tab w:leader="none" w:pos="1860"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or purported Liens in favor of or for the benefit of a DrillCo Party to the extent that such Liens or purported Liens are only</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DrillCo Properties.</w:t>
      </w:r>
    </w:p>
    <w:p>
      <w:pPr>
        <w:spacing w:after="0" w:line="206" w:lineRule="exact"/>
        <w:rPr>
          <w:rFonts w:ascii="Times New Roman" w:cs="Times New Roman" w:eastAsia="Times New Roman" w:hAnsi="Times New Roman"/>
          <w:sz w:val="18"/>
          <w:szCs w:val="18"/>
          <w:color w:val="010000"/>
        </w:rPr>
      </w:pPr>
    </w:p>
    <w:p>
      <w:pPr>
        <w:ind w:left="1820" w:hanging="516"/>
        <w:spacing w:after="0"/>
        <w:tabs>
          <w:tab w:leader="none" w:pos="1820"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Qualified Midstream Assets or on Equity Interests in Qualified Midstream Persons.</w:t>
      </w:r>
    </w:p>
    <w:p>
      <w:pPr>
        <w:spacing w:after="0" w:line="225" w:lineRule="exact"/>
        <w:rPr>
          <w:rFonts w:ascii="Times New Roman" w:cs="Times New Roman" w:eastAsia="Times New Roman" w:hAnsi="Times New Roman"/>
          <w:sz w:val="18"/>
          <w:szCs w:val="18"/>
          <w:color w:val="010000"/>
        </w:rPr>
      </w:pPr>
    </w:p>
    <w:p>
      <w:pPr>
        <w:ind w:left="1840" w:hanging="536"/>
        <w:spacing w:after="0"/>
        <w:tabs>
          <w:tab w:leader="none" w:pos="1840"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assets of Energen at the time of the Energen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incurred in connection with such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merger.</w:t>
      </w:r>
    </w:p>
    <w:p>
      <w:pPr>
        <w:spacing w:after="0" w:line="206"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93"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assets </w:t>
      </w:r>
      <w:r>
        <w:rPr>
          <w:rFonts w:ascii="Times New Roman" w:cs="Times New Roman" w:eastAsia="Times New Roman" w:hAnsi="Times New Roman"/>
          <w:sz w:val="18"/>
          <w:szCs w:val="18"/>
          <w:u w:val="single" w:color="auto"/>
          <w:color w:val="0000FF"/>
        </w:rPr>
        <w:t>(or on improvements, repairs, additions attachments or accessions thereto, parts, replacements and substitutions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therefor, and products and proceeds thereof)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any Permitted Acquisition Target at the time of such Permitted Acquisition;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such Liens were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not incurred in connection with such acquisition.</w:t>
      </w:r>
    </w:p>
    <w:p>
      <w:pPr>
        <w:spacing w:after="0" w:line="175"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847"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that exist </w:t>
      </w:r>
      <w:r>
        <w:rPr>
          <w:rFonts w:ascii="Times New Roman" w:cs="Times New Roman" w:eastAsia="Times New Roman" w:hAnsi="Times New Roman"/>
          <w:sz w:val="18"/>
          <w:szCs w:val="18"/>
          <w:color w:val="FF0000"/>
          <w:strike w:val="1"/>
        </w:rPr>
        <w:t>prior to the time of acquisition</w:t>
      </w:r>
      <w:r>
        <w:rPr>
          <w:rFonts w:ascii="Times New Roman" w:cs="Times New Roman" w:eastAsia="Times New Roman" w:hAnsi="Times New Roman"/>
          <w:sz w:val="18"/>
          <w:szCs w:val="18"/>
          <w:color w:val="auto"/>
        </w:rPr>
        <w:t xml:space="preserve"> upon any Property </w:t>
      </w:r>
      <w:r>
        <w:rPr>
          <w:rFonts w:ascii="Times New Roman" w:cs="Times New Roman" w:eastAsia="Times New Roman" w:hAnsi="Times New Roman"/>
          <w:sz w:val="18"/>
          <w:szCs w:val="18"/>
          <w:color w:val="FF0000"/>
          <w:strike w:val="1"/>
        </w:rPr>
        <w:t>acquired by</w:t>
      </w:r>
      <w:r>
        <w:rPr>
          <w:rFonts w:ascii="Times New Roman" w:cs="Times New Roman" w:eastAsia="Times New Roman" w:hAnsi="Times New Roman"/>
          <w:sz w:val="18"/>
          <w:szCs w:val="18"/>
          <w:u w:val="single" w:color="auto"/>
          <w:color w:val="0000FF"/>
        </w:rPr>
        <w:t>that becomes Property of</w:t>
      </w:r>
      <w:r>
        <w:rPr>
          <w:rFonts w:ascii="Times New Roman" w:cs="Times New Roman" w:eastAsia="Times New Roman" w:hAnsi="Times New Roman"/>
          <w:sz w:val="18"/>
          <w:szCs w:val="18"/>
          <w:color w:val="auto"/>
        </w:rPr>
        <w:t xml:space="preserve"> the Parent Guarantor</w:t>
      </w:r>
      <w:r>
        <w:rPr>
          <w:rFonts w:ascii="Times New Roman" w:cs="Times New Roman" w:eastAsia="Times New Roman" w:hAnsi="Times New Roman"/>
          <w:sz w:val="18"/>
          <w:szCs w:val="18"/>
          <w:u w:val="single" w:color="auto"/>
          <w:color w:val="0000FF"/>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 Restricted Subsidiary (including Liens on Property of any Person at the time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(x) such Person is re-designated a Restricted Subsidiary or (y)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acquisition of the Equity Interests or Property of such Person or a merger with or consolidation with such Person by the Parent Guarantor</w:t>
      </w:r>
      <w:r>
        <w:rPr>
          <w:rFonts w:ascii="Times New Roman" w:cs="Times New Roman" w:eastAsia="Times New Roman" w:hAnsi="Times New Roman"/>
          <w:sz w:val="18"/>
          <w:szCs w:val="18"/>
          <w:u w:val="single" w:color="auto"/>
          <w:color w:val="0000FF"/>
        </w:rPr>
        <w:t>,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 Restricted Subsidiary);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(i) the Liens shall attach solely to the Property so acquired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of the Equity Interests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Person so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acquired, merged, or consolidated) and all improvements, repairs, additions, attachments and accessions thereto, parts, replacements and substitutions therefor, and products and proceeds thereof, and (ii) in the case of Liens securing Debt for borrowed money, the aggregate principal amount of all such Debt of Restricted Subsidiaries that are not Guarantors secured by such Liens shall be permitted by the limitations set forth in </w:t>
      </w:r>
      <w:r>
        <w:rPr>
          <w:rFonts w:ascii="Times New Roman" w:cs="Times New Roman" w:eastAsia="Times New Roman" w:hAnsi="Times New Roman"/>
          <w:sz w:val="18"/>
          <w:szCs w:val="18"/>
          <w:u w:val="single" w:color="auto"/>
          <w:color w:val="000000"/>
        </w:rPr>
        <w:t>Section 9.02</w:t>
      </w:r>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820"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securing Debt of the Parent Guarantor</w:t>
      </w:r>
      <w:r>
        <w:rPr>
          <w:rFonts w:ascii="Times New Roman" w:cs="Times New Roman" w:eastAsia="Times New Roman" w:hAnsi="Times New Roman"/>
          <w:sz w:val="18"/>
          <w:szCs w:val="18"/>
          <w:u w:val="single" w:color="auto"/>
          <w:color w:val="0000FF"/>
        </w:rPr>
        <w:t>, the Borrower</w:t>
      </w:r>
      <w:r>
        <w:rPr>
          <w:rFonts w:ascii="Times New Roman" w:cs="Times New Roman" w:eastAsia="Times New Roman" w:hAnsi="Times New Roman"/>
          <w:sz w:val="18"/>
          <w:szCs w:val="18"/>
          <w:color w:val="auto"/>
        </w:rPr>
        <w:t xml:space="preserve"> or the Restricted Subsidiaries incurred to finance (including, to extend, refinance, renew or replace, in whole or in part) the acquisition</w:t>
      </w:r>
      <w:r>
        <w:rPr>
          <w:rFonts w:ascii="Times New Roman" w:cs="Times New Roman" w:eastAsia="Times New Roman" w:hAnsi="Times New Roman"/>
          <w:sz w:val="18"/>
          <w:szCs w:val="18"/>
          <w:u w:val="single" w:color="auto"/>
          <w:color w:val="0000FF"/>
        </w:rPr>
        <w:t>, design</w:t>
      </w:r>
      <w:r>
        <w:rPr>
          <w:rFonts w:ascii="Times New Roman" w:cs="Times New Roman" w:eastAsia="Times New Roman" w:hAnsi="Times New Roman"/>
          <w:sz w:val="18"/>
          <w:szCs w:val="18"/>
          <w:color w:val="auto"/>
        </w:rPr>
        <w:t xml:space="preserve">, construction, </w:t>
      </w:r>
      <w:r>
        <w:rPr>
          <w:rFonts w:ascii="Times New Roman" w:cs="Times New Roman" w:eastAsia="Times New Roman" w:hAnsi="Times New Roman"/>
          <w:sz w:val="18"/>
          <w:szCs w:val="18"/>
          <w:u w:val="single" w:color="auto"/>
          <w:color w:val="0000FF"/>
        </w:rPr>
        <w:t>installation, repair, alteration, replacement, expansion</w:t>
      </w:r>
      <w:r>
        <w:rPr>
          <w:rFonts w:ascii="Times New Roman" w:cs="Times New Roman" w:eastAsia="Times New Roman" w:hAnsi="Times New Roman"/>
          <w:sz w:val="18"/>
          <w:szCs w:val="18"/>
          <w:color w:val="auto"/>
        </w:rPr>
        <w:t xml:space="preserve"> or improvement, or capital lease of Property (including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that such Debt is incurred or such Lien is granted, the amount of such Debt shall not exceed the purchase price and costs, as applicable, of acquisition, </w:t>
      </w:r>
      <w:r>
        <w:rPr>
          <w:rFonts w:ascii="Times New Roman" w:cs="Times New Roman" w:eastAsia="Times New Roman" w:hAnsi="Times New Roman"/>
          <w:sz w:val="18"/>
          <w:szCs w:val="18"/>
          <w:u w:val="single" w:color="auto"/>
          <w:color w:val="0000FF"/>
        </w:rPr>
        <w:t>design,</w:t>
      </w:r>
      <w:r>
        <w:rPr>
          <w:rFonts w:ascii="Times New Roman" w:cs="Times New Roman" w:eastAsia="Times New Roman" w:hAnsi="Times New Roman"/>
          <w:sz w:val="18"/>
          <w:szCs w:val="18"/>
          <w:color w:val="auto"/>
        </w:rPr>
        <w:t xml:space="preserve"> construction, </w:t>
      </w:r>
      <w:r>
        <w:rPr>
          <w:rFonts w:ascii="Times New Roman" w:cs="Times New Roman" w:eastAsia="Times New Roman" w:hAnsi="Times New Roman"/>
          <w:sz w:val="18"/>
          <w:szCs w:val="18"/>
          <w:u w:val="single" w:color="auto"/>
          <w:color w:val="0000FF"/>
        </w:rPr>
        <w:t>installation, repair, alteration,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expansion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improvement, or financing (including, extensions, refinancings, renewals and replacements, in whole or in part) of the Property financed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all fees, costs and expenses relating thereto, including attorney and legal, accounting, expert, and professional advisor fees and expenses, and, in the case of an extension, refinancing, renewal or replacement of Debt, all interest on and premium in respect of the extended, refinanced, renewed or replaced Debt.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9.04 </w:t>
      </w:r>
      <w:r>
        <w:rPr>
          <w:rFonts w:ascii="Times New Roman" w:cs="Times New Roman" w:eastAsia="Times New Roman" w:hAnsi="Times New Roman"/>
          <w:sz w:val="18"/>
          <w:szCs w:val="18"/>
          <w:u w:val="single" w:color="auto"/>
          <w:color w:val="000000"/>
        </w:rPr>
        <w:t>Proceeds of Loans</w:t>
      </w:r>
      <w:r>
        <w:rPr>
          <w:rFonts w:ascii="Times New Roman" w:cs="Times New Roman" w:eastAsia="Times New Roman" w:hAnsi="Times New Roman"/>
          <w:sz w:val="18"/>
          <w:szCs w:val="18"/>
          <w:color w:val="000000"/>
        </w:rPr>
        <w:t>. The Parent Guarantor and the Borrower will not permit the proceeds of the Loans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and the Letters of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be used for any purpose other than those permitted by </w:t>
      </w:r>
      <w:r>
        <w:rPr>
          <w:rFonts w:ascii="Times New Roman" w:cs="Times New Roman" w:eastAsia="Times New Roman" w:hAnsi="Times New Roman"/>
          <w:sz w:val="18"/>
          <w:szCs w:val="18"/>
          <w:u w:val="single" w:color="auto"/>
          <w:color w:val="000000"/>
        </w:rPr>
        <w:t>Section 7.12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Neither the Borrower nor any Person acting on behalf of the Borrower has taken or will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take any action which might cause any of the Loan Documents to violate Regulations T, U or X or any other regulation of the Board or to violate Section 7 of the Securities Exchange Act of 1934 or any rule or regulation thereunder, in each case as now in effect or as the same may hereinafter be in effect. If requested by the Administrative Agent, the Borrower will furnish to the Administrative Agent and each Lender a statement to the foregoing effect in conformity with the requirements of FR Form U-1 or such other form referred to in Regulation U, Regulation T or Regulation X of the Board, as the case may be. </w:t>
      </w:r>
      <w:r>
        <w:rPr>
          <w:rFonts w:ascii="Times New Roman" w:cs="Times New Roman" w:eastAsia="Times New Roman" w:hAnsi="Times New Roman"/>
          <w:sz w:val="18"/>
          <w:szCs w:val="18"/>
          <w:color w:val="000000"/>
          <w:strike w:val="1"/>
        </w:rPr>
        <w:t>The Borrower will not request any Borrowing or Letter of Credit, and the Borrower shall not use, and shall procure that the Subsidiaries and its 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their respective directors, officers, employees and agents acting in their respective capacities as such shall not use, the proceeds of any Borrowing or Letter of Credit (a) in furtherance of an offer, payment, promise to pay, or authorization of the payment or giving of money, or anything else of value, to any Person in violation of any applicable Anti-Corruption Laws or any Anti-Money Laundering Laws in any material respect, (b) for the purpose of funding, financing or facilitating any activities, business or transaction of or with any Sanctioned Person, or involving any Sanctioned Country in each case, in violation of Sanctions or (c) in any manner that would knowingly result in the violation of any Sanctions.</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7" w:name="page258"/>
    <w:bookmarkEnd w:id="257"/>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9.05 </w:t>
      </w:r>
      <w:r>
        <w:rPr>
          <w:rFonts w:ascii="Times New Roman" w:cs="Times New Roman" w:eastAsia="Times New Roman" w:hAnsi="Times New Roman"/>
          <w:sz w:val="18"/>
          <w:szCs w:val="18"/>
          <w:u w:val="single" w:color="auto"/>
          <w:color w:val="000000"/>
        </w:rPr>
        <w:t>Mergers,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Neither the Parent Guarantor nor the Borrower will merge into or with or consolidate with any other Person, or sell,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lease or otherwise dispose of (whether in one transaction or in a series of transactions) all or substantially all of its Property to any other Person, except (a) the Parent Guarantor may merge or consolidate with, or sell, lease or otherwise dispose of all or substantially all of its Property to the Borrower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and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Borrower may merge or consolidate with, or sell, lease or otherwise dispose of all or substantially all of its Property to the Parent Guarantor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mergers used to consummate Permitted Acquisitions shall be permitted, in each instance, if (i) in the case of a merger involving the Parent Guarantor, the Parent Guarantor is the surviving entity (or, if such merger involves the Borrower, as permitted under clause (b)(ii)) and (ii) in the case of a merger involving the Borrower, either (A) the Borrower is the surviving entity or (B) the Person formed by such consolidation or into which the Borrower is merged or the Person which acquires by sale, lease or other disposition, all or substantially all of the assets of the Borrower (1) shall be a </w:t>
      </w:r>
      <w:r>
        <w:rPr>
          <w:rFonts w:ascii="Times New Roman" w:cs="Times New Roman" w:eastAsia="Times New Roman" w:hAnsi="Times New Roman"/>
          <w:sz w:val="18"/>
          <w:szCs w:val="18"/>
          <w:color w:val="FF0000"/>
          <w:strike w:val="1"/>
        </w:rPr>
        <w:t>corporation,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partnership, limited liability company or trust</w:t>
      </w:r>
      <w:r>
        <w:rPr>
          <w:rFonts w:ascii="Times New Roman" w:cs="Times New Roman" w:eastAsia="Times New Roman" w:hAnsi="Times New Roman"/>
          <w:sz w:val="18"/>
          <w:szCs w:val="18"/>
          <w:u w:val="single" w:color="auto"/>
          <w:color w:val="0000FF"/>
        </w:rPr>
        <w:t>Person (other than a natural person)</w:t>
      </w:r>
      <w:r>
        <w:rPr>
          <w:rFonts w:ascii="Times New Roman" w:cs="Times New Roman" w:eastAsia="Times New Roman" w:hAnsi="Times New Roman"/>
          <w:sz w:val="18"/>
          <w:szCs w:val="18"/>
          <w:color w:val="000000"/>
        </w:rPr>
        <w:t>, (2) shall be organized and existing under the laws of the United States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America, any State thereof or the District of Columbia, (3) shall have Index Debt rated “investment grade” (i.e., an Index Debt rating from Moody’s of Baa3 or better, S&amp;P of BBB- or better, and/or Fitch of BBB- or better) by at least two of the three Rating Agencies, (4) shall expressly assume, by an agreement supplemental hereto, executed and delivered to the Administrative Agent, in form satisfactory to the Administrative Agent, the obligations of the Borrower hereunder, including the due and punctual payment of the principal of and interest on all the Loans (and other Indebtedness) and the performance of every covenant of this Agreement on the part of the Borrower to be performed or observed under this Agreement, the Guaranty Agreement, and the other Loan Documents (and thereafter, such Person shall succeed to, and be substituted for, the Borrower under this Agreement and the other Loan Documents),</w:t>
      </w:r>
    </w:p>
    <w:p>
      <w:pPr>
        <w:spacing w:after="0" w:line="11" w:lineRule="exact"/>
        <w:rPr>
          <w:sz w:val="20"/>
          <w:szCs w:val="20"/>
          <w:color w:val="auto"/>
        </w:rPr>
      </w:pPr>
    </w:p>
    <w:p>
      <w:pPr>
        <w:jc w:val="both"/>
        <w:ind w:firstLine="8"/>
        <w:spacing w:after="0" w:line="252" w:lineRule="auto"/>
        <w:tabs>
          <w:tab w:leader="none" w:pos="25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provided at least ten (10) Business Days’ written notice prior to the effectiveness of such transaction contemplated by this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xml:space="preserve">, (6) the Borrower shall have provided to the Administrative Agent and each Lender all information and documentation reasonably requested by the Administrative Agent and such Lenders in connection with such transaction, including customary officers’ certificates, resolutions, legal opinions, and, with respect to such Person, for purposes of compliance with applicable “know your customer” requirements under the USA </w:t>
      </w:r>
      <w:r>
        <w:rPr>
          <w:rFonts w:ascii="Times New Roman" w:cs="Times New Roman" w:eastAsia="Times New Roman" w:hAnsi="Times New Roman"/>
          <w:sz w:val="18"/>
          <w:szCs w:val="18"/>
          <w:color w:val="FF0000"/>
          <w:strike w:val="1"/>
        </w:rPr>
        <w:t>Patriot</w:t>
      </w:r>
      <w:r>
        <w:rPr>
          <w:rFonts w:ascii="Times New Roman" w:cs="Times New Roman" w:eastAsia="Times New Roman" w:hAnsi="Times New Roman"/>
          <w:sz w:val="18"/>
          <w:szCs w:val="18"/>
          <w:u w:val="single" w:color="auto"/>
          <w:color w:val="0000FF"/>
        </w:rPr>
        <w:t>PATRIOT</w:t>
      </w:r>
      <w:r>
        <w:rPr>
          <w:rFonts w:ascii="Times New Roman" w:cs="Times New Roman" w:eastAsia="Times New Roman" w:hAnsi="Times New Roman"/>
          <w:sz w:val="18"/>
          <w:szCs w:val="18"/>
          <w:color w:val="auto"/>
        </w:rPr>
        <w:t xml:space="preserve"> Act or other applicable Anti-Money Laundering Laws, and the Beneficial Ownership Regulation, and (7) no Default or Event of Default shall have occurred and be continuing</w:t>
      </w:r>
      <w:r>
        <w:rPr>
          <w:rFonts w:ascii="Times New Roman" w:cs="Times New Roman" w:eastAsia="Times New Roman" w:hAnsi="Times New Roman"/>
          <w:sz w:val="18"/>
          <w:szCs w:val="18"/>
          <w:color w:val="FF0000"/>
          <w:strike w:val="1"/>
        </w:rPr>
        <w:t>, (c) the consummation of the Permitted Borrower Changeover Transaction shall be permitted, and (d) for the avoidance of doubt, Energen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(including its Subsidiaries) may merge with and into Diamondback E&amp;P if Diamondback E&amp;P is the surviving entity</w:t>
      </w:r>
      <w:r>
        <w:rPr>
          <w:rFonts w:ascii="Times New Roman" w:cs="Times New Roman" w:eastAsia="Times New Roman" w:hAnsi="Times New Roman"/>
          <w:sz w:val="18"/>
          <w:szCs w:val="18"/>
          <w:color w:val="000000"/>
        </w:rPr>
        <w:t>.</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8" w:name="page259"/>
    <w:bookmarkEnd w:id="258"/>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9.06</w:t>
      </w:r>
      <w:r>
        <w:rPr>
          <w:sz w:val="20"/>
          <w:szCs w:val="20"/>
          <w:color w:val="auto"/>
        </w:rPr>
        <w:tab/>
      </w:r>
      <w:r>
        <w:rPr>
          <w:rFonts w:ascii="Times New Roman" w:cs="Times New Roman" w:eastAsia="Times New Roman" w:hAnsi="Times New Roman"/>
          <w:sz w:val="17"/>
          <w:szCs w:val="17"/>
          <w:u w:val="single" w:color="auto"/>
          <w:color w:val="auto"/>
        </w:rPr>
        <w:t>Designation of Restricted and Unrestricted Subsidiaries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972" w:val="left"/>
        </w:tabs>
        <w:numPr>
          <w:ilvl w:val="0"/>
          <w:numId w:val="2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Unless designated as an Unrestricted Subsidiary in compliance with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Person that becomes a Subsidiary of the Borrower or any of its Restricted Subsidiaries shall be classified as a Restricted Subsidiary.</w:t>
      </w:r>
    </w:p>
    <w:p>
      <w:pPr>
        <w:spacing w:after="0" w:line="161"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888" w:val="left"/>
        </w:tabs>
        <w:numPr>
          <w:ilvl w:val="0"/>
          <w:numId w:val="2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designate by written notification thereof to the Administrative Agent, any Restricted Subsidiary, including a newly or to be formed or newly or to be acquired Subsidiary, as an Unrestricted Subsidiary if (i) immediately after giving effect to such designation, (1) no Default or Event of Default would exist (and the Parent Guarantor shall be in compliance, on a pro forma basis, with the covenant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(2) the representations and warranties of each Loan Party contained in each of the Loan Documents (other the representations and warranties contained in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are true and correct in all material respects (or, if already qualified by materiality, Material Adverse Effect or a similar qualification, true and correct in all respects) as if made on and as of the date of such designation (or, if stated to have been made expressly as of an earlier date, were true and correct in all material respects (or, if already qualified by materiality, Material Adverse Effect or a similar qualification, true and correct in all respects) as of such earlier date), and (ii) such </w:t>
      </w:r>
      <w:r>
        <w:rPr>
          <w:rFonts w:ascii="Times New Roman" w:cs="Times New Roman" w:eastAsia="Times New Roman" w:hAnsi="Times New Roman"/>
          <w:sz w:val="18"/>
          <w:szCs w:val="18"/>
          <w:color w:val="FF0000"/>
          <w:strike w:val="1"/>
        </w:rPr>
        <w:t>Restricted Subsidiary</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auto"/>
        </w:rPr>
        <w:t xml:space="preserve"> is not a restricted subsidiary under any other agreement evidencing Debt of the Borrower or any Guarantor. Except as provided in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no Restricted Subsidiary may be designated as an Unrestricted Subsidiary.</w:t>
      </w:r>
    </w:p>
    <w:p>
      <w:pPr>
        <w:spacing w:after="0" w:line="188"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851" w:val="left"/>
        </w:tabs>
        <w:numPr>
          <w:ilvl w:val="0"/>
          <w:numId w:val="2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designate any Unrestricted Subsidiary to be a Restricted Subsidiary if immediately after giving effect to such designation, (i) the representations and warranties of the Borrower and its Restricted Subsidiaries contained in each of the Loan Documents are true and correct in all material respects on and as of such date as if made on and as of the date of such redesignation (or, if stated to have been made expressly as of an earlier date, were true and correct in all material respects as of such date), (ii) no Default or Event of Default exists, (iii) the Borrower complies with the requirements of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(iv) the Borrower and/or one or more Restricted Subsidiaries owns all of the Equity Interests in such Subsidiary.</w:t>
      </w:r>
    </w:p>
    <w:p>
      <w:pPr>
        <w:spacing w:after="0" w:line="183" w:lineRule="exact"/>
        <w:rPr>
          <w:rFonts w:ascii="Times New Roman" w:cs="Times New Roman" w:eastAsia="Times New Roman" w:hAnsi="Times New Roman"/>
          <w:sz w:val="18"/>
          <w:szCs w:val="18"/>
          <w:color w:val="010000"/>
        </w:rPr>
      </w:pPr>
    </w:p>
    <w:p>
      <w:pPr>
        <w:ind w:left="1820" w:hanging="516"/>
        <w:spacing w:after="0"/>
        <w:tabs>
          <w:tab w:leader="none" w:pos="1820" w:val="left"/>
        </w:tabs>
        <w:numPr>
          <w:ilvl w:val="0"/>
          <w:numId w:val="2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Subsidiary of an Unrestricted Subsidiary shall automatically be designated as an Unrestricted Subsidiary.</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851" w:val="left"/>
        </w:tabs>
        <w:numPr>
          <w:ilvl w:val="0"/>
          <w:numId w:val="2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designation of a Restricted Subsidiary as an Unrestricted Subsidiary in compliance with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such Subsidiary shall be automatically released from all obligations, if any, under the Loan Documents, including the Guaranty Agreement.</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71" w:val="left"/>
        </w:tabs>
        <w:numPr>
          <w:ilvl w:val="0"/>
          <w:numId w:val="2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w:t>
      </w:r>
      <w:r>
        <w:rPr>
          <w:rFonts w:ascii="Times New Roman" w:cs="Times New Roman" w:eastAsia="Times New Roman" w:hAnsi="Times New Roman"/>
          <w:sz w:val="18"/>
          <w:szCs w:val="18"/>
          <w:color w:val="FF0000"/>
          <w:strike w:val="1"/>
        </w:rPr>
        <w:t>Twelfth</w:t>
      </w:r>
      <w:r>
        <w:rPr>
          <w:rFonts w:ascii="Times New Roman" w:cs="Times New Roman" w:eastAsia="Times New Roman" w:hAnsi="Times New Roman"/>
          <w:sz w:val="18"/>
          <w:szCs w:val="18"/>
          <w:u w:val="single" w:color="auto"/>
          <w:color w:val="0000FF"/>
        </w:rPr>
        <w:t>Fourteenth</w:t>
      </w:r>
      <w:r>
        <w:rPr>
          <w:rFonts w:ascii="Times New Roman" w:cs="Times New Roman" w:eastAsia="Times New Roman" w:hAnsi="Times New Roman"/>
          <w:sz w:val="18"/>
          <w:szCs w:val="18"/>
          <w:color w:val="auto"/>
        </w:rPr>
        <w:t xml:space="preserve"> Amendment Effective Date, each of the Rattler Entities and each of the Viper Entities has been designated by the Borrower as an Unrestricted Subsidiary in compliance with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constitutes an Unrestricted Subsidiary.</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REMEDIES</w:t>
      </w:r>
    </w:p>
    <w:p>
      <w:pPr>
        <w:spacing w:after="0" w:line="20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10.01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One or more of the following events shall constitute an “Event of Default”:</w:t>
      </w:r>
    </w:p>
    <w:p>
      <w:pPr>
        <w:spacing w:after="0" w:line="225" w:lineRule="exact"/>
        <w:rPr>
          <w:sz w:val="20"/>
          <w:szCs w:val="20"/>
          <w:color w:val="auto"/>
        </w:rPr>
      </w:pPr>
    </w:p>
    <w:p>
      <w:pPr>
        <w:ind w:right="20" w:firstLine="1304"/>
        <w:spacing w:after="0" w:line="282" w:lineRule="auto"/>
        <w:tabs>
          <w:tab w:leader="none" w:pos="1810" w:val="left"/>
        </w:tabs>
        <w:numPr>
          <w:ilvl w:val="0"/>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whether at the due date thereof or at a date fixed for prepayment thereof, by acceleration or otherwise.</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20" w:val="left"/>
        </w:tabs>
        <w:numPr>
          <w:ilvl w:val="0"/>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10.01(a)</w:t>
      </w:r>
      <w:r>
        <w:rPr>
          <w:rFonts w:ascii="Times New Roman" w:cs="Times New Roman" w:eastAsia="Times New Roman" w:hAnsi="Times New Roman"/>
          <w:sz w:val="18"/>
          <w:szCs w:val="18"/>
          <w:color w:val="auto"/>
        </w:rPr>
        <w:t xml:space="preserve">) payable under any Loan Document, when and as the same shall become due and payable, and such failure shall continue unremedied for a period of </w:t>
      </w:r>
      <w:r>
        <w:rPr>
          <w:rFonts w:ascii="Times New Roman" w:cs="Times New Roman" w:eastAsia="Times New Roman" w:hAnsi="Times New Roman"/>
          <w:sz w:val="18"/>
          <w:szCs w:val="18"/>
          <w:color w:val="FF0000"/>
          <w:strike w:val="1"/>
        </w:rPr>
        <w:t>three</w:t>
      </w:r>
      <w:r>
        <w:rPr>
          <w:rFonts w:ascii="Times New Roman" w:cs="Times New Roman" w:eastAsia="Times New Roman" w:hAnsi="Times New Roman"/>
          <w:sz w:val="18"/>
          <w:szCs w:val="18"/>
          <w:u w:val="single" w:color="auto"/>
          <w:color w:val="0000FF"/>
        </w:rPr>
        <w:t>five</w:t>
      </w:r>
      <w:r>
        <w:rPr>
          <w:rFonts w:ascii="Times New Roman" w:cs="Times New Roman" w:eastAsia="Times New Roman" w:hAnsi="Times New Roman"/>
          <w:sz w:val="18"/>
          <w:szCs w:val="18"/>
          <w:color w:val="auto"/>
        </w:rPr>
        <w:t xml:space="preserve"> Business Days.</w:t>
      </w:r>
    </w:p>
    <w:p>
      <w:pPr>
        <w:spacing w:after="0" w:line="17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891" w:val="left"/>
        </w:tabs>
        <w:numPr>
          <w:ilvl w:val="0"/>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representation or warranty made or deemed made by or on behalf of the Parent Guarantor, the Borrower or any Restricted Subsidiary in or in connection with any Loan Document or any amendment or modification of any Loan Document or waiver under such Loan Document, or in any report, certificate, financial statement or other document furnished pursuant to </w:t>
      </w:r>
      <w:r>
        <w:rPr>
          <w:rFonts w:ascii="Times New Roman" w:cs="Times New Roman" w:eastAsia="Times New Roman" w:hAnsi="Times New Roman"/>
          <w:sz w:val="18"/>
          <w:szCs w:val="18"/>
          <w:color w:val="FF0000"/>
          <w:strike w:val="1"/>
        </w:rPr>
        <w:t>or in connection with any Loan Document or any amendment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modification thereof or waiver thereunder</w:t>
      </w:r>
      <w:r>
        <w:rPr>
          <w:rFonts w:ascii="Times New Roman" w:cs="Times New Roman" w:eastAsia="Times New Roman" w:hAnsi="Times New Roman"/>
          <w:sz w:val="18"/>
          <w:szCs w:val="18"/>
          <w:u w:val="single" w:color="auto"/>
          <w:color w:val="0000FF"/>
        </w:rPr>
        <w:t>Section 8.01</w:t>
      </w:r>
      <w:r>
        <w:rPr>
          <w:rFonts w:ascii="Times New Roman" w:cs="Times New Roman" w:eastAsia="Times New Roman" w:hAnsi="Times New Roman"/>
          <w:sz w:val="18"/>
          <w:szCs w:val="18"/>
          <w:color w:val="000000"/>
        </w:rPr>
        <w:t>, shall prove to have been materially incorrect when made or deemed made (or, if already qualified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by materiality, Material Adverse Effect or a similar qualification, true and correct in all respects)</w:t>
      </w:r>
      <w:r>
        <w:rPr>
          <w:rFonts w:ascii="Times New Roman" w:cs="Times New Roman" w:eastAsia="Times New Roman" w:hAnsi="Times New Roman"/>
          <w:sz w:val="18"/>
          <w:szCs w:val="18"/>
          <w:u w:val="single" w:color="auto"/>
          <w:color w:val="0000FF"/>
        </w:rPr>
        <w:t>, unless, if such misstatement (and the effect thereof)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capable of being cured, such Person cures such misstatement (and any effect thereof) within thirty (30) days of such Person obtaining knowledge thereof</w:t>
      </w:r>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010000"/>
        </w:rPr>
      </w:pPr>
    </w:p>
    <w:p>
      <w:pPr>
        <w:ind w:firstLine="1304"/>
        <w:spacing w:after="0" w:line="282" w:lineRule="auto"/>
        <w:tabs>
          <w:tab w:leader="none" w:pos="1969" w:val="left"/>
        </w:tabs>
        <w:numPr>
          <w:ilvl w:val="0"/>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or any Restricted Subsidiary shall fail to observe or perform any covenant, condition or agreement contained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(solely with respect to legal existence)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05" w:val="left"/>
        </w:tabs>
        <w:numPr>
          <w:ilvl w:val="0"/>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or any </w:t>
      </w:r>
      <w:r>
        <w:rPr>
          <w:rFonts w:ascii="Times New Roman" w:cs="Times New Roman" w:eastAsia="Times New Roman" w:hAnsi="Times New Roman"/>
          <w:sz w:val="18"/>
          <w:szCs w:val="18"/>
          <w:color w:val="FF0000"/>
          <w:strike w:val="1"/>
        </w:rPr>
        <w:t>Restricted Subsidiary</w:t>
      </w:r>
      <w:r>
        <w:rPr>
          <w:rFonts w:ascii="Times New Roman" w:cs="Times New Roman" w:eastAsia="Times New Roman" w:hAnsi="Times New Roman"/>
          <w:sz w:val="18"/>
          <w:szCs w:val="18"/>
          <w:u w:val="single" w:color="auto"/>
          <w:color w:val="0000FF"/>
        </w:rPr>
        <w:t>other Guarantor</w:t>
      </w:r>
      <w:r>
        <w:rPr>
          <w:rFonts w:ascii="Times New Roman" w:cs="Times New Roman" w:eastAsia="Times New Roman" w:hAnsi="Times New Roman"/>
          <w:sz w:val="18"/>
          <w:szCs w:val="18"/>
          <w:color w:val="auto"/>
        </w:rPr>
        <w:t xml:space="preserve"> shall fail to observe or perform any covenant, condition or agreement contained in this Agreement (other than those specified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10.01(d)</w:t>
      </w:r>
      <w:r>
        <w:rPr>
          <w:rFonts w:ascii="Times New Roman" w:cs="Times New Roman" w:eastAsia="Times New Roman" w:hAnsi="Times New Roman"/>
          <w:sz w:val="18"/>
          <w:szCs w:val="18"/>
          <w:color w:val="auto"/>
        </w:rPr>
        <w:t xml:space="preserve">) or any other Loan Document, and such failure shall continue unremedied for a period of 30 days after </w:t>
      </w:r>
      <w:r>
        <w:rPr>
          <w:rFonts w:ascii="Times New Roman" w:cs="Times New Roman" w:eastAsia="Times New Roman" w:hAnsi="Times New Roman"/>
          <w:sz w:val="18"/>
          <w:szCs w:val="18"/>
          <w:color w:val="FF0000"/>
          <w:strike w:val="1"/>
        </w:rPr>
        <w:t>the earlier to occur of (i)</w:t>
      </w:r>
      <w:r>
        <w:rPr>
          <w:rFonts w:ascii="Times New Roman" w:cs="Times New Roman" w:eastAsia="Times New Roman" w:hAnsi="Times New Roman"/>
          <w:sz w:val="18"/>
          <w:szCs w:val="18"/>
          <w:color w:val="auto"/>
        </w:rPr>
        <w:t xml:space="preserve"> notice thereof from the Administrative Agent to the Borrower </w:t>
      </w:r>
      <w:r>
        <w:rPr>
          <w:rFonts w:ascii="Times New Roman" w:cs="Times New Roman" w:eastAsia="Times New Roman" w:hAnsi="Times New Roman"/>
          <w:sz w:val="18"/>
          <w:szCs w:val="18"/>
          <w:color w:val="FF0000"/>
          <w:strike w:val="1"/>
        </w:rPr>
        <w:t>(which notice will be given at the request of any Lender) or (ii) a Responsible Officer of the Borrower otherwise becoming aware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such default</w:t>
      </w:r>
      <w:r>
        <w:rPr>
          <w:rFonts w:ascii="Times New Roman" w:cs="Times New Roman" w:eastAsia="Times New Roman" w:hAnsi="Times New Roman"/>
          <w:sz w:val="18"/>
          <w:szCs w:val="18"/>
          <w:color w:val="000000"/>
        </w:rPr>
        <w:t>.</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76" w:val="left"/>
        </w:tabs>
        <w:numPr>
          <w:ilvl w:val="0"/>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the Borrower or any Restricted Subsidiary shall fail to make any payment (whether of principal or interest and regardless of amount) in respect of any Material Indebtedness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when and as the same shall become due and payable </w:t>
      </w:r>
      <w:r>
        <w:rPr>
          <w:rFonts w:ascii="Times New Roman" w:cs="Times New Roman" w:eastAsia="Times New Roman" w:hAnsi="Times New Roman"/>
          <w:sz w:val="18"/>
          <w:szCs w:val="18"/>
          <w:u w:val="single" w:color="auto"/>
          <w:color w:val="0000FF"/>
        </w:rPr>
        <w:t>and such failure shall continue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applicable grace period, if any, specified in the agreement or instrument relating to such Material Indebtedness</w:t>
      </w:r>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55" w:val="left"/>
        </w:tabs>
        <w:numPr>
          <w:ilvl w:val="0"/>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w:t>
      </w:r>
      <w:r>
        <w:rPr>
          <w:rFonts w:ascii="Times New Roman" w:cs="Times New Roman" w:eastAsia="Times New Roman" w:hAnsi="Times New Roman"/>
          <w:sz w:val="18"/>
          <w:szCs w:val="18"/>
          <w:color w:val="FF0000"/>
          <w:strike w:val="1"/>
        </w:rPr>
        <w:t>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enabled or permitted the holder or holders of any Material Indebtedness or any trustee or agent on its or their behalf to cause any Material Indebtedness to become or declared due, prior to its</w:t>
      </w:r>
      <w:r>
        <w:rPr>
          <w:rFonts w:ascii="Times New Roman" w:cs="Times New Roman" w:eastAsia="Times New Roman" w:hAnsi="Times New Roman"/>
          <w:sz w:val="18"/>
          <w:szCs w:val="18"/>
          <w:u w:val="single" w:color="auto"/>
          <w:color w:val="0000FF"/>
          <w:strike w:val="1"/>
        </w:rPr>
        <w:t>(other than by a regularly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scheduled</w:t>
      </w:r>
      <w:r>
        <w:rPr>
          <w:rFonts w:ascii="Times New Roman" w:cs="Times New Roman" w:eastAsia="Times New Roman" w:hAnsi="Times New Roman"/>
          <w:sz w:val="18"/>
          <w:szCs w:val="18"/>
          <w:color w:val="FF0000"/>
          <w:strike w:val="1"/>
        </w:rPr>
        <w:t xml:space="preserve"> maturity, </w:t>
      </w:r>
      <w:r>
        <w:rPr>
          <w:rFonts w:ascii="Times New Roman" w:cs="Times New Roman" w:eastAsia="Times New Roman" w:hAnsi="Times New Roman"/>
          <w:sz w:val="18"/>
          <w:szCs w:val="18"/>
          <w:color w:val="000000"/>
          <w:strike w:val="1"/>
        </w:rPr>
        <w:t>or required</w:t>
      </w:r>
      <w:r>
        <w:rPr>
          <w:rFonts w:ascii="Times New Roman" w:cs="Times New Roman" w:eastAsia="Times New Roman" w:hAnsi="Times New Roman"/>
          <w:sz w:val="18"/>
          <w:szCs w:val="18"/>
          <w:color w:val="FF0000"/>
          <w:strike w:val="1"/>
        </w:rPr>
        <w:t xml:space="preserve"> the Parent Guarantor, the Borrower or any Restricted Subsidiary to make an offer in respect thereof, and, in each case, the Parent Guarantor, the Borrower, or Restricted Subsidiary shall not have fully paid the resulting amount thereof</w:t>
      </w:r>
      <w:r>
        <w:rPr>
          <w:rFonts w:ascii="Times New Roman" w:cs="Times New Roman" w:eastAsia="Times New Roman" w:hAnsi="Times New Roman"/>
          <w:sz w:val="18"/>
          <w:szCs w:val="18"/>
          <w:u w:val="single" w:color="auto"/>
          <w:color w:val="0000FF"/>
          <w:strike w:val="1"/>
        </w:rPr>
        <w:t>prepayment)</w:t>
      </w:r>
      <w:r>
        <w:rPr>
          <w:rFonts w:ascii="Times New Roman" w:cs="Times New Roman" w:eastAsia="Times New Roman" w:hAnsi="Times New Roman"/>
          <w:sz w:val="18"/>
          <w:szCs w:val="18"/>
          <w:color w:val="000000"/>
          <w:strike w:val="1"/>
        </w:rPr>
        <w:t>.</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0" w:name="page261"/>
    <w:bookmarkEnd w:id="260"/>
    <w:p>
      <w:pPr>
        <w:jc w:val="both"/>
        <w:ind w:firstLine="1304"/>
        <w:spacing w:after="0" w:line="256" w:lineRule="auto"/>
        <w:tabs>
          <w:tab w:leader="none" w:pos="1874" w:val="left"/>
        </w:tabs>
        <w:numPr>
          <w:ilvl w:val="0"/>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involuntary proceeding shall be commenced or an involuntary petition shall be filed seeking (i) liquidation, reorganization or other relief in respect of the Parent Guarantor, the Borrower or any other Guarantor or its debts, or of a substantial part of its assets, under any Federal, state or foreign bankruptcy, insolvency, receivership or similar law now or hereafter in effect or (ii) the appointment of a receiver, trustee, custodian, sequestrator, conservator or similar official for the Parent Guarantor, the Borrower or any other Guarantor or for a substantial part of its assets, and, in any such case, such proceeding or petition shall continue undismissed </w:t>
      </w:r>
      <w:r>
        <w:rPr>
          <w:rFonts w:ascii="Times New Roman" w:cs="Times New Roman" w:eastAsia="Times New Roman" w:hAnsi="Times New Roman"/>
          <w:sz w:val="18"/>
          <w:szCs w:val="18"/>
          <w:u w:val="single" w:color="auto"/>
          <w:color w:val="0000FF"/>
        </w:rPr>
        <w:t>or unstayed</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color w:val="FF0000"/>
          <w:strike w:val="1"/>
        </w:rPr>
        <w:t>30</w:t>
      </w:r>
      <w:r>
        <w:rPr>
          <w:rFonts w:ascii="Times New Roman" w:cs="Times New Roman" w:eastAsia="Times New Roman" w:hAnsi="Times New Roman"/>
          <w:sz w:val="18"/>
          <w:szCs w:val="18"/>
          <w:u w:val="single" w:color="auto"/>
          <w:color w:val="0000FF"/>
        </w:rPr>
        <w:t>60</w:t>
      </w:r>
      <w:r>
        <w:rPr>
          <w:rFonts w:ascii="Times New Roman" w:cs="Times New Roman" w:eastAsia="Times New Roman" w:hAnsi="Times New Roman"/>
          <w:sz w:val="18"/>
          <w:szCs w:val="18"/>
          <w:color w:val="auto"/>
        </w:rPr>
        <w:t xml:space="preserve"> days or an order or decree approving or ordering any of the foregoing shall be entered.</w:t>
      </w:r>
    </w:p>
    <w:p>
      <w:pPr>
        <w:spacing w:after="0" w:line="187"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47" w:val="left"/>
        </w:tabs>
        <w:numPr>
          <w:ilvl w:val="0"/>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Guarantor, the Borrower or any other Guarantor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(iii) apply for or consent to the appointment of a receiver, trustee, custodian, sequestrator, conservator or similar official for the Borrower or any Guarantor or for a substantial part of its assets, (iv) file an answer admitting the material allegations of a petition filed against it in any such proceeding, (v) make a general assignment for the benefit of creditors or (vi) take any </w:t>
      </w:r>
      <w:r>
        <w:rPr>
          <w:rFonts w:ascii="Times New Roman" w:cs="Times New Roman" w:eastAsia="Times New Roman" w:hAnsi="Times New Roman"/>
          <w:sz w:val="18"/>
          <w:szCs w:val="18"/>
          <w:u w:val="single" w:color="auto"/>
          <w:color w:val="0000FF"/>
        </w:rPr>
        <w:t>corporate</w:t>
      </w:r>
      <w:r>
        <w:rPr>
          <w:rFonts w:ascii="Times New Roman" w:cs="Times New Roman" w:eastAsia="Times New Roman" w:hAnsi="Times New Roman"/>
          <w:sz w:val="18"/>
          <w:szCs w:val="18"/>
          <w:color w:val="auto"/>
        </w:rPr>
        <w:t xml:space="preserve"> action for the purpose of effecting any of the foregoing</w:t>
      </w:r>
      <w:r>
        <w:rPr>
          <w:rFonts w:ascii="Times New Roman" w:cs="Times New Roman" w:eastAsia="Times New Roman" w:hAnsi="Times New Roman"/>
          <w:sz w:val="18"/>
          <w:szCs w:val="18"/>
          <w:color w:val="FF0000"/>
          <w:strike w:val="1"/>
        </w:rPr>
        <w:t>; or the holders of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Interests of the Parent Guarantor or the Borrower shall make any request to take any action for the purpose of calling a meeting of the shareholders of the Parent Guarantor or the Borrower to consider a resolution to dissolve and wind-up the Parent Guarantor’s or the Borrower’s affairs</w:t>
      </w:r>
      <w:r>
        <w:rPr>
          <w:rFonts w:ascii="Times New Roman" w:cs="Times New Roman" w:eastAsia="Times New Roman" w:hAnsi="Times New Roman"/>
          <w:sz w:val="18"/>
          <w:szCs w:val="18"/>
          <w:color w:val="000000"/>
          <w:strike w:val="1"/>
        </w:rPr>
        <w:t>.</w:t>
      </w:r>
    </w:p>
    <w:p>
      <w:pPr>
        <w:spacing w:after="0" w:line="191" w:lineRule="exact"/>
        <w:rPr>
          <w:rFonts w:ascii="Times New Roman" w:cs="Times New Roman" w:eastAsia="Times New Roman" w:hAnsi="Times New Roman"/>
          <w:sz w:val="18"/>
          <w:szCs w:val="18"/>
          <w:color w:val="010000"/>
        </w:rPr>
      </w:pPr>
    </w:p>
    <w:p>
      <w:pPr>
        <w:ind w:firstLine="1304"/>
        <w:spacing w:after="0" w:line="282" w:lineRule="auto"/>
        <w:tabs>
          <w:tab w:leader="none" w:pos="1866" w:val="left"/>
        </w:tabs>
        <w:numPr>
          <w:ilvl w:val="0"/>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the Borrower or any other Guarantor shall become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42" w:val="left"/>
        </w:tabs>
        <w:numPr>
          <w:ilvl w:val="0"/>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one or more judgments for the payment of money in an aggregate amount in excess of </w:t>
      </w:r>
      <w:r>
        <w:rPr>
          <w:rFonts w:ascii="Times New Roman" w:cs="Times New Roman" w:eastAsia="Times New Roman" w:hAnsi="Times New Roman"/>
          <w:sz w:val="18"/>
          <w:szCs w:val="18"/>
          <w:u w:val="single" w:color="auto"/>
          <w:color w:val="0000FF"/>
        </w:rPr>
        <w:t>(x) prior to the Endeavor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$150,000,000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(y) from and after the Endeavor Acquisition Effective Date, $250,000,000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extent not covered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independent third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party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insurance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provided by insurers of the highest claims paying rating or financial strength</w:t>
      </w:r>
      <w:r>
        <w:rPr>
          <w:rFonts w:ascii="Times New Roman" w:cs="Times New Roman" w:eastAsia="Times New Roman" w:hAnsi="Times New Roman"/>
          <w:sz w:val="18"/>
          <w:szCs w:val="18"/>
          <w:u w:val="single" w:color="auto"/>
          <w:color w:val="0000FF"/>
        </w:rPr>
        <w:t>or indemnities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to which the insurer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 third party,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does not dispute coverage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is not subject to an insolvency proceeding</w:t>
      </w:r>
      <w:r>
        <w:rPr>
          <w:rFonts w:ascii="Times New Roman" w:cs="Times New Roman" w:eastAsia="Times New Roman" w:hAnsi="Times New Roman"/>
          <w:sz w:val="18"/>
          <w:szCs w:val="18"/>
          <w:color w:val="000000"/>
        </w:rPr>
        <w:t>) shall be rendered against the Parent Guarantor, the Borrower,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Restricted Subsidiary or any combination thereof and the same shall remain undischarged for a period of </w:t>
      </w:r>
      <w:r>
        <w:rPr>
          <w:rFonts w:ascii="Times New Roman" w:cs="Times New Roman" w:eastAsia="Times New Roman" w:hAnsi="Times New Roman"/>
          <w:sz w:val="18"/>
          <w:szCs w:val="18"/>
          <w:color w:val="FF0000"/>
          <w:strike w:val="1"/>
        </w:rPr>
        <w:t>30</w:t>
      </w:r>
      <w:r>
        <w:rPr>
          <w:rFonts w:ascii="Times New Roman" w:cs="Times New Roman" w:eastAsia="Times New Roman" w:hAnsi="Times New Roman"/>
          <w:sz w:val="18"/>
          <w:szCs w:val="18"/>
          <w:u w:val="single" w:color="auto"/>
          <w:color w:val="0000FF"/>
        </w:rPr>
        <w:t>60</w:t>
      </w:r>
      <w:r>
        <w:rPr>
          <w:rFonts w:ascii="Times New Roman" w:cs="Times New Roman" w:eastAsia="Times New Roman" w:hAnsi="Times New Roman"/>
          <w:sz w:val="18"/>
          <w:szCs w:val="18"/>
          <w:color w:val="000000"/>
        </w:rPr>
        <w:t xml:space="preserve"> consecutive days during which execution shall not be effectively stayed, or any action shall be legally taken by a judgment creditor to attach or levy upon any assets of the Parent Guarantor, the Borrower or any Restricted Subsidiary to enforce any such judgment </w:t>
      </w:r>
      <w:r>
        <w:rPr>
          <w:rFonts w:ascii="Times New Roman" w:cs="Times New Roman" w:eastAsia="Times New Roman" w:hAnsi="Times New Roman"/>
          <w:sz w:val="18"/>
          <w:szCs w:val="18"/>
          <w:u w:val="single" w:color="auto"/>
          <w:color w:val="0000FF"/>
        </w:rPr>
        <w:t>and such action shall not have been stayed</w:t>
      </w:r>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010000"/>
        </w:rPr>
      </w:pPr>
    </w:p>
    <w:p>
      <w:pPr>
        <w:ind w:left="1840" w:hanging="536"/>
        <w:spacing w:after="0"/>
        <w:tabs>
          <w:tab w:leader="none" w:pos="1840" w:val="left"/>
        </w:tabs>
        <w:numPr>
          <w:ilvl w:val="0"/>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Change in Control shall occur.</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1" w:name="page262"/>
    <w:bookmarkEnd w:id="261"/>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010000"/>
        </w:rPr>
        <w:t>Section 10.02</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2004" w:val="left"/>
        </w:tabs>
        <w:numPr>
          <w:ilvl w:val="0"/>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an Event of Default other than one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xml:space="preserve">, at any time thereafter during the continuance of such Event of Default, the Administrative Agent may, and at the request of the Majority Lenders, shall, by notice to the Borrower, take either or both of the following actions, at the same or different times: (i) terminate the Commitments, and thereupon the Commitments shall terminate immediately, and (ii) declare the Notes and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Parent Guarantor, the Borrower and the other Guarantors accrued hereunder and under the Notes and the other Loan Documents (including, without limitation, the payment of cash collateral to secure the LC Exposure as provided in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xml:space="preserve">), shall become due and payable immediately, without presentment, demand, protest, notice of intent to accelerate, notice of acceleration or other notice of any kind, all of which are hereby waived by the Parent Guarantor, the Borrower and each other Guarantor; and in case of an Event of Default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xml:space="preserve">, the Commitments shall automatically terminate and the Notes and the principal of the Loans then outstanding, together with accrued interest thereon and all fees and the other obligations of the Parent Guarantor, the Borrower and the other Guarantors accrued hereunder and under the Notes and the other Loan Documents (including, without limitation, the payment of cash collateral to secure the LC Exposure as provided in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shall automatically become due and payable, without presentment, demand, protest, notice of intent to accelerate, notice of acceleration or other notice of any kind, all of which are hereby waived by the Parent Guarantor, the Borrower and each other Guarantor.</w:t>
      </w:r>
    </w:p>
    <w:p>
      <w:pPr>
        <w:spacing w:after="0" w:line="195" w:lineRule="exact"/>
        <w:rPr>
          <w:rFonts w:ascii="Times New Roman" w:cs="Times New Roman" w:eastAsia="Times New Roman" w:hAnsi="Times New Roman"/>
          <w:sz w:val="18"/>
          <w:szCs w:val="18"/>
          <w:color w:val="010000"/>
        </w:rPr>
      </w:pPr>
    </w:p>
    <w:p>
      <w:pPr>
        <w:ind w:firstLine="1304"/>
        <w:spacing w:after="0" w:line="282" w:lineRule="auto"/>
        <w:tabs>
          <w:tab w:leader="none" w:pos="2050" w:val="left"/>
        </w:tabs>
        <w:numPr>
          <w:ilvl w:val="0"/>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the occurrence of an Event of Default, the Administrative Agent and the Lenders will have all other rights and remedies available at law and equity.</w:t>
      </w:r>
    </w:p>
    <w:p>
      <w:pPr>
        <w:spacing w:after="0" w:line="161" w:lineRule="exact"/>
        <w:rPr>
          <w:rFonts w:ascii="Times New Roman" w:cs="Times New Roman" w:eastAsia="Times New Roman" w:hAnsi="Times New Roman"/>
          <w:sz w:val="18"/>
          <w:szCs w:val="18"/>
          <w:color w:val="010000"/>
        </w:rPr>
      </w:pPr>
    </w:p>
    <w:p>
      <w:pPr>
        <w:ind w:right="20" w:firstLine="1304"/>
        <w:spacing w:after="0" w:line="282" w:lineRule="auto"/>
        <w:tabs>
          <w:tab w:leader="none" w:pos="1990" w:val="left"/>
        </w:tabs>
        <w:numPr>
          <w:ilvl w:val="0"/>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proceeds </w:t>
      </w:r>
      <w:r>
        <w:rPr>
          <w:rFonts w:ascii="Times New Roman" w:cs="Times New Roman" w:eastAsia="Times New Roman" w:hAnsi="Times New Roman"/>
          <w:sz w:val="18"/>
          <w:szCs w:val="18"/>
          <w:color w:val="FF0000"/>
          <w:strike w:val="1"/>
        </w:rPr>
        <w:t>realized from the liquidation or other disposition of collateral or otherwise</w:t>
      </w:r>
      <w:r>
        <w:rPr>
          <w:rFonts w:ascii="Times New Roman" w:cs="Times New Roman" w:eastAsia="Times New Roman" w:hAnsi="Times New Roman"/>
          <w:sz w:val="18"/>
          <w:szCs w:val="18"/>
          <w:color w:val="auto"/>
        </w:rPr>
        <w:t xml:space="preserve"> received after maturity of the Notes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Loans</w:t>
      </w:r>
      <w:r>
        <w:rPr>
          <w:rFonts w:ascii="Times New Roman" w:cs="Times New Roman" w:eastAsia="Times New Roman" w:hAnsi="Times New Roman"/>
          <w:sz w:val="18"/>
          <w:szCs w:val="18"/>
          <w:color w:val="000000"/>
        </w:rPr>
        <w:t>, whether by acceleration or otherwise, shall be applied:</w:t>
      </w:r>
    </w:p>
    <w:p>
      <w:pPr>
        <w:spacing w:after="0" w:line="159" w:lineRule="exact"/>
        <w:rPr>
          <w:rFonts w:ascii="Times New Roman" w:cs="Times New Roman" w:eastAsia="Times New Roman" w:hAnsi="Times New Roman"/>
          <w:sz w:val="18"/>
          <w:szCs w:val="18"/>
          <w:color w:val="010000"/>
        </w:rPr>
      </w:pPr>
    </w:p>
    <w:p>
      <w:pPr>
        <w:ind w:right="20" w:firstLine="1952"/>
        <w:spacing w:after="0" w:line="284" w:lineRule="auto"/>
        <w:tabs>
          <w:tab w:leader="none" w:pos="2784" w:val="left"/>
        </w:tabs>
        <w:numPr>
          <w:ilvl w:val="1"/>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or reimbursement of that portion of the Indebtedness constituting fees, expenses and indemnities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Administrative Agent in its capacity as such;</w:t>
      </w:r>
    </w:p>
    <w:p>
      <w:pPr>
        <w:spacing w:after="0" w:line="158" w:lineRule="exact"/>
        <w:rPr>
          <w:rFonts w:ascii="Times New Roman" w:cs="Times New Roman" w:eastAsia="Times New Roman" w:hAnsi="Times New Roman"/>
          <w:sz w:val="18"/>
          <w:szCs w:val="18"/>
          <w:color w:val="010000"/>
        </w:rPr>
      </w:pPr>
    </w:p>
    <w:p>
      <w:pPr>
        <w:ind w:left="2820" w:hanging="868"/>
        <w:spacing w:after="0"/>
        <w:tabs>
          <w:tab w:leader="none" w:pos="2820" w:val="left"/>
        </w:tabs>
        <w:numPr>
          <w:ilvl w:val="1"/>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pro rata to payment or reimbursement of that portion of the Indebtedness constituting fees, expenses and</w:t>
      </w:r>
    </w:p>
    <w:p>
      <w:pPr>
        <w:spacing w:after="0" w:line="29"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indemnities payable to the Lenders;</w:t>
      </w:r>
    </w:p>
    <w:p>
      <w:pPr>
        <w:spacing w:after="0" w:line="204"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pro rata to payment of accrued interest on the Loans;</w:t>
      </w:r>
    </w:p>
    <w:p>
      <w:pPr>
        <w:spacing w:after="0" w:line="225" w:lineRule="exact"/>
        <w:rPr>
          <w:rFonts w:ascii="Times New Roman" w:cs="Times New Roman" w:eastAsia="Times New Roman" w:hAnsi="Times New Roman"/>
          <w:sz w:val="18"/>
          <w:szCs w:val="18"/>
          <w:color w:val="010000"/>
        </w:rPr>
      </w:pPr>
    </w:p>
    <w:p>
      <w:pPr>
        <w:ind w:left="2680" w:hanging="728"/>
        <w:spacing w:after="0"/>
        <w:tabs>
          <w:tab w:leader="none" w:pos="2680" w:val="left"/>
        </w:tabs>
        <w:numPr>
          <w:ilvl w:val="1"/>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fourth, </w:t>
      </w:r>
      <w:r>
        <w:rPr>
          <w:rFonts w:ascii="Times New Roman" w:cs="Times New Roman" w:eastAsia="Times New Roman" w:hAnsi="Times New Roman"/>
          <w:sz w:val="18"/>
          <w:szCs w:val="18"/>
          <w:color w:val="auto"/>
        </w:rPr>
        <w:t>pro rata to payment of principal outstanding on the Loans and Indebtedness referred 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p>
    <w:p>
      <w:pPr>
        <w:spacing w:after="0" w:line="29"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definition of Indebtedness;</w:t>
      </w:r>
    </w:p>
    <w:p>
      <w:pPr>
        <w:spacing w:after="0" w:line="204"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pro rata to any other Indebtedness;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2" w:name="page263"/>
    <w:bookmarkEnd w:id="262"/>
    <w:p>
      <w:pPr>
        <w:ind w:left="2620" w:hanging="668"/>
        <w:spacing w:after="0"/>
        <w:tabs>
          <w:tab w:leader="none" w:pos="2620" w:val="left"/>
        </w:tabs>
        <w:numPr>
          <w:ilvl w:val="0"/>
          <w:numId w:val="2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serve as cash collateral to be held by the Administrative Agent to secure the LC Exposure; and</w:t>
      </w:r>
    </w:p>
    <w:p>
      <w:pPr>
        <w:spacing w:after="0" w:line="225" w:lineRule="exact"/>
        <w:rPr>
          <w:rFonts w:ascii="Times New Roman" w:cs="Times New Roman" w:eastAsia="Times New Roman" w:hAnsi="Times New Roman"/>
          <w:sz w:val="18"/>
          <w:szCs w:val="18"/>
          <w:color w:val="010000"/>
        </w:rPr>
      </w:pPr>
    </w:p>
    <w:p>
      <w:pPr>
        <w:ind w:right="20" w:firstLine="1952"/>
        <w:spacing w:after="0" w:line="284" w:lineRule="auto"/>
        <w:tabs>
          <w:tab w:leader="none" w:pos="2668" w:val="left"/>
        </w:tabs>
        <w:numPr>
          <w:ilvl w:val="0"/>
          <w:numId w:val="2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any excess, after all of the Indebtedness shall have been indefeasibly paid in full in cash, shall be paid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or as otherwise required by any Governmental Requirement.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amounts received from the Borrower or any Guarantor that is not an Eligible Contract Participant shall not be applied to any Excluded Swap Obligations (it being understood, that in the event that any amount is applied to Indebtedness other than Excluded Swap Obligations as a result of this clause, the Administrative Agent shall make such adjustments as it determines are appropriate to distributions pursuant to clause “fourth” above from amounts received from Eligible Contract Participants to ensure, as nearly as possible, that the proportional aggregate recoveries with respect to Excluded Swap Obligations described in such clause “fourth” are the same as the proportional aggregate recoveries with respect to other Indebtedness pursuant to such clause).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11.01 </w:t>
      </w:r>
      <w:r>
        <w:rPr>
          <w:rFonts w:ascii="Times New Roman" w:cs="Times New Roman" w:eastAsia="Times New Roman" w:hAnsi="Times New Roman"/>
          <w:sz w:val="18"/>
          <w:szCs w:val="18"/>
          <w:u w:val="single" w:color="auto"/>
          <w:color w:val="000000"/>
        </w:rPr>
        <w:t>Appointment; Powers</w:t>
      </w:r>
      <w:r>
        <w:rPr>
          <w:rFonts w:ascii="Times New Roman" w:cs="Times New Roman" w:eastAsia="Times New Roman" w:hAnsi="Times New Roman"/>
          <w:sz w:val="18"/>
          <w:szCs w:val="18"/>
          <w:color w:val="000000"/>
        </w:rPr>
        <w:t>. Each of the Lenders and the Issuing Bank hereby irrevocably appoints the Administrative Agent as its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authorizes the Administrative Agent to take such actions on its behalf and to exercise such powers as are delegated to the Administrative Agent by the terms hereof and the other Loan Documents, together with such actions and powers as are reasonably incidental thereto.</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11.02 </w:t>
      </w:r>
      <w:r>
        <w:rPr>
          <w:rFonts w:ascii="Times New Roman" w:cs="Times New Roman" w:eastAsia="Times New Roman" w:hAnsi="Times New Roman"/>
          <w:sz w:val="18"/>
          <w:szCs w:val="18"/>
          <w:u w:val="single" w:color="auto"/>
          <w:color w:val="000000"/>
        </w:rPr>
        <w:t>Duties and Obligations of Administrative Agent</w:t>
      </w:r>
      <w:r>
        <w:rPr>
          <w:rFonts w:ascii="Times New Roman" w:cs="Times New Roman" w:eastAsia="Times New Roman" w:hAnsi="Times New Roman"/>
          <w:sz w:val="18"/>
          <w:szCs w:val="18"/>
          <w:color w:val="000000"/>
        </w:rPr>
        <w:t>. The Administrative Agent shall not have any duties or obligations except those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expressly set forth in the Loan Documents. Without limiting the generality of the foregoing, (a) the Administrative Agent shall not be subject to any fiduciary or other implied duties, regardless of whether a Default has occurred and is continuing (the use of the term “</w:t>
      </w:r>
      <w:r>
        <w:rPr>
          <w:rFonts w:ascii="Times New Roman" w:cs="Times New Roman" w:eastAsia="Times New Roman" w:hAnsi="Times New Roman"/>
          <w:sz w:val="18"/>
          <w:szCs w:val="18"/>
          <w:u w:val="single" w:color="auto"/>
          <w:color w:val="000000"/>
        </w:rPr>
        <w:t>agent</w:t>
      </w:r>
      <w:r>
        <w:rPr>
          <w:rFonts w:ascii="Times New Roman" w:cs="Times New Roman" w:eastAsia="Times New Roman" w:hAnsi="Times New Roman"/>
          <w:sz w:val="18"/>
          <w:szCs w:val="18"/>
          <w:color w:val="000000"/>
        </w:rPr>
        <w:t xml:space="preserve">” herein and in the other Loan Documents with reference to the Administrative Agent is not intended to connote any fiduciary or other implied (or express) obligations arising under agency doctrine of any applicable law; rather, such term is used merely as a matter of market custom, and is intended to create or reflect only an administrative relationship between independent contracting parties), (b) the Administrative Agent shall have no duty to take any discretionary action or exercise any discretionary powers, except as provided in </w:t>
      </w:r>
      <w:r>
        <w:rPr>
          <w:rFonts w:ascii="Times New Roman" w:cs="Times New Roman" w:eastAsia="Times New Roman" w:hAnsi="Times New Roman"/>
          <w:sz w:val="18"/>
          <w:szCs w:val="18"/>
          <w:u w:val="single" w:color="auto"/>
          <w:color w:val="000000"/>
        </w:rPr>
        <w:t>Section 11.03</w:t>
      </w:r>
      <w:r>
        <w:rPr>
          <w:rFonts w:ascii="Times New Roman" w:cs="Times New Roman" w:eastAsia="Times New Roman" w:hAnsi="Times New Roman"/>
          <w:sz w:val="18"/>
          <w:szCs w:val="18"/>
          <w:color w:val="000000"/>
        </w:rPr>
        <w:t xml:space="preserve">, and (c) except as expressly set forth herein, the Administrative Agent shall not have any duty to disclose, and shall not be liable for the failure to disclose, any information relating to the Parent Guarantor, the Borrower or any of their Subsidiaries that is communicated to or obtained by the bank serving as Administrative Agent or any of its Affiliates in any capacity. The Administrative Agent shall be deemed not to have knowledge of any Default unless and until written notice thereof is given to the Administrative Agent by the Parent Guarantor, the Borrower or a Lender, and shall not be responsible for or have any duty to ascertain or inquire into (i) any statement, warranty or representation made in or in connection with this Agreement or any other Loan Document, (ii) the contents of any certificate, report or other document delivered hereunder or under any other Loan Document or in connection herewith or therewith, (iii) the performance or observance of any of the covenants, agreements or other terms or conditions set forth herein or in any other Loan Document, (iv) the validity, enforceability, effectiveness or genuineness of this Agreement, any other Loan Document or any other agreement, instrument or document, (v) the satisfaction of any condition set forth in </w:t>
      </w:r>
      <w:r>
        <w:rPr>
          <w:rFonts w:ascii="Times New Roman" w:cs="Times New Roman" w:eastAsia="Times New Roman" w:hAnsi="Times New Roman"/>
          <w:sz w:val="18"/>
          <w:szCs w:val="18"/>
          <w:u w:val="single" w:color="auto"/>
          <w:color w:val="000000"/>
        </w:rPr>
        <w:t>Article VI</w:t>
      </w:r>
      <w:r>
        <w:rPr>
          <w:rFonts w:ascii="Times New Roman" w:cs="Times New Roman" w:eastAsia="Times New Roman" w:hAnsi="Times New Roman"/>
          <w:sz w:val="18"/>
          <w:szCs w:val="18"/>
          <w:color w:val="000000"/>
        </w:rPr>
        <w:t xml:space="preserve"> or elsewhere herein, other than to confirm receipt of items expressly required to be delivered to the Administrative Agent or as to those conditions precedent expressly required to be to the Administrative Agent’s satisfaction, (vi) the existence, value, perfection or priority of any collateral security or the financial or other condition of the Parent Guarantor, the Borrower and their Subsidiaries or any other obligor or guarantor, or (vii) any failure by the Borrower or any other Person (other than itself) to perform any of its obligations hereunder or under any other Loan Document or the performance or observance of any covenants, agreements or other terms or conditions set forth herein or therein. For purposes of determining compliance with the conditions specified in </w:t>
      </w:r>
      <w:r>
        <w:rPr>
          <w:rFonts w:ascii="Times New Roman" w:cs="Times New Roman" w:eastAsia="Times New Roman" w:hAnsi="Times New Roman"/>
          <w:sz w:val="18"/>
          <w:szCs w:val="18"/>
          <w:u w:val="single" w:color="auto"/>
          <w:color w:val="000000"/>
        </w:rPr>
        <w:t>Article VI</w:t>
      </w:r>
      <w:r>
        <w:rPr>
          <w:rFonts w:ascii="Times New Roman" w:cs="Times New Roman" w:eastAsia="Times New Roman" w:hAnsi="Times New Roman"/>
          <w:sz w:val="18"/>
          <w:szCs w:val="18"/>
          <w:color w:val="000000"/>
        </w:rPr>
        <w:t>, each Lender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3" w:name="page264"/>
    <w:bookmarkEnd w:id="263"/>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11.03 </w:t>
      </w:r>
      <w:r>
        <w:rPr>
          <w:rFonts w:ascii="Times New Roman" w:cs="Times New Roman" w:eastAsia="Times New Roman" w:hAnsi="Times New Roman"/>
          <w:sz w:val="18"/>
          <w:szCs w:val="18"/>
          <w:u w:val="single" w:color="auto"/>
          <w:color w:val="000000"/>
        </w:rPr>
        <w:t>Action by Administrative Agent</w:t>
      </w:r>
      <w:r>
        <w:rPr>
          <w:rFonts w:ascii="Times New Roman" w:cs="Times New Roman" w:eastAsia="Times New Roman" w:hAnsi="Times New Roman"/>
          <w:sz w:val="18"/>
          <w:szCs w:val="18"/>
          <w:color w:val="000000"/>
        </w:rPr>
        <w:t>. The Administrative Agent shall have no duty to take any discretionary action or exercise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discretionary powers, except discretionary rights and powers expressly contemplated hereby or by the other Loan Documents that the Administrative Agent is required to exercise in writing as directed by the Majority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 xml:space="preserve">) and in all cases the Administrative Agent shall be fully justified in failing or refusing to act hereunder or under any other Loan Documents unless it shall (a) receive written instructions from the Majority Lenders or the Lenders, as applicable,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 xml:space="preserve">) specifying the action to be taken and (b) be indemnified to its satisfaction by the Lenders against any and all liability and expenses which may be incurred by it by reason of taking or continuing to take any such action. The instructions as aforesaid and any action taken or failure to act pursuant thereto by the Administrative Agent shall be binding on all of the Lenders. If a Default has occurred and is continuing, then the Administrative Agent shall take such action with respect to such Default as shall be directed by the requisite Lenders in the written instructions (with indemnities) described in this </w:t>
      </w:r>
      <w:r>
        <w:rPr>
          <w:rFonts w:ascii="Times New Roman" w:cs="Times New Roman" w:eastAsia="Times New Roman" w:hAnsi="Times New Roman"/>
          <w:sz w:val="18"/>
          <w:szCs w:val="18"/>
          <w:u w:val="single" w:color="auto"/>
          <w:color w:val="000000"/>
        </w:rPr>
        <w:t>Section 11.03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unless and until the Administrative Agent shall have received such directions, the Administrative Agent may (but shall not be obligated to) take such action, or refrain from taking such action, with respect to such Default as it shall deem advisable in the best interests of the Lenders. In no event, however, shall the Administrative Agent be required to take any action which exposes the Administrative Agent to personal liability or which is contrary to this Agreement, the Loan Documents or applicable law. If a Default has occurred and is continuing, </w:t>
      </w:r>
      <w:r>
        <w:rPr>
          <w:rFonts w:ascii="Times New Roman" w:cs="Times New Roman" w:eastAsia="Times New Roman" w:hAnsi="Times New Roman"/>
          <w:sz w:val="18"/>
          <w:szCs w:val="18"/>
          <w:color w:val="FF0000"/>
          <w:strike w:val="1"/>
        </w:rPr>
        <w:t>neither of the</w:t>
      </w:r>
      <w:r>
        <w:rPr>
          <w:rFonts w:ascii="Times New Roman" w:cs="Times New Roman" w:eastAsia="Times New Roman" w:hAnsi="Times New Roman"/>
          <w:sz w:val="18"/>
          <w:szCs w:val="18"/>
          <w:u w:val="single" w:color="auto"/>
          <w:color w:val="0000FF"/>
        </w:rPr>
        <w:t>no</w:t>
      </w:r>
      <w:r>
        <w:rPr>
          <w:rFonts w:ascii="Times New Roman" w:cs="Times New Roman" w:eastAsia="Times New Roman" w:hAnsi="Times New Roman"/>
          <w:sz w:val="18"/>
          <w:szCs w:val="18"/>
          <w:color w:val="000000"/>
        </w:rPr>
        <w:t xml:space="preserve"> Syndication </w:t>
      </w:r>
      <w:r>
        <w:rPr>
          <w:rFonts w:ascii="Times New Roman" w:cs="Times New Roman" w:eastAsia="Times New Roman" w:hAnsi="Times New Roman"/>
          <w:sz w:val="18"/>
          <w:szCs w:val="18"/>
          <w:color w:val="FF0000"/>
          <w:strike w:val="1"/>
        </w:rPr>
        <w:t>Agents</w:t>
      </w:r>
      <w:r>
        <w:rPr>
          <w:rFonts w:ascii="Times New Roman" w:cs="Times New Roman" w:eastAsia="Times New Roman" w:hAnsi="Times New Roman"/>
          <w:sz w:val="18"/>
          <w:szCs w:val="18"/>
          <w:u w:val="single" w:color="auto"/>
          <w:color w:val="0000FF"/>
        </w:rPr>
        <w:t>Agent</w:t>
      </w:r>
      <w:r>
        <w:rPr>
          <w:rFonts w:ascii="Times New Roman" w:cs="Times New Roman" w:eastAsia="Times New Roman" w:hAnsi="Times New Roman"/>
          <w:sz w:val="18"/>
          <w:szCs w:val="18"/>
          <w:color w:val="000000"/>
        </w:rPr>
        <w:t xml:space="preserve"> shall have any obligation to perform any act in respect thereof. The Administrative Agent shall not be liable for any action taken or not taken by it with the consent or at the request of the Majority Lenders or the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 and otherwise the Administrative Agent shall not be liable for any action taken or not taken by it hereunder or under any other Loan Document or under any other document or instrument referred to or provided for herein or therein or in connection herewith or therewith INCLUDING ITS OWN ORDINARY NEGLIGENCE, except for its own gross negligence or willful misconduct.</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4" w:name="page265"/>
    <w:bookmarkEnd w:id="264"/>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11.04 </w:t>
      </w:r>
      <w:r>
        <w:rPr>
          <w:rFonts w:ascii="Times New Roman" w:cs="Times New Roman" w:eastAsia="Times New Roman" w:hAnsi="Times New Roman"/>
          <w:sz w:val="18"/>
          <w:szCs w:val="18"/>
          <w:u w:val="single" w:color="auto"/>
          <w:color w:val="000000"/>
        </w:rPr>
        <w:t>Reliance by Administrative Agent</w:t>
      </w:r>
      <w:r>
        <w:rPr>
          <w:rFonts w:ascii="Times New Roman" w:cs="Times New Roman" w:eastAsia="Times New Roman" w:hAnsi="Times New Roman"/>
          <w:sz w:val="18"/>
          <w:szCs w:val="18"/>
          <w:color w:val="000000"/>
        </w:rPr>
        <w:t>. The Administrative Agent shall be entitled to rely upon, and shall not incur any liability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and each of the Parent Guarantor, the Borrower, the Lenders and the Issuing Bank hereby waives the right to dispute the Administrative Agent’s record of such statement, except in the case of gross negligence or willful misconduct by the Administrative Agent. The Administrative Agent may consult with legal counsel (who may be counsel for the Parent Guarantor and the Borrower), independent accountants and other experts selected by it, and shall not be liable for any action taken or not taken by it in accordance with the advice of any such counsel, accountants or experts. The Administrative Agent may deem and treat the payee of any Note as the holder thereof for all purposes hereof unless and until a written notice of the assignment or transfer thereof permitted hereunder shall have been filed with the Administrative Agent.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11.05 </w:t>
      </w:r>
      <w:r>
        <w:rPr>
          <w:rFonts w:ascii="Times New Roman" w:cs="Times New Roman" w:eastAsia="Times New Roman" w:hAnsi="Times New Roman"/>
          <w:sz w:val="18"/>
          <w:szCs w:val="18"/>
          <w:u w:val="single" w:color="auto"/>
          <w:color w:val="000000"/>
        </w:rPr>
        <w:t>Subagents</w:t>
      </w:r>
      <w:r>
        <w:rPr>
          <w:rFonts w:ascii="Times New Roman" w:cs="Times New Roman" w:eastAsia="Times New Roman" w:hAnsi="Times New Roman"/>
          <w:sz w:val="18"/>
          <w:szCs w:val="18"/>
          <w:color w:val="000000"/>
        </w:rPr>
        <w:t>. The Administrative Agent may perform any and all its duties and exercise its rights and powers by or through any one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more sub-agents appointed by the Administrative Agent. The Administrative Agent and any such sub-agent may perform any and all its duties and exercise its rights and powers through their respective Related Parties. The exculpatory provisions of the preceding Sections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11.06 </w:t>
      </w:r>
      <w:r>
        <w:rPr>
          <w:rFonts w:ascii="Times New Roman" w:cs="Times New Roman" w:eastAsia="Times New Roman" w:hAnsi="Times New Roman"/>
          <w:sz w:val="18"/>
          <w:szCs w:val="18"/>
          <w:u w:val="single" w:color="auto"/>
          <w:color w:val="000000"/>
        </w:rPr>
        <w:t>Resignation of the Administrative Agent</w:t>
      </w:r>
      <w:r>
        <w:rPr>
          <w:rFonts w:ascii="Times New Roman" w:cs="Times New Roman" w:eastAsia="Times New Roman" w:hAnsi="Times New Roman"/>
          <w:sz w:val="18"/>
          <w:szCs w:val="18"/>
          <w:color w:val="000000"/>
        </w:rPr>
        <w:t>. Subject to the appointment and acceptance of a successor Administrative Agent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in this </w:t>
      </w:r>
      <w:r>
        <w:rPr>
          <w:rFonts w:ascii="Times New Roman" w:cs="Times New Roman" w:eastAsia="Times New Roman" w:hAnsi="Times New Roman"/>
          <w:sz w:val="18"/>
          <w:szCs w:val="18"/>
          <w:u w:val="single" w:color="auto"/>
          <w:color w:val="000000"/>
        </w:rPr>
        <w:t>Section 11.06</w:t>
      </w:r>
      <w:r>
        <w:rPr>
          <w:rFonts w:ascii="Times New Roman" w:cs="Times New Roman" w:eastAsia="Times New Roman" w:hAnsi="Times New Roman"/>
          <w:sz w:val="18"/>
          <w:szCs w:val="18"/>
          <w:color w:val="000000"/>
        </w:rPr>
        <w:t xml:space="preserve">, the Administrative Agent may resign at any time by notifying the Lenders, the Issuing Bank and the Borrower. Upon any such resignation, the Majority Lenders shall have the right, subject, if no Event of Default exists, to the consent of the Borrower, to appoint a successor. If no successor shall have been so appointed by the Majority Lenders and shall have accepted such appointment within 30 days after the retiring Administrative Agent gives notice of its resignation, then the retiring Administrative Agent may, on behalf of the Lenders and the Issuing Bank, appoint a successor Administrative Agent.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12.03</w:t>
      </w:r>
      <w:r>
        <w:rPr>
          <w:rFonts w:ascii="Times New Roman" w:cs="Times New Roman" w:eastAsia="Times New Roman" w:hAnsi="Times New Roman"/>
          <w:sz w:val="18"/>
          <w:szCs w:val="18"/>
          <w:color w:val="000000"/>
        </w:rPr>
        <w:t xml:space="preserve"> shall continue in effect for the benefit of such retiring Administrative Agent, its sub-agents and their respective Related Parties in respect of any actions taken or omitted to be taken by any of them while it was acting as Administrative Agent. If the Person serving as Administrative Agent is a Defaulting Lender pursuant to </w:t>
      </w:r>
      <w:r>
        <w:rPr>
          <w:rFonts w:ascii="Times New Roman" w:cs="Times New Roman" w:eastAsia="Times New Roman" w:hAnsi="Times New Roman"/>
          <w:sz w:val="18"/>
          <w:szCs w:val="18"/>
          <w:u w:val="single" w:color="auto"/>
          <w:color w:val="000000"/>
        </w:rPr>
        <w:t>clause (d)</w:t>
      </w:r>
      <w:r>
        <w:rPr>
          <w:rFonts w:ascii="Times New Roman" w:cs="Times New Roman" w:eastAsia="Times New Roman" w:hAnsi="Times New Roman"/>
          <w:sz w:val="18"/>
          <w:szCs w:val="18"/>
          <w:color w:val="000000"/>
        </w:rPr>
        <w:t xml:space="preserve"> of the definition thereof, the Majority Lenders may, to the extent permitted by Applicable Law, by notice in writing to the Borrower and such Person, remove such Person as Administrative Agent and, in consultation with the Borrower, appoint a successor. If no such successor shall have been so appointed by the Majority Lenders and shall have accepted such appointment within 30 days (or such earlier day as shall be agreed by the Majority Lenders) (the “</w:t>
      </w:r>
      <w:r>
        <w:rPr>
          <w:rFonts w:ascii="Times New Roman" w:cs="Times New Roman" w:eastAsia="Times New Roman" w:hAnsi="Times New Roman"/>
          <w:sz w:val="18"/>
          <w:szCs w:val="18"/>
          <w:u w:val="single" w:color="auto"/>
          <w:color w:val="000000"/>
        </w:rPr>
        <w:t>Removal Effective Date</w:t>
      </w:r>
      <w:r>
        <w:rPr>
          <w:rFonts w:ascii="Times New Roman" w:cs="Times New Roman" w:eastAsia="Times New Roman" w:hAnsi="Times New Roman"/>
          <w:sz w:val="18"/>
          <w:szCs w:val="18"/>
          <w:color w:val="000000"/>
        </w:rPr>
        <w:t>”), then such removal shall nonetheless become effective in accordance with such notice on the Removal Effective Date.</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5" w:name="page266"/>
    <w:bookmarkEnd w:id="265"/>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11.07 </w:t>
      </w:r>
      <w:r>
        <w:rPr>
          <w:rFonts w:ascii="Times New Roman" w:cs="Times New Roman" w:eastAsia="Times New Roman" w:hAnsi="Times New Roman"/>
          <w:sz w:val="18"/>
          <w:szCs w:val="18"/>
          <w:u w:val="single" w:color="auto"/>
          <w:color w:val="000000"/>
        </w:rPr>
        <w:t>Agents as Lenders</w:t>
      </w:r>
      <w:r>
        <w:rPr>
          <w:rFonts w:ascii="Times New Roman" w:cs="Times New Roman" w:eastAsia="Times New Roman" w:hAnsi="Times New Roman"/>
          <w:sz w:val="18"/>
          <w:szCs w:val="18"/>
          <w:color w:val="000000"/>
        </w:rPr>
        <w:t>. Each bank serving as an Agent hereunder shall have the same rights and powers in its capacity as a Lender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other Lender and may exercise the same as though it were not an Agent, and such bank and its Affiliates may accept deposits from, lend money to and generally engage in any kind of business with the Parent Guarantor, the Borrower or any of their Subsidiaries or other Affiliate thereof as if it were not an Agent hereunder.</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010000"/>
        </w:rPr>
        <w:t>Section 11.08</w:t>
      </w:r>
      <w:r>
        <w:rPr>
          <w:sz w:val="20"/>
          <w:szCs w:val="20"/>
          <w:color w:val="auto"/>
        </w:rPr>
        <w:tab/>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Each Lender acknowledges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and agrees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(a) this Agreement sets forth the terms of a commercial lending facility,</w:t>
      </w:r>
    </w:p>
    <w:p>
      <w:pPr>
        <w:spacing w:after="0" w:line="27" w:lineRule="exact"/>
        <w:rPr>
          <w:sz w:val="20"/>
          <w:szCs w:val="20"/>
          <w:color w:val="auto"/>
        </w:rPr>
      </w:pPr>
    </w:p>
    <w:p>
      <w:pPr>
        <w:jc w:val="both"/>
        <w:ind w:firstLine="8"/>
        <w:spacing w:after="0" w:line="250" w:lineRule="auto"/>
        <w:tabs>
          <w:tab w:leader="none" w:pos="260" w:val="left"/>
        </w:tabs>
        <w:numPr>
          <w:ilvl w:val="0"/>
          <w:numId w:val="21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participating as a Lender, it is engaged in making, acquiring or holding commercial loans and in providing other facilities set forth herein as may be applicable to such Lender in the ordinary course of business, and not for the purpose of investing in the general performance or operations of the Parent Guarantor, the Borrower or their Subsidiaries, or for the purpose of purchasing, acquiring or holding any other type of financial instrument such as a security and each Lender agrees not to assert a claim in contravention of the foregoing, such as a claim under the federal or state securities law, (c)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it has,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independently and without reliance upon the Administrative Agent, any other Agent</w:t>
      </w:r>
      <w:r>
        <w:rPr>
          <w:rFonts w:ascii="Times New Roman" w:cs="Times New Roman" w:eastAsia="Times New Roman" w:hAnsi="Times New Roman"/>
          <w:sz w:val="18"/>
          <w:szCs w:val="18"/>
          <w:u w:val="single" w:color="auto"/>
          <w:color w:val="0000FF"/>
        </w:rPr>
        <w:t>, the Arranger</w:t>
      </w:r>
      <w:r>
        <w:rPr>
          <w:rFonts w:ascii="Times New Roman" w:cs="Times New Roman" w:eastAsia="Times New Roman" w:hAnsi="Times New Roman"/>
          <w:sz w:val="18"/>
          <w:szCs w:val="18"/>
          <w:color w:val="000000"/>
        </w:rPr>
        <w:t xml:space="preserve"> or any other Lender </w:t>
      </w:r>
      <w:r>
        <w:rPr>
          <w:rFonts w:ascii="Times New Roman" w:cs="Times New Roman" w:eastAsia="Times New Roman" w:hAnsi="Times New Roman"/>
          <w:sz w:val="18"/>
          <w:szCs w:val="18"/>
          <w:u w:val="single" w:color="auto"/>
          <w:color w:val="0000FF"/>
        </w:rPr>
        <w:t>or any of the Related Parties of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of the foregoing,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based on such documents and information as it has deemed appropriate, made its own credit analysis and decision to enter into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Agreement and each other Loan Document to which it is a party </w:t>
      </w:r>
      <w:r>
        <w:rPr>
          <w:rFonts w:ascii="Times New Roman" w:cs="Times New Roman" w:eastAsia="Times New Roman" w:hAnsi="Times New Roman"/>
          <w:sz w:val="18"/>
          <w:szCs w:val="18"/>
          <w:u w:val="single" w:color="auto"/>
          <w:color w:val="0000FF"/>
        </w:rPr>
        <w:t>and to make, acquire or hold Loans hereunder and (d) it is sophisticated with respect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r>
        <w:rPr>
          <w:rFonts w:ascii="Times New Roman" w:cs="Times New Roman" w:eastAsia="Times New Roman" w:hAnsi="Times New Roman"/>
          <w:sz w:val="18"/>
          <w:szCs w:val="18"/>
          <w:color w:val="000000"/>
        </w:rPr>
        <w:t>. Each Lender also acknowledges that it will,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independently and without reliance upon the Administrative Agent, any other Agent or any other Lender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 The Agents shall not be required to keep themselves informed as to the performance or observance by the Parent Guarantor, the Borrower or any of their Subsidiaries of this Agreement, the Loan Documents or any other document referred to or provided for herein or to inspect the Properties or books of the Parent Guarantor, the Borrower or any of their Subsidiaries. Except for notices, reports and other documents and information expressly required to be furnished to the Lenders by the Administrative Agent hereunder, none of the Agents nor the Arranger shall have any duty or responsibility to provide any Lender with any credit or other information concerning the affairs, financial condition or business of the Parent Guarantor or the Borrower (or any of their Affiliates) which may come into the possession of the Administrative Agent or any of its Affiliates. In this regard, each Lender acknowledges that </w:t>
      </w:r>
      <w:r>
        <w:rPr>
          <w:rFonts w:ascii="Times New Roman" w:cs="Times New Roman" w:eastAsia="Times New Roman" w:hAnsi="Times New Roman"/>
          <w:sz w:val="18"/>
          <w:szCs w:val="18"/>
          <w:color w:val="FF0000"/>
          <w:strike w:val="1"/>
        </w:rPr>
        <w:t>Vinson</w:t>
      </w:r>
      <w:r>
        <w:rPr>
          <w:rFonts w:ascii="Times New Roman" w:cs="Times New Roman" w:eastAsia="Times New Roman" w:hAnsi="Times New Roman"/>
          <w:sz w:val="18"/>
          <w:szCs w:val="18"/>
          <w:u w:val="single" w:color="auto"/>
          <w:color w:val="0000FF"/>
        </w:rPr>
        <w:t>as of the Fourteenth Amendment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Effective Date, Cravath, Swaine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Elkins</w:t>
      </w:r>
      <w:r>
        <w:rPr>
          <w:rFonts w:ascii="Times New Roman" w:cs="Times New Roman" w:eastAsia="Times New Roman" w:hAnsi="Times New Roman"/>
          <w:sz w:val="18"/>
          <w:szCs w:val="18"/>
          <w:u w:val="single" w:color="auto"/>
          <w:color w:val="0000FF"/>
        </w:rPr>
        <w:t>Moore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LLP is acting in this transaction as special counsel to the Administrative Agent only, except to the extent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otherwise expressly stated in any legal opinion or any Loan Document. Each other party hereto will consult with its own legal counsel to the extent that it deems necessary in connection with the Loan Documents and the matters contemplated therein.</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6" w:name="page267"/>
    <w:bookmarkEnd w:id="266"/>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11.09 </w:t>
      </w:r>
      <w:r>
        <w:rPr>
          <w:rFonts w:ascii="Times New Roman" w:cs="Times New Roman" w:eastAsia="Times New Roman" w:hAnsi="Times New Roman"/>
          <w:sz w:val="18"/>
          <w:szCs w:val="18"/>
          <w:u w:val="single" w:color="auto"/>
          <w:color w:val="000000"/>
        </w:rPr>
        <w:t>Administrative Agent May File Proofs of Claim</w:t>
      </w:r>
      <w:r>
        <w:rPr>
          <w:rFonts w:ascii="Times New Roman" w:cs="Times New Roman" w:eastAsia="Times New Roman" w:hAnsi="Times New Roman"/>
          <w:sz w:val="18"/>
          <w:szCs w:val="18"/>
          <w:color w:val="000000"/>
        </w:rPr>
        <w:t>. In case of the pendency of any receivership, insolvency, liquidation, bankruptcy,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reorganization, arrangement, adjustment, composition or other judicial proceeding relative to the Parent Guarantor, the Borrower or any of their Subsidiaries,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3" w:lineRule="exact"/>
        <w:rPr>
          <w:sz w:val="20"/>
          <w:szCs w:val="20"/>
          <w:color w:val="auto"/>
        </w:rPr>
      </w:pPr>
    </w:p>
    <w:p>
      <w:pPr>
        <w:jc w:val="both"/>
        <w:ind w:firstLine="1304"/>
        <w:spacing w:after="0" w:line="258" w:lineRule="auto"/>
        <w:tabs>
          <w:tab w:leader="none" w:pos="1779" w:val="left"/>
        </w:tabs>
        <w:numPr>
          <w:ilvl w:val="0"/>
          <w:numId w:val="2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11.10 </w:t>
      </w:r>
      <w:r>
        <w:rPr>
          <w:rFonts w:ascii="Times New Roman" w:cs="Times New Roman" w:eastAsia="Times New Roman" w:hAnsi="Times New Roman"/>
          <w:sz w:val="18"/>
          <w:szCs w:val="18"/>
          <w:u w:val="single" w:color="auto"/>
          <w:color w:val="000000"/>
        </w:rPr>
        <w:t>Authority of Administrative Agent to Release Guarantors</w:t>
      </w:r>
      <w:r>
        <w:rPr>
          <w:rFonts w:ascii="Times New Roman" w:cs="Times New Roman" w:eastAsia="Times New Roman" w:hAnsi="Times New Roman"/>
          <w:sz w:val="18"/>
          <w:szCs w:val="18"/>
          <w:color w:val="000000"/>
        </w:rPr>
        <w:t>. Each Lender and the Issuing Bank hereby authorizes the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Agent to, and upon the request of the Borrower, the Administrative Agent, at the Borrower’s expense, shall, release any Guarantor from the Guaranty Agreement pursuant to the terms hereof or thereof. Each Lender and the Issuing Bank hereby authorizes the Administrative Agent to execute and deliver to the Borrower, at the Borrower’s sole cost and expense, any and all releases of guarantees or other documents reasonably requested by the Borrower in connection with (A) the events described in the preceding sentence and (B) any designation of a Restricted Subsidiary as an Unrestricted Subsidiary in compliance with </w:t>
      </w:r>
      <w:r>
        <w:rPr>
          <w:rFonts w:ascii="Times New Roman" w:cs="Times New Roman" w:eastAsia="Times New Roman" w:hAnsi="Times New Roman"/>
          <w:sz w:val="18"/>
          <w:szCs w:val="18"/>
          <w:u w:val="single" w:color="auto"/>
          <w:color w:val="000000"/>
        </w:rPr>
        <w:t>Section 9.06</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11.11 </w:t>
      </w:r>
      <w:r>
        <w:rPr>
          <w:rFonts w:ascii="Times New Roman" w:cs="Times New Roman" w:eastAsia="Times New Roman" w:hAnsi="Times New Roman"/>
          <w:sz w:val="18"/>
          <w:szCs w:val="18"/>
          <w:u w:val="single" w:color="auto"/>
          <w:color w:val="000000"/>
        </w:rPr>
        <w:t>The Arranger and the Syndication Agents</w:t>
      </w:r>
      <w:r>
        <w:rPr>
          <w:rFonts w:ascii="Times New Roman" w:cs="Times New Roman" w:eastAsia="Times New Roman" w:hAnsi="Times New Roman"/>
          <w:sz w:val="18"/>
          <w:szCs w:val="18"/>
          <w:color w:val="000000"/>
        </w:rPr>
        <w:t>. The Arranger and the Syndication Agents shall have no duties, responsibilities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liabilities under this Agreement and the other Loan Documents other than their duties, responsibilities and liabilities in their </w:t>
      </w:r>
      <w:r>
        <w:rPr>
          <w:rFonts w:ascii="Times New Roman" w:cs="Times New Roman" w:eastAsia="Times New Roman" w:hAnsi="Times New Roman"/>
          <w:sz w:val="18"/>
          <w:szCs w:val="18"/>
          <w:color w:val="FF0000"/>
          <w:strike w:val="1"/>
        </w:rPr>
        <w:t>capacity</w:t>
      </w:r>
      <w:r>
        <w:rPr>
          <w:rFonts w:ascii="Times New Roman" w:cs="Times New Roman" w:eastAsia="Times New Roman" w:hAnsi="Times New Roman"/>
          <w:sz w:val="18"/>
          <w:szCs w:val="18"/>
          <w:u w:val="single" w:color="auto"/>
          <w:color w:val="0000FF"/>
        </w:rPr>
        <w:t>respective capacities</w:t>
      </w:r>
      <w:r>
        <w:rPr>
          <w:rFonts w:ascii="Times New Roman" w:cs="Times New Roman" w:eastAsia="Times New Roman" w:hAnsi="Times New Roman"/>
          <w:sz w:val="18"/>
          <w:szCs w:val="18"/>
          <w:color w:val="000000"/>
        </w:rPr>
        <w:t xml:space="preserve"> as Lenders hereunder.</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7" w:name="page268"/>
    <w:bookmarkEnd w:id="267"/>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010000"/>
        </w:rPr>
        <w:t>Section 11.12</w:t>
      </w:r>
      <w:r>
        <w:rPr>
          <w:sz w:val="20"/>
          <w:szCs w:val="20"/>
          <w:color w:val="auto"/>
        </w:rPr>
        <w:tab/>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24" w:val="left"/>
        </w:tabs>
        <w:numPr>
          <w:ilvl w:val="0"/>
          <w:numId w:val="2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 and the Issuing Bank hereby severally agrees that if (i) the Administrative Agent notifies (which such notice shall be conclusive absent manifest error)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or (ii) it receives any payment from the Administrative Agent (or any of its Affiliates) (x) that is in a different amount than, or on a different date from, that specified in a notice of payment sent by the Administrative Agent (or any of its Affiliates) with respect to such payment, (y) that was not preceded or accompanied by a notice of payment sent by the Administrative Agent (or any of its Affiliates) with respect to such payment or (z) that such Lender or Issuing Bank otherwise becomes aware was transmitted, or received, in error or by mistake (in whole or in part) then, in each case an error in payment has been made (any such amounts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whether received as a payment, prepayment or repayment of principal, interest, fees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the Lender or Issuing Bank, as the case may be, is deemed to have knowledge of such error at the time of its receipt of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w:t>
      </w:r>
    </w:p>
    <w:p>
      <w:pPr>
        <w:spacing w:after="0" w:line="197"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861" w:val="left"/>
        </w:tabs>
        <w:numPr>
          <w:ilvl w:val="0"/>
          <w:numId w:val="2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Without limiting the immediately preceding clause (a), each Lender and the Issuing Bank agrees that, in the case of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it shall promptly (and, in all events, within one Business Day of its knowledge (or deemed knowledge) of such error) notify the Administrative Agent in writing of such occurrence and, in the case of either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above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Bank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19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18" w:val="left"/>
        </w:tabs>
        <w:numPr>
          <w:ilvl w:val="0"/>
          <w:numId w:val="2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and each other Loan Party hereby agrees that (x) in the event an Erroneous Payment (or portion thereof) is not recovered from any Lender or the Issuing Bank that has received such Erroneous Payment (or portion thereof) for any reason, the Administrative Agent shall be subrogated to all the rights of such Lender or the Issuing Bank with respect to such amount, (y) an Erroneous Payment shall not pay, prepay, repay, discharge or otherwise satisfy any Indebtedness owed by the Borrower or any other Loan Party and (z) to the extent that an Erroneous Payment was in any way or at any time credited as payment or satisfaction of any of the Indebtedness, the Indebtedness or any part thereof that were so credited, and all rights of the applicable Lender, Issuing Bank, Administrative Agent, or other holder of Indebtedness, as the case may be, shall be reinstated and continue in full force and effect as if such payment or satisfaction had never been received.</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8" w:name="page269"/>
    <w:bookmarkEnd w:id="268"/>
    <w:p>
      <w:pPr>
        <w:jc w:val="both"/>
        <w:ind w:left="-20" w:right="20" w:firstLine="1304"/>
        <w:spacing w:after="0" w:line="266" w:lineRule="auto"/>
        <w:tabs>
          <w:tab w:leader="none" w:pos="2075" w:val="left"/>
        </w:tabs>
        <w:numPr>
          <w:ilvl w:val="0"/>
          <w:numId w:val="2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Indebtedness (or any portion thereof) under any Loan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color w:val="010000"/>
        </w:rPr>
        <w:t>Section 12.01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66" w:lineRule="auto"/>
        <w:tabs>
          <w:tab w:leader="none" w:pos="2033" w:val="left"/>
        </w:tabs>
        <w:numPr>
          <w:ilvl w:val="0"/>
          <w:numId w:val="2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12.01(b)</w:t>
      </w:r>
      <w:r>
        <w:rPr>
          <w:rFonts w:ascii="Times New Roman" w:cs="Times New Roman" w:eastAsia="Times New Roman" w:hAnsi="Times New Roman"/>
          <w:sz w:val="18"/>
          <w:szCs w:val="18"/>
          <w:color w:val="auto"/>
        </w:rPr>
        <w:t>), all notices and other communications provided for herein shall be in writing and shall be delivered by hand or overnight courier service, mailed by certified or registered mail or sent by telecopy, as follows:</w:t>
      </w:r>
    </w:p>
    <w:p>
      <w:pPr>
        <w:spacing w:after="0" w:line="175" w:lineRule="exact"/>
        <w:rPr>
          <w:rFonts w:ascii="Times New Roman" w:cs="Times New Roman" w:eastAsia="Times New Roman" w:hAnsi="Times New Roman"/>
          <w:sz w:val="18"/>
          <w:szCs w:val="18"/>
          <w:color w:val="010000"/>
        </w:rPr>
      </w:pPr>
    </w:p>
    <w:p>
      <w:pPr>
        <w:ind w:left="2600" w:hanging="668"/>
        <w:spacing w:after="0"/>
        <w:tabs>
          <w:tab w:leader="none" w:pos="2600" w:val="left"/>
        </w:tabs>
        <w:numPr>
          <w:ilvl w:val="1"/>
          <w:numId w:val="2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the Borrower, to it at:</w:t>
      </w:r>
    </w:p>
    <w:p>
      <w:pPr>
        <w:spacing w:after="0" w:line="225" w:lineRule="exact"/>
        <w:rPr>
          <w:rFonts w:ascii="Times New Roman" w:cs="Times New Roman" w:eastAsia="Times New Roman" w:hAnsi="Times New Roman"/>
          <w:sz w:val="18"/>
          <w:szCs w:val="18"/>
          <w:color w:val="010000"/>
        </w:rPr>
      </w:pPr>
    </w:p>
    <w:p>
      <w:pPr>
        <w:ind w:left="258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Diamondback E&amp;P LLC</w:t>
      </w:r>
    </w:p>
    <w:p>
      <w:pPr>
        <w:spacing w:after="0" w:line="27" w:lineRule="exact"/>
        <w:rPr>
          <w:rFonts w:ascii="Times New Roman" w:cs="Times New Roman" w:eastAsia="Times New Roman" w:hAnsi="Times New Roman"/>
          <w:sz w:val="18"/>
          <w:szCs w:val="18"/>
          <w:color w:val="010000"/>
        </w:rPr>
      </w:pPr>
    </w:p>
    <w:p>
      <w:pPr>
        <w:ind w:left="2580" w:right="6260"/>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500 West Texas </w:t>
      </w:r>
      <w:r>
        <w:rPr>
          <w:rFonts w:ascii="Times New Roman" w:cs="Times New Roman" w:eastAsia="Times New Roman" w:hAnsi="Times New Roman"/>
          <w:sz w:val="18"/>
          <w:szCs w:val="18"/>
          <w:u w:val="single" w:color="auto"/>
          <w:color w:val="0000FF"/>
        </w:rPr>
        <w:t>Ave.</w:t>
      </w:r>
      <w:r>
        <w:rPr>
          <w:rFonts w:ascii="Times New Roman" w:cs="Times New Roman" w:eastAsia="Times New Roman" w:hAnsi="Times New Roman"/>
          <w:sz w:val="18"/>
          <w:szCs w:val="18"/>
          <w:color w:val="auto"/>
        </w:rPr>
        <w:t>, Suite 1200 Midland, Texas 79701</w:t>
      </w:r>
    </w:p>
    <w:p>
      <w:pPr>
        <w:ind w:left="258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Teresa L. Dick</w:t>
      </w:r>
      <w:r>
        <w:rPr>
          <w:rFonts w:ascii="Times New Roman" w:cs="Times New Roman" w:eastAsia="Times New Roman" w:hAnsi="Times New Roman"/>
          <w:sz w:val="18"/>
          <w:szCs w:val="18"/>
          <w:u w:val="single" w:color="auto"/>
          <w:color w:val="0000FF"/>
        </w:rPr>
        <w:t>Kaes Van’t Hof</w:t>
      </w:r>
      <w:r>
        <w:rPr>
          <w:rFonts w:ascii="Times New Roman" w:cs="Times New Roman" w:eastAsia="Times New Roman" w:hAnsi="Times New Roman"/>
          <w:sz w:val="18"/>
          <w:szCs w:val="18"/>
          <w:color w:val="auto"/>
        </w:rPr>
        <w:t>, CFO</w:t>
      </w:r>
    </w:p>
    <w:p>
      <w:pPr>
        <w:spacing w:after="0" w:line="9" w:lineRule="exact"/>
        <w:rPr>
          <w:rFonts w:ascii="Times New Roman" w:cs="Times New Roman" w:eastAsia="Times New Roman" w:hAnsi="Times New Roman"/>
          <w:sz w:val="18"/>
          <w:szCs w:val="18"/>
          <w:color w:val="010000"/>
        </w:rPr>
      </w:pPr>
    </w:p>
    <w:p>
      <w:pPr>
        <w:ind w:left="258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Telecopy: </w:t>
      </w:r>
      <w:r>
        <w:rPr>
          <w:rFonts w:ascii="Times New Roman" w:cs="Times New Roman" w:eastAsia="Times New Roman" w:hAnsi="Times New Roman"/>
          <w:sz w:val="18"/>
          <w:szCs w:val="18"/>
          <w:color w:val="FF0000"/>
          <w:strike w:val="1"/>
        </w:rPr>
        <w:t>405-286-5920</w:t>
      </w:r>
      <w:r>
        <w:rPr>
          <w:rFonts w:ascii="Times New Roman" w:cs="Times New Roman" w:eastAsia="Times New Roman" w:hAnsi="Times New Roman"/>
          <w:sz w:val="18"/>
          <w:szCs w:val="18"/>
          <w:u w:val="single" w:color="auto"/>
          <w:color w:val="0000FF"/>
        </w:rPr>
        <w:t>432-245-6007</w:t>
      </w:r>
    </w:p>
    <w:p>
      <w:pPr>
        <w:spacing w:after="0" w:line="9" w:lineRule="exact"/>
        <w:rPr>
          <w:rFonts w:ascii="Times New Roman" w:cs="Times New Roman" w:eastAsia="Times New Roman" w:hAnsi="Times New Roman"/>
          <w:sz w:val="18"/>
          <w:szCs w:val="18"/>
          <w:color w:val="010000"/>
        </w:rPr>
      </w:pPr>
    </w:p>
    <w:p>
      <w:pPr>
        <w:ind w:left="258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tdick</w:t>
      </w:r>
      <w:r>
        <w:rPr>
          <w:rFonts w:ascii="Times New Roman" w:cs="Times New Roman" w:eastAsia="Times New Roman" w:hAnsi="Times New Roman"/>
          <w:sz w:val="18"/>
          <w:szCs w:val="18"/>
          <w:u w:val="single" w:color="auto"/>
          <w:color w:val="0000FF"/>
        </w:rPr>
        <w:t>kvanthof</w:t>
      </w:r>
      <w:r>
        <w:rPr>
          <w:rFonts w:ascii="Times New Roman" w:cs="Times New Roman" w:eastAsia="Times New Roman" w:hAnsi="Times New Roman"/>
          <w:sz w:val="18"/>
          <w:szCs w:val="18"/>
          <w:color w:val="auto"/>
        </w:rPr>
        <w:t>@diamondbackenergy.com</w:t>
      </w:r>
    </w:p>
    <w:p>
      <w:pPr>
        <w:spacing w:after="0" w:line="206" w:lineRule="exact"/>
        <w:rPr>
          <w:rFonts w:ascii="Times New Roman" w:cs="Times New Roman" w:eastAsia="Times New Roman" w:hAnsi="Times New Roman"/>
          <w:sz w:val="18"/>
          <w:szCs w:val="18"/>
          <w:color w:val="010000"/>
        </w:rPr>
      </w:pPr>
    </w:p>
    <w:p>
      <w:pPr>
        <w:ind w:left="2640" w:hanging="708"/>
        <w:spacing w:after="0"/>
        <w:tabs>
          <w:tab w:leader="none" w:pos="2640" w:val="left"/>
        </w:tabs>
        <w:numPr>
          <w:ilvl w:val="1"/>
          <w:numId w:val="2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the Administrative Agent, the Issuing Bank, or the Swingline Lender, to it at:</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1525 West W.T. Harris Boulevard</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MAC D</w:t>
      </w:r>
      <w:r>
        <w:rPr>
          <w:rFonts w:ascii="Times New Roman" w:cs="Times New Roman" w:eastAsia="Times New Roman" w:hAnsi="Times New Roman"/>
          <w:sz w:val="18"/>
          <w:szCs w:val="18"/>
          <w:color w:val="FF0000"/>
          <w:strike w:val="1"/>
        </w:rPr>
        <w:t>1109-019</w:t>
      </w:r>
      <w:r>
        <w:rPr>
          <w:rFonts w:ascii="Times New Roman" w:cs="Times New Roman" w:eastAsia="Times New Roman" w:hAnsi="Times New Roman"/>
          <w:sz w:val="18"/>
          <w:szCs w:val="18"/>
          <w:u w:val="single" w:color="auto"/>
          <w:color w:val="0000FF"/>
        </w:rPr>
        <w:t>1116-025</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Charlotte, NC 28252</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Dugan McDermott</w:t>
      </w:r>
      <w:r>
        <w:rPr>
          <w:rFonts w:ascii="Times New Roman" w:cs="Times New Roman" w:eastAsia="Times New Roman" w:hAnsi="Times New Roman"/>
          <w:sz w:val="18"/>
          <w:szCs w:val="18"/>
          <w:u w:val="single" w:color="auto"/>
          <w:color w:val="0000FF"/>
        </w:rPr>
        <w:t>Silas Bailey</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 xml:space="preserve">Telecopy: </w:t>
      </w:r>
      <w:r>
        <w:rPr>
          <w:rFonts w:ascii="Times New Roman" w:cs="Times New Roman" w:eastAsia="Times New Roman" w:hAnsi="Times New Roman"/>
          <w:sz w:val="18"/>
          <w:szCs w:val="18"/>
          <w:color w:val="FF0000"/>
          <w:strike w:val="1"/>
        </w:rPr>
        <w:t>704.590.2082</w:t>
      </w:r>
      <w:r>
        <w:rPr>
          <w:rFonts w:ascii="Times New Roman" w:cs="Times New Roman" w:eastAsia="Times New Roman" w:hAnsi="Times New Roman"/>
          <w:sz w:val="18"/>
          <w:szCs w:val="18"/>
          <w:u w:val="single" w:color="auto"/>
          <w:color w:val="0000FF"/>
        </w:rPr>
        <w:t>844-879-5899</w:t>
      </w:r>
    </w:p>
    <w:p>
      <w:pPr>
        <w:spacing w:after="0" w:line="2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Dugan.Mcdermott@wellsfargo.com</w:t>
      </w:r>
      <w:r>
        <w:rPr>
          <w:rFonts w:ascii="Times New Roman" w:cs="Times New Roman" w:eastAsia="Times New Roman" w:hAnsi="Times New Roman"/>
          <w:sz w:val="18"/>
          <w:szCs w:val="18"/>
          <w:u w:val="single" w:color="auto"/>
          <w:color w:val="0000FF"/>
        </w:rPr>
        <w:t>Silas.Bailey@wellsfargo.com;</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FF0000"/>
          <w:strike w:val="1"/>
        </w:rPr>
        <w:t>Agencyservices.requests@wellsfargo.com</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u w:val="single" w:color="auto"/>
          <w:color w:val="0000FF"/>
        </w:rPr>
        <w:t>Agencyservices.requests@wellsfargo.com</w:t>
      </w:r>
    </w:p>
    <w:p>
      <w:pPr>
        <w:spacing w:after="0" w:line="207" w:lineRule="exact"/>
        <w:rPr>
          <w:sz w:val="20"/>
          <w:szCs w:val="20"/>
          <w:color w:val="auto"/>
        </w:rPr>
      </w:pPr>
    </w:p>
    <w:p>
      <w:pPr>
        <w:ind w:left="5500" w:right="840" w:hanging="3568"/>
        <w:spacing w:after="0" w:line="485" w:lineRule="auto"/>
        <w:tabs>
          <w:tab w:leader="none" w:pos="2660" w:val="left"/>
        </w:tabs>
        <w:numPr>
          <w:ilvl w:val="0"/>
          <w:numId w:val="2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any other Lender, to it at its address (or telecopy number) set forth in its Administrative Questionnaire.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69" w:name="page270"/>
    <w:bookmarkEnd w:id="269"/>
    <w:p>
      <w:pPr>
        <w:jc w:val="both"/>
        <w:ind w:firstLine="1304"/>
        <w:spacing w:after="0" w:line="258" w:lineRule="auto"/>
        <w:tabs>
          <w:tab w:leader="none" w:pos="2023" w:val="left"/>
        </w:tabs>
        <w:numPr>
          <w:ilvl w:val="0"/>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64" w:val="left"/>
        </w:tabs>
        <w:numPr>
          <w:ilvl w:val="0"/>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party hereto may change its address, email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12.02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96" w:val="left"/>
        </w:tabs>
        <w:numPr>
          <w:ilvl w:val="0"/>
          <w:numId w:val="2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failure on the part of the Administrative Agent, any other Agent, the Issuing Bank or any Lender to exercise and no delay in exercising, and no course of dealing with respect to, any right, power or privilege, or any abandonment or discontinuance of steps to enforce such right, power or privilege, under any of the Loan Documents shall operate as a waiver thereof, nor shall any single or partial exercise of any right, power or privilege under any of the Loan Documents preclude any other or further exercise thereof or the exercise of any other right, power or privilege. The rights and remedies of the Administrative Agent, each other Agent, the Issuing Bank and the Lenders hereunder and under the other Loan Documents are cumulative and are not exclusive of any rights or remedies that they would otherwise have. No waiver of any provision of this Agreement or any other Loan Document or consent to any departure by the Parent Guarantor, the Borrower or any of the Restricted Subsidiaries therefrom shall in any event be effective unless the same shall be permitted by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other Agent, any Lender or the Issuing Bank may have had notice or knowledge of such Default at the time.</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0" w:name="page271"/>
    <w:bookmarkEnd w:id="270"/>
    <w:p>
      <w:pPr>
        <w:jc w:val="both"/>
        <w:ind w:firstLine="1304"/>
        <w:spacing w:after="0" w:line="251" w:lineRule="auto"/>
        <w:tabs>
          <w:tab w:leader="none" w:pos="1955" w:val="left"/>
        </w:tabs>
        <w:numPr>
          <w:ilvl w:val="0"/>
          <w:numId w:val="2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with respect to the implementation of a Benchmark Replacement, neither this Agreement nor any provision hereof nor the Guaranty Agreement nor any provision thereof may be waived, amended or modified except pursuant to an agreement or agreements in writing entered into by the Parent Guarantor, the Borrower and the Majority Lenders or by the Parent Guarantor, the Borrower and the Administrative Agent with the consent of the Majority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or extend the Commitment of any Lender without the written consent of such Lender, (ii) reduce the principal amount of any Loan or LC Disbursement or reduce the rate of interest thereon, or reduce any fees payable hereunder, or reduce any other Indebtedness hereunder or under any other Loan Document, without the written consent of each Lender affected thereby, (iii) postpone the scheduled date of payment or prepayment of the principal amount of any Loan or LC Disbursement, or any interest thereon, or any fees payable hereunder, or any other Indebtedness hereunder or under any other Loan Document, or reduce the amount of, waive or excuse any such payment, or, except to the extent expressly contemplated by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with respect to extensions of the Existing Maturity Date, postpone or extend the Termination Date without the written consent of each Lender affected thereby, (iv) (A) change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in a manner that would alter the pro rata reduction of the total Commitments or pro rata sharing of payments, as applicable, required thereby, (B) subordinate any of the Indebtedness owed to the Lenders in right of payment to any other Debt or otherwise adversely affect the priority of payment of any of such Indebtedness in any material respect or (C) if at any time the Indebtedness owed to the Lenders under the Loan Documents is secured by Liens, subordinate any such Liens (excluding any Liens that the Administrative Agent is authorized to release or subordinate pursuant to the express terms of the Loan Documents) to Liens securing any other Debt, in each case under this clause (iv) without the written consent of each Lender; (v) waive or amend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change the definition of the term “Subsidiary”, without the written consent of each Lender; (vi) release the Parent Guarantor without the written consent of each Lender (provided, however, that for the avoidance of doubt, the release of any Guarantor (other than the Parent Guarantor) pursuant to the definition of “Guarantor” shall not require notice to, or vote or consent of, any Lender, Issuing Bank, Swingline Lender, Lender Swap Party, Cash Management Provider, or any other holder of Indebtedness), or (vii) change any of the provisions of this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 xml:space="preserve"> or the definitions of “Majority Lenders” or any other provision hereof specifying the number or percentage of Lenders required to waive, amend or modify any rights hereunder or under any other Loan Documents or make any determination or grant any consent hereunder or any other Loan Documents, without the written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any other Agent, the Issuing Bank, or the Swingline Lender hereunder or under any other Loan Document without the prior written consent of the Administrative Agent, such other Agent, the Issuing Bank, or the Swingline Lender, as the case may be. Notwithstanding the foregoing, (I) joinders and modifications contemplated by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require the consent of any Person other than the Borrower, the Administrative Agent and, to the extent applicable, any Lenders executing Commitment Increase Certificates and any Additional Lenders executing Additional Lender Certificates and (II) no Defaulting Lender shall have any right to approve or disapprove any amendment, waiver or consent hereunder, except that the Commitment of such Lender may not be increased or extended or amounts owed to such Lenders reduced, or the final maturity thereof extended without the consent of such Lender, and any amendment to further restrict the voting rights of Defaulting Lenders shall require the consent of all Lenders.</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1" w:name="page272"/>
    <w:bookmarkEnd w:id="271"/>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12.03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09" w:val="left"/>
        </w:tabs>
        <w:numPr>
          <w:ilvl w:val="1"/>
          <w:numId w:val="2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pay (i) all reasonable </w:t>
      </w:r>
      <w:r>
        <w:rPr>
          <w:rFonts w:ascii="Times New Roman" w:cs="Times New Roman" w:eastAsia="Times New Roman" w:hAnsi="Times New Roman"/>
          <w:sz w:val="18"/>
          <w:szCs w:val="18"/>
          <w:u w:val="single" w:color="auto"/>
          <w:color w:val="0000FF"/>
        </w:rPr>
        <w:t>and documented</w:t>
      </w:r>
      <w:r>
        <w:rPr>
          <w:rFonts w:ascii="Times New Roman" w:cs="Times New Roman" w:eastAsia="Times New Roman" w:hAnsi="Times New Roman"/>
          <w:sz w:val="18"/>
          <w:szCs w:val="18"/>
          <w:color w:val="auto"/>
        </w:rPr>
        <w:t xml:space="preserve"> out-of-pocket expenses incurred by the Administrative Agent and its Affiliates, including, without limitation, the reasonable fees, charges and disbursements of counsel </w:t>
      </w:r>
      <w:r>
        <w:rPr>
          <w:rFonts w:ascii="Times New Roman" w:cs="Times New Roman" w:eastAsia="Times New Roman" w:hAnsi="Times New Roman"/>
          <w:sz w:val="18"/>
          <w:szCs w:val="18"/>
          <w:u w:val="single" w:color="auto"/>
          <w:color w:val="0000FF"/>
        </w:rPr>
        <w:t>(in the case of fees, disbursements and other charges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counsel, limited to the reasonable and documented fees, disbursements and other charges of one counsel to the Administrative Agent and, if reasonably necessary, of one local counsel in any relevant jurisdiction)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other outside consultants for the Administrative Agent, the reasonable travel, photocopy,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mailing, courier, telephone and other similar expenses, </w:t>
      </w:r>
      <w:r>
        <w:rPr>
          <w:rFonts w:ascii="Times New Roman" w:cs="Times New Roman" w:eastAsia="Times New Roman" w:hAnsi="Times New Roman"/>
          <w:sz w:val="18"/>
          <w:szCs w:val="18"/>
          <w:color w:val="FF0000"/>
          <w:strike w:val="1"/>
        </w:rPr>
        <w:t>and the cost of environmental invasive and non-invasive assessments and audits and surveys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appraisals,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connection with the syndication of the credit facilities provided for herein, the preparation, negotiation, execution, delivery and administration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(both before and after the execution hereof and including advice of counsel to the Administrative Agent as to the rights and duties of the Administrative Agent and the Lenders with respect thereto) of this Agreement and the other Loan Documents and any amendments, modifications or waivers of or consents related to the provisions hereof or thereof (whether or not the transactions contemplated hereby or thereby shall be consummated), (ii) [reserved],</w:t>
      </w:r>
    </w:p>
    <w:p>
      <w:pPr>
        <w:spacing w:after="0" w:line="6" w:lineRule="exact"/>
        <w:rPr>
          <w:rFonts w:ascii="Times New Roman" w:cs="Times New Roman" w:eastAsia="Times New Roman" w:hAnsi="Times New Roman"/>
          <w:sz w:val="18"/>
          <w:szCs w:val="18"/>
          <w:color w:val="010000"/>
        </w:rPr>
      </w:pPr>
    </w:p>
    <w:p>
      <w:pPr>
        <w:jc w:val="both"/>
        <w:ind w:firstLine="8"/>
        <w:spacing w:after="0" w:line="252" w:lineRule="auto"/>
        <w:tabs>
          <w:tab w:leader="none" w:pos="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reasonable </w:t>
      </w:r>
      <w:r>
        <w:rPr>
          <w:rFonts w:ascii="Times New Roman" w:cs="Times New Roman" w:eastAsia="Times New Roman" w:hAnsi="Times New Roman"/>
          <w:sz w:val="18"/>
          <w:szCs w:val="18"/>
          <w:u w:val="single" w:color="auto"/>
          <w:color w:val="0000FF"/>
        </w:rPr>
        <w:t>and documented</w:t>
      </w:r>
      <w:r>
        <w:rPr>
          <w:rFonts w:ascii="Times New Roman" w:cs="Times New Roman" w:eastAsia="Times New Roman" w:hAnsi="Times New Roman"/>
          <w:sz w:val="18"/>
          <w:szCs w:val="18"/>
          <w:color w:val="auto"/>
        </w:rPr>
        <w:t xml:space="preserve"> out-of-pocket expenses incurred by the Issuing Bank in connection with the issuance, amendment, renewal or extension of any Letter of Credit or any demand for payment thereunder, and (iv) all out-of-pocket expenses incurred by any Agent, the Issuing Bank or any Lender, including the fees, charges and disbursements of any counsel for any Agent, the Issuing Bank or any Lender, in connection with the enforcement or protection of its rights in connection with this Agreement or any other Loan Document, including its rights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or in connection with the Loans made or Letters of Credit issued hereunder, including, without limitation, all such out-of-pocket expenses incurred during any workout, restructuring or negotiations in respect of such Loans or Letters of Credit.</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jc w:val="both"/>
        <w:ind w:firstLine="1304"/>
        <w:spacing w:after="0" w:line="251" w:lineRule="auto"/>
        <w:tabs>
          <w:tab w:leader="none" w:pos="1874" w:val="left"/>
        </w:tabs>
        <w:numPr>
          <w:ilvl w:val="0"/>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INDEMNIFY EACH AGENT, THE ARRANGER, THE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DEFEND AND HOLD EACH INDEMNITEE HARMLESS FROM, ANY AND ALL LOSSES, CLAIMS, DAMAGES, LIABILITIES AND RELATED EXPENSES, INCLUDING THE REASONABLE FEES, CHARGES AND DISBURSEMENTS OF ANY COUNSEL FOR ANY INDEMNITEE </w:t>
      </w:r>
      <w:r>
        <w:rPr>
          <w:rFonts w:ascii="Times New Roman" w:cs="Times New Roman" w:eastAsia="Times New Roman" w:hAnsi="Times New Roman"/>
          <w:sz w:val="18"/>
          <w:szCs w:val="18"/>
          <w:u w:val="single" w:color="auto"/>
          <w:color w:val="0000FF"/>
        </w:rPr>
        <w:t>(IN THE CASE OF FEES, DISBURSEMENTS AND CHARGES OF COUNSEL, LIMITED TO THE REASONABLE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DOCUMENTED FEES, DISBURSEMENTS AND OTHER CHARGES OF ONE COUNSEL TO ALL INDEMNITEES, TAKEN TOGETHER (AND, IF REASONABLY NECESSARY, ONE LOCAL COUNSEL IN ANY RELEVANT JURISDICTION AND, SOLELY IN THE CASE OF AN ACTUAL OR POTENTIAL CONFLICT OF INTEREST, OF ONE ADDITIONAL COUNSEL (AND, IF REASONABLY NECESSARY, ONE ADDITIONAL LOCAL COUNSEL IN ANY RELEVANT JURISDICTION) FOR ALL AFFECTED INDEMNITEES TAKEN TOGETHER))</w:t>
      </w:r>
      <w:r>
        <w:rPr>
          <w:rFonts w:ascii="Times New Roman" w:cs="Times New Roman" w:eastAsia="Times New Roman" w:hAnsi="Times New Roman"/>
          <w:sz w:val="18"/>
          <w:szCs w:val="18"/>
          <w:color w:val="000000"/>
        </w:rPr>
        <w:t>, INCURRED BY OR ASSERTED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AGAINST ANY INDEMNITEE ARISING OUT OF, IN CONNECTION WITH, OR AS A RESULT OF (i) THE EXECUTION OR DELIVERY OF THIS AGREEMENT OR ANY OTHER LOAN DOCUMENT OR ANY AGREEMENT OR INSTRUMENT CONTEMPLATED HEREBY OR THEREBY, THE PERFORMANCE BY THE PARTIES HERETO OR THE PARTIES TO ANY OTHER LOAN DOCUMENT OF THEIR RESPECTIVE OBLIGATIONS HEREUNDER OR THEREUNDER OR THE CONSUMMATION OF THE TRANSACTIONS CONTEMPLATED HEREBY OR BY ANY OTHER LOAN DOCUMENT, (ii) THE FAILURE OF THE PARENT GUARANTOR, THE BORROWER OR ANY OF THE RESTRICTED SUBSIDIARIES TO COMPLY WITH THE TERMS OF ANY LOAN DOCUMENT, INCLUDING THIS AGREEMENT, OR WITH ANY GOVERNMENTAL REQUIREMENT, (iii) ANY INACCURACY OF ANY REPRESENTATION OR ANY BREACH OF ANY WARRANTY OR COVENANT OF THE PARENT GUARANTOR, THE BORROWER OR ANY OTHER GUARANTOR SET FORTH IN ANY OF THE LOAN DOCUMENTS OR ANY INSTRUMENTS, DOCUMENTS OR CERTIFICATIONS DELIVERED IN CONNECTION THEREWITH, (iv) ANY LOAN OR LETTER OF CREDIT OR THE USE OF THE PROCEEDS THEREFROM, INCLUDING, WITHOUT LIMITATION, (A) ANY REFUSAL BY THE ISSUING BANK TO HONOR A DEMAND FOR PAYMENT UNDER A LETTER OF CREDIT IF THE DOCUMENTS PRESENTED IN CONNECTION WITH SUCH DEMAND DO NOT STRICTLY COMPLY WITH THE TERMS OF SUCH LETTER OF CREDIT, OR (B) THE PAYMENT OF A DRAWING UNDER ANY LETTER OF CREDIT NOTWITHSTANDING THE NON-COMPLIANCE, NON-DELIVERY OR OTHER IMPROPER PRESENTATION OF THE DOCUMENTS PRESENTED IN CONNECTION THEREWITH, (v) ANY OTHER ASPECT OF THE LOAN DOCUMENTS, (vi) THE OPERATIONS OF THE BUSINESS OF THE PARENT GUARANTOR, THE BORROWER AND THE RESTRICTED SUBSIDIARIES BY THE PARENT GUARANTOR, THE BORROWER AND THE RESTRICTED SUBSIDIARIES, (vii) [RESERVED], (viii)</w:t>
      </w:r>
    </w:p>
    <w:p>
      <w:pPr>
        <w:spacing w:after="0" w:line="6" w:lineRule="exact"/>
        <w:rPr>
          <w:rFonts w:ascii="Times New Roman" w:cs="Times New Roman" w:eastAsia="Times New Roman" w:hAnsi="Times New Roman"/>
          <w:sz w:val="18"/>
          <w:szCs w:val="18"/>
          <w:color w:val="010000"/>
        </w:rPr>
      </w:pPr>
    </w:p>
    <w:p>
      <w:pPr>
        <w:jc w:val="both"/>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0000FF"/>
        </w:rPr>
        <w:t>VIOLATION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ENVIRONMENTAL LAW APPLICABLE TO THE PARENT GUARANTOR, THE BORROWER OR ANY RESTRICTED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SUBSIDIARY OR ANY OF THEIR PROPERTIES OR OPERATIONS, INCLUDING THE PRESENCE, GENERATION, STORAGE, RELEASE, THREATENED RELEASE, USE, TRANSPORT, DISPOSAL, ARRANGEMENT OF DISPOSAL OR TREATMENT OF HAZARDOUS MATERIALS ON OR AT ANY OF THEIR PROPERTIES, (ix) </w:t>
      </w:r>
      <w:r>
        <w:rPr>
          <w:rFonts w:ascii="Times New Roman" w:cs="Times New Roman" w:eastAsia="Times New Roman" w:hAnsi="Times New Roman"/>
          <w:sz w:val="18"/>
          <w:szCs w:val="18"/>
          <w:color w:val="FF0000"/>
          <w:strike w:val="1"/>
        </w:rPr>
        <w:t>THE BREACH OR NON-COMPLIANCE BY THE PARENT GUARANTOR, THE BORROWER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ANY RESTRICTED SUBSIDIARY WITH ANY ENVIRONMENTAL LAW APPLICABLE TO THE PARENT GUARANTOR, THE BORROWER OR ANY RESTRICTED SUBSIDIARY, (x) THE PAST OWNERSHIP </w:t>
      </w:r>
      <w:r>
        <w:rPr>
          <w:rFonts w:ascii="Times New Roman" w:cs="Times New Roman" w:eastAsia="Times New Roman" w:hAnsi="Times New Roman"/>
          <w:sz w:val="18"/>
          <w:szCs w:val="18"/>
          <w:color w:val="00C000"/>
          <w:strike w:val="1"/>
        </w:rPr>
        <w:t>BY THE PARENT GUARANTOR, THE BORROWER OR ANY</w:t>
      </w:r>
      <w:r>
        <w:rPr>
          <w:rFonts w:ascii="Times New Roman" w:cs="Times New Roman" w:eastAsia="Times New Roman" w:hAnsi="Times New Roman"/>
          <w:sz w:val="18"/>
          <w:szCs w:val="18"/>
          <w:color w:val="FF0000"/>
          <w:strike w:val="1"/>
        </w:rPr>
        <w:t xml:space="preserve"> RESTRICTED SUBSIDIARY OF ANY OF THEIR PROPERTIES OR PAST ACTIVITY ON ANY OF THEIR PROPERTIES WHICH, THOUGH LAWFUL AND FULLY PERMISSIBLE AT THE TIME, COULD RESULT IN PRESENT LIABILITY</w:t>
      </w:r>
      <w:r>
        <w:rPr>
          <w:rFonts w:ascii="Times New Roman" w:cs="Times New Roman" w:eastAsia="Times New Roman" w:hAnsi="Times New Roman"/>
          <w:sz w:val="18"/>
          <w:szCs w:val="18"/>
          <w:u w:val="single" w:color="auto"/>
          <w:color w:val="0000FF"/>
          <w:strike w:val="1"/>
        </w:rPr>
        <w:t>[RESERVED], (x) [RESERVED]</w:t>
      </w:r>
      <w:r>
        <w:rPr>
          <w:rFonts w:ascii="Times New Roman" w:cs="Times New Roman" w:eastAsia="Times New Roman" w:hAnsi="Times New Roman"/>
          <w:sz w:val="18"/>
          <w:szCs w:val="18"/>
          <w:color w:val="000000"/>
          <w:strike w:val="1"/>
        </w:rPr>
        <w:t>, (xi) THE PRESENCE, USE,</w:t>
      </w:r>
    </w:p>
    <w:p>
      <w:pPr>
        <w:spacing w:after="0" w:line="3" w:lineRule="exact"/>
        <w:rPr>
          <w:rFonts w:ascii="Times New Roman" w:cs="Times New Roman" w:eastAsia="Times New Roman" w:hAnsi="Times New Roman"/>
          <w:sz w:val="18"/>
          <w:szCs w:val="18"/>
          <w:color w:val="010000"/>
        </w:rPr>
      </w:pPr>
    </w:p>
    <w:p>
      <w:pPr>
        <w:jc w:val="both"/>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RELEASE, STORAGE, TREATMENT, DISPOSAL, GENERATION, THREATENED RELEASE, TRANSPORT, ARRANGEMENT FOR TRANSPORT OR ARRANGEMENT FOR DISPOSAL HAZARDOUS MATERIALS ON OR AT ANY OF THE PROPERTIES OWNED OR OPERATED BY THE PARENT GUARANTOR, THE BORROWER OR ANY RESTRICTED SUBSIDIARY OR ANY ACTUAL OR ALLEGED PRESENCE OR RELEASE OF HAZARDOUS MATERIALS ON OR FROM ANY PROPERTY OWNED OR OPERATED BY THE PARENT GUARANTOR, THE BORROWER OR ANY RESTRICTED SUBSIDIARY, (xii) ANY ENVIRONMENTAL LIABILITY RELATED IN ANY WAY TO THE PARENT GUARANTOR, THE BORROWER OR ANY RESTRICTED SUBSIDIARY, OR (xiii) </w:t>
      </w:r>
      <w:r>
        <w:rPr>
          <w:rFonts w:ascii="Times New Roman" w:cs="Times New Roman" w:eastAsia="Times New Roman" w:hAnsi="Times New Roman"/>
          <w:sz w:val="18"/>
          <w:szCs w:val="18"/>
          <w:color w:val="FF0000"/>
          <w:strike w:val="1"/>
        </w:rPr>
        <w:t>ANY OTHER ENVIRONMENTAL, HEALTH OR SAFETY CONDITION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CONNECTION WITH THE LOAN DOCUMENTS</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000000"/>
        </w:rPr>
        <w:t>, OR (xiv) ANY ACTUAL OR PROSPECTIVE CLAIM, LITIGATION,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INVESTIGATION OR PROCEEDING RELATING TO ANY OF THE FOREGOING, WHETHER BASED ON CONTRACT, TORT OR ANY OTHER THEORY AND REGARDLESS OF WHETHER ANY INDEMNITEE IS A PARTY THERETO, AND SUCH INDEMNITY SHALL EXTEND TO EACH INDEMNITEE NOTWITHSTANDING THE SOLE OR CONCURRENT NEGLIGENCE OF EVERY KIND OR CHARACTER WHATSOEVER, WHETHER ACTIVE OR PASSIVE, WHETHER AN AFFIRMATIVE ACT OR AN OMISSION, INCLUDING WITHOUT LIMITATION, ALL TYPES OF NEGLIGENT CONDUCT IDENTIFIED IN THE RESTATEMENT (SECOND) OF TORTS OF ONE OR MORE OF THE INDEMNITEES OR BY REASON OF STRICT LIABILITY IMPOSED WITHOUT FAULT ON ANY ONE OR MORE OF THE INDEMNITEES;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INDEMNITY SHALL NOT, AS TO ANY INDEMNITEE, BE AVAILABLE TO THE EXTENT THAT SUCH LOSSES, CLAIMS, DAMAGES, LIABILITIES OR RELATED EXPENSES ARE DETERMINED BY A COURT OF COMPETENT JURISDICTION BY FINAL AND NONAPPEALABLE JUDGMENT TO HAVE RESULTED FROM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u w:val="single" w:color="auto"/>
          <w:color w:val="0000FF"/>
        </w:rPr>
        <w:t>BAD FAITH,</w:t>
      </w:r>
      <w:r>
        <w:rPr>
          <w:rFonts w:ascii="Times New Roman" w:cs="Times New Roman" w:eastAsia="Times New Roman" w:hAnsi="Times New Roman"/>
          <w:sz w:val="18"/>
          <w:szCs w:val="18"/>
          <w:color w:val="000000"/>
        </w:rPr>
        <w:t xml:space="preserve"> GROSS NEGLIGENCE OR WILLFUL MISCONDUCT OF SUCH INDEMNITEE </w:t>
      </w:r>
      <w:r>
        <w:rPr>
          <w:rFonts w:ascii="Times New Roman" w:cs="Times New Roman" w:eastAsia="Times New Roman" w:hAnsi="Times New Roman"/>
          <w:sz w:val="18"/>
          <w:szCs w:val="18"/>
          <w:u w:val="single" w:color="auto"/>
          <w:color w:val="0000FF"/>
        </w:rPr>
        <w:t>OR ANY OF ITS RELATED PARTIES, (ii) THE MATERIAL BREACH BY SUCH INDEMNITEE OR ANY OF ITS RELATED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 xml:space="preserve">PARTIES OF ITS OBLIGATIONS UNDER THE LOAN DOCUMENTS OR (iii) ANY DISPUTE SOLELY AMONG INDEMNITEES (NOT ARISING AS A RESULT OF ANY ACT OR OMISSION </w:t>
      </w:r>
      <w:r>
        <w:rPr>
          <w:rFonts w:ascii="Times New Roman" w:cs="Times New Roman" w:eastAsia="Times New Roman" w:hAnsi="Times New Roman"/>
          <w:sz w:val="18"/>
          <w:szCs w:val="18"/>
          <w:u w:val="single" w:color="auto"/>
          <w:color w:val="00C000"/>
        </w:rPr>
        <w:t>BY THE PARENT GUARANTOR, THE BORROWER OR ANY</w:t>
      </w:r>
      <w:r>
        <w:rPr>
          <w:rFonts w:ascii="Times New Roman" w:cs="Times New Roman" w:eastAsia="Times New Roman" w:hAnsi="Times New Roman"/>
          <w:sz w:val="18"/>
          <w:szCs w:val="18"/>
          <w:u w:val="single" w:color="auto"/>
          <w:color w:val="0000FF"/>
        </w:rPr>
        <w:t xml:space="preserve"> OF THEIR SUBSIDIARIES) OTHER THAN CLAIMS AGAINST AN INDEMNITEE IN ITS CAPACITY OR AS A RESULT OF FULFILLING ITS ROLE AS AN AGENT, BOOKRUNNER, ARRANGER OR ANY OTHER SIMILAR ROLE HEREUNDER</w:t>
      </w:r>
      <w:r>
        <w:rPr>
          <w:rFonts w:ascii="Times New Roman" w:cs="Times New Roman" w:eastAsia="Times New Roman" w:hAnsi="Times New Roman"/>
          <w:sz w:val="18"/>
          <w:szCs w:val="18"/>
          <w:color w:val="000000"/>
        </w:rPr>
        <w:t>.</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3" w:name="page274"/>
    <w:bookmarkEnd w:id="273"/>
    <w:p>
      <w:pPr>
        <w:jc w:val="both"/>
        <w:ind w:firstLine="1304"/>
        <w:spacing w:after="0" w:line="258" w:lineRule="auto"/>
        <w:tabs>
          <w:tab w:leader="none" w:pos="1837" w:val="left"/>
        </w:tabs>
        <w:numPr>
          <w:ilvl w:val="0"/>
          <w:numId w:val="2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the extent that the Borrower fails to pay any amount required to be paid by it to any Agent, the Arranger, the Issuing Bank, or the Swingline Lender under </w:t>
      </w:r>
      <w:r>
        <w:rPr>
          <w:rFonts w:ascii="Times New Roman" w:cs="Times New Roman" w:eastAsia="Times New Roman" w:hAnsi="Times New Roman"/>
          <w:sz w:val="18"/>
          <w:szCs w:val="18"/>
          <w:u w:val="single" w:color="auto"/>
          <w:color w:val="auto"/>
        </w:rPr>
        <w:t>Section 12.03(a)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each Lender severally agrees to pay to such Agent, the Arranger, the Issuing Bank, or the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such Agent, the Arranger, the Issuing Bank, or the Swingline Lender in its capacity as such.</w:t>
      </w:r>
    </w:p>
    <w:p>
      <w:pPr>
        <w:spacing w:after="0" w:line="183"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834" w:val="left"/>
        </w:tabs>
        <w:numPr>
          <w:ilvl w:val="0"/>
          <w:numId w:val="2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79" w:lineRule="exact"/>
        <w:rPr>
          <w:rFonts w:ascii="Times New Roman" w:cs="Times New Roman" w:eastAsia="Times New Roman" w:hAnsi="Times New Roman"/>
          <w:sz w:val="18"/>
          <w:szCs w:val="18"/>
          <w:color w:val="010000"/>
        </w:rPr>
      </w:pPr>
    </w:p>
    <w:p>
      <w:pPr>
        <w:ind w:left="1820" w:hanging="516"/>
        <w:spacing w:after="0"/>
        <w:tabs>
          <w:tab w:leader="none" w:pos="1820" w:val="left"/>
        </w:tabs>
        <w:numPr>
          <w:ilvl w:val="0"/>
          <w:numId w:val="2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payable not later than three days after written demand therefor.</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12.04</w:t>
      </w:r>
      <w:r>
        <w:rPr>
          <w:sz w:val="20"/>
          <w:szCs w:val="20"/>
          <w:color w:val="auto"/>
        </w:rPr>
        <w:tab/>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058" w:val="left"/>
        </w:tabs>
        <w:numPr>
          <w:ilvl w:val="0"/>
          <w:numId w:val="2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(including any Affiliate of the Issuing Bank that issues any Letter of Credit), except that, other than in connection with a transaction permitted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(i) the Parent Guarantor and the Borrower may not assign or otherwise transfer any of their rights or obligations hereunder without the prior written consent of each Lender, such consent not to be unreasonably withheld (and any attempted assignment or transfer by the Parent Guarantor or the Borrower in violation of this </w:t>
      </w:r>
      <w:r>
        <w:rPr>
          <w:rFonts w:ascii="Times New Roman" w:cs="Times New Roman" w:eastAsia="Times New Roman" w:hAnsi="Times New Roman"/>
          <w:sz w:val="18"/>
          <w:szCs w:val="18"/>
          <w:u w:val="single" w:color="auto"/>
          <w:color w:val="auto"/>
        </w:rPr>
        <w:t>Section 12.04(a)(i)</w:t>
      </w:r>
      <w:r>
        <w:rPr>
          <w:rFonts w:ascii="Times New Roman" w:cs="Times New Roman" w:eastAsia="Times New Roman" w:hAnsi="Times New Roman"/>
          <w:sz w:val="18"/>
          <w:szCs w:val="18"/>
          <w:color w:val="auto"/>
        </w:rPr>
        <w:t xml:space="preserve"> shall be null and void) and (ii)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and, to the extent expressly contemplated hereby, the Related Parties of each of the Administrative Agent, the Issuing Bank and the Lenders) any legal or equitable right, remedy or claim under or by reason of this Agreement.</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4" w:name="page275"/>
    <w:bookmarkEnd w:id="274"/>
    <w:p>
      <w:pPr>
        <w:jc w:val="both"/>
        <w:ind w:firstLine="1304"/>
        <w:spacing w:after="0" w:line="266" w:lineRule="auto"/>
        <w:tabs>
          <w:tab w:leader="none" w:pos="1820" w:val="left"/>
        </w:tabs>
        <w:numPr>
          <w:ilvl w:val="0"/>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Subject to the conditions set forth in </w:t>
      </w:r>
      <w:r>
        <w:rPr>
          <w:rFonts w:ascii="Times New Roman" w:cs="Times New Roman" w:eastAsia="Times New Roman" w:hAnsi="Times New Roman"/>
          <w:sz w:val="18"/>
          <w:szCs w:val="18"/>
          <w:u w:val="single" w:color="auto"/>
          <w:color w:val="auto"/>
        </w:rPr>
        <w:t>Section 12.04(b)(ii)</w:t>
      </w:r>
      <w:r>
        <w:rPr>
          <w:rFonts w:ascii="Times New Roman" w:cs="Times New Roman" w:eastAsia="Times New Roman" w:hAnsi="Times New Roman"/>
          <w:sz w:val="18"/>
          <w:szCs w:val="18"/>
          <w:color w:val="auto"/>
        </w:rPr>
        <w:t xml:space="preserve">, any Lender may assign to one or more assignees all or a portion of its rights and obligations under this Agreement (including all or a portion of its Commitment and the Loans at the time owing to it) with the prior written consent (such consent not to be unreasonably withheld </w:t>
      </w:r>
      <w:r>
        <w:rPr>
          <w:rFonts w:ascii="Times New Roman" w:cs="Times New Roman" w:eastAsia="Times New Roman" w:hAnsi="Times New Roman"/>
          <w:sz w:val="18"/>
          <w:szCs w:val="18"/>
          <w:u w:val="single" w:color="auto"/>
          <w:color w:val="0000FF"/>
        </w:rPr>
        <w:t>or delayed</w:t>
      </w:r>
      <w:r>
        <w:rPr>
          <w:rFonts w:ascii="Times New Roman" w:cs="Times New Roman" w:eastAsia="Times New Roman" w:hAnsi="Times New Roman"/>
          <w:sz w:val="18"/>
          <w:szCs w:val="18"/>
          <w:color w:val="auto"/>
        </w:rPr>
        <w:t>) of:</w:t>
      </w:r>
    </w:p>
    <w:p>
      <w:pPr>
        <w:spacing w:after="0" w:line="175" w:lineRule="exact"/>
        <w:rPr>
          <w:rFonts w:ascii="Times New Roman" w:cs="Times New Roman" w:eastAsia="Times New Roman" w:hAnsi="Times New Roman"/>
          <w:sz w:val="18"/>
          <w:szCs w:val="18"/>
          <w:color w:val="010000"/>
        </w:rPr>
      </w:pPr>
    </w:p>
    <w:p>
      <w:pPr>
        <w:jc w:val="both"/>
        <w:ind w:left="1300" w:firstLine="1300"/>
        <w:spacing w:after="0" w:line="261" w:lineRule="auto"/>
        <w:tabs>
          <w:tab w:leader="none" w:pos="3264" w:val="left"/>
        </w:tabs>
        <w:numPr>
          <w:ilvl w:val="2"/>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if such assignment is to a Lender or, an Affiliate of a Lender, or, if an Event of Default has occurred and is continuing, is to any other assignee; provided further, if at the end of fifteen (15) calendar days after the Borrower has received a request for such approval, the Borrower has not communicated its approval or disapproval in writing to the Administrative Agent, such silence shall be deemed to be an approval of such assignment; and</w:t>
      </w:r>
    </w:p>
    <w:p>
      <w:pPr>
        <w:spacing w:after="0" w:line="179" w:lineRule="exact"/>
        <w:rPr>
          <w:rFonts w:ascii="Times New Roman" w:cs="Times New Roman" w:eastAsia="Times New Roman" w:hAnsi="Times New Roman"/>
          <w:sz w:val="18"/>
          <w:szCs w:val="18"/>
          <w:color w:val="010000"/>
        </w:rPr>
      </w:pPr>
    </w:p>
    <w:p>
      <w:pPr>
        <w:jc w:val="both"/>
        <w:ind w:left="1300" w:firstLine="1300"/>
        <w:spacing w:after="0" w:line="266" w:lineRule="auto"/>
        <w:tabs>
          <w:tab w:leader="none" w:pos="3340" w:val="left"/>
        </w:tabs>
        <w:numPr>
          <w:ilvl w:val="2"/>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and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or the Issuing Bank shall be required for an assignment of any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Commitment to an assignee that is a Lender (or an Affiliate of a Lender) with a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Commitment immediately prior to giving effect to such assignment.</w:t>
      </w:r>
    </w:p>
    <w:p>
      <w:pPr>
        <w:spacing w:after="0" w:line="17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010000"/>
        </w:rPr>
      </w:pPr>
    </w:p>
    <w:p>
      <w:pPr>
        <w:jc w:val="both"/>
        <w:ind w:left="1300" w:firstLine="1300"/>
        <w:spacing w:after="0" w:line="258" w:lineRule="auto"/>
        <w:tabs>
          <w:tab w:leader="none" w:pos="3305" w:val="left"/>
        </w:tabs>
        <w:numPr>
          <w:ilvl w:val="2"/>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0000FF"/>
        </w:rPr>
        <w:t>subject to clause (F) below,</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except in the case of an assignment to a Lender or an Affiliate of a Lender or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the Borrower and the Administrative Agent otherwise consent;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consent of the Borrower shall be required if an Event of Default has occurred and is continuing;</w:t>
      </w:r>
    </w:p>
    <w:p>
      <w:pPr>
        <w:spacing w:after="0" w:line="183" w:lineRule="exact"/>
        <w:rPr>
          <w:rFonts w:ascii="Times New Roman" w:cs="Times New Roman" w:eastAsia="Times New Roman" w:hAnsi="Times New Roman"/>
          <w:sz w:val="18"/>
          <w:szCs w:val="18"/>
          <w:color w:val="010000"/>
        </w:rPr>
      </w:pPr>
    </w:p>
    <w:p>
      <w:pPr>
        <w:ind w:left="1300" w:right="20" w:firstLine="1300"/>
        <w:spacing w:after="0" w:line="282" w:lineRule="auto"/>
        <w:tabs>
          <w:tab w:leader="none" w:pos="3313" w:val="left"/>
        </w:tabs>
        <w:numPr>
          <w:ilvl w:val="2"/>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0000FF"/>
        </w:rPr>
        <w:t>subject to clause (F) below,</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partial assignment shall be made as an assignment of a proportionate part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all the assigning Lender’s rights and obligations under this Agreement;</w:t>
      </w:r>
    </w:p>
    <w:p>
      <w:pPr>
        <w:spacing w:after="0" w:line="161" w:lineRule="exact"/>
        <w:rPr>
          <w:rFonts w:ascii="Times New Roman" w:cs="Times New Roman" w:eastAsia="Times New Roman" w:hAnsi="Times New Roman"/>
          <w:sz w:val="18"/>
          <w:szCs w:val="18"/>
          <w:color w:val="010000"/>
        </w:rPr>
      </w:pPr>
    </w:p>
    <w:p>
      <w:pPr>
        <w:ind w:left="1300" w:firstLine="1300"/>
        <w:spacing w:after="0" w:line="282" w:lineRule="auto"/>
        <w:tabs>
          <w:tab w:leader="none" w:pos="3475" w:val="left"/>
        </w:tabs>
        <w:numPr>
          <w:ilvl w:val="2"/>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w:t>
      </w:r>
    </w:p>
    <w:p>
      <w:pPr>
        <w:spacing w:after="0" w:line="161" w:lineRule="exact"/>
        <w:rPr>
          <w:rFonts w:ascii="Times New Roman" w:cs="Times New Roman" w:eastAsia="Times New Roman" w:hAnsi="Times New Roman"/>
          <w:sz w:val="18"/>
          <w:szCs w:val="18"/>
          <w:color w:val="010000"/>
        </w:rPr>
      </w:pPr>
    </w:p>
    <w:p>
      <w:pPr>
        <w:ind w:left="3600" w:hanging="1000"/>
        <w:spacing w:after="0"/>
        <w:tabs>
          <w:tab w:leader="none" w:pos="3600" w:val="left"/>
        </w:tabs>
        <w:numPr>
          <w:ilvl w:val="2"/>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assignee, if it shall not be a Lender, shall deliver to the Administrative Agent an Administrative</w:t>
      </w:r>
    </w:p>
    <w:p>
      <w:pPr>
        <w:spacing w:after="0" w:line="2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Questionnaire; </w:t>
      </w:r>
      <w:r>
        <w:rPr>
          <w:rFonts w:ascii="Times New Roman" w:cs="Times New Roman" w:eastAsia="Times New Roman" w:hAnsi="Times New Roman"/>
          <w:sz w:val="18"/>
          <w:szCs w:val="18"/>
          <w:color w:val="FF0000"/>
          <w:strike w:val="1"/>
        </w:rPr>
        <w:t>and</w:t>
      </w:r>
    </w:p>
    <w:p>
      <w:pPr>
        <w:spacing w:after="0" w:line="206" w:lineRule="exact"/>
        <w:rPr>
          <w:rFonts w:ascii="Times New Roman" w:cs="Times New Roman" w:eastAsia="Times New Roman" w:hAnsi="Times New Roman"/>
          <w:sz w:val="18"/>
          <w:szCs w:val="18"/>
          <w:color w:val="010000"/>
        </w:rPr>
      </w:pPr>
    </w:p>
    <w:p>
      <w:pPr>
        <w:jc w:val="both"/>
        <w:ind w:left="1300" w:firstLine="1300"/>
        <w:spacing w:after="0" w:line="261" w:lineRule="auto"/>
        <w:tabs>
          <w:tab w:leader="none" w:pos="3374" w:val="left"/>
        </w:tabs>
        <w:numPr>
          <w:ilvl w:val="2"/>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assignment shall be made to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Borrower or any of the Borrower’s Subsidiaries or Affiliates, </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FF0000"/>
        </w:rPr>
        <w:t>iii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any natural Person </w:t>
      </w:r>
      <w:r>
        <w:rPr>
          <w:rFonts w:ascii="Times New Roman" w:cs="Times New Roman" w:eastAsia="Times New Roman" w:hAnsi="Times New Roman"/>
          <w:sz w:val="18"/>
          <w:szCs w:val="18"/>
          <w:u w:val="single" w:color="auto"/>
          <w:color w:val="0000FF"/>
        </w:rPr>
        <w:t>(or any holding company, investment vehicle or trust for,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owned and operated for the primary benefit of, a natural person); and</w:t>
      </w:r>
    </w:p>
    <w:p>
      <w:pPr>
        <w:spacing w:after="0" w:line="179" w:lineRule="exact"/>
        <w:rPr>
          <w:rFonts w:ascii="Times New Roman" w:cs="Times New Roman" w:eastAsia="Times New Roman" w:hAnsi="Times New Roman"/>
          <w:sz w:val="18"/>
          <w:szCs w:val="18"/>
          <w:color w:val="010000"/>
        </w:rPr>
      </w:pPr>
    </w:p>
    <w:p>
      <w:pPr>
        <w:ind w:left="1300" w:firstLine="1300"/>
        <w:spacing w:after="0" w:line="282" w:lineRule="auto"/>
        <w:tabs>
          <w:tab w:leader="none" w:pos="3378" w:val="left"/>
        </w:tabs>
        <w:numPr>
          <w:ilvl w:val="2"/>
          <w:numId w:val="224"/>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prior to the Endeavor Acquisition Effective Date, any Assignment by a Lender shall be on a ratable basis as between the Existing Commitment and Increased Commitment of such Lender</w:t>
      </w:r>
      <w:r>
        <w:rPr>
          <w:rFonts w:ascii="Times New Roman" w:cs="Times New Roman" w:eastAsia="Times New Roman" w:hAnsi="Times New Roman"/>
          <w:sz w:val="18"/>
          <w:szCs w:val="18"/>
          <w:color w:val="000000"/>
        </w:rPr>
        <w:t>.</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5" w:name="page276"/>
    <w:bookmarkEnd w:id="275"/>
    <w:p>
      <w:pPr>
        <w:jc w:val="both"/>
        <w:ind w:firstLine="1952"/>
        <w:spacing w:after="0" w:line="254" w:lineRule="auto"/>
        <w:tabs>
          <w:tab w:leader="none" w:pos="2646" w:val="left"/>
        </w:tabs>
        <w:numPr>
          <w:ilvl w:val="1"/>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 xml:space="preserve"> and the acceptance and recording thereof,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716" w:val="left"/>
        </w:tabs>
        <w:numPr>
          <w:ilvl w:val="1"/>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“Register”). The entries in the Register shall be conclusive absent manifest error, and the Parent Guarantor, the Borrower,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 In connection with any changes to the Register, if necessary, the Administrative Agent will reflect the revisions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forward a copy of such revised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the Borrower, the Issuing Bank and each Lender.</w:t>
      </w:r>
    </w:p>
    <w:p>
      <w:pPr>
        <w:spacing w:after="0" w:line="191" w:lineRule="exact"/>
        <w:rPr>
          <w:rFonts w:ascii="Times New Roman" w:cs="Times New Roman" w:eastAsia="Times New Roman" w:hAnsi="Times New Roman"/>
          <w:sz w:val="18"/>
          <w:szCs w:val="18"/>
          <w:color w:val="010000"/>
        </w:rPr>
      </w:pPr>
    </w:p>
    <w:p>
      <w:pPr>
        <w:jc w:val="both"/>
        <w:ind w:firstLine="1952"/>
        <w:spacing w:after="0" w:line="258" w:lineRule="auto"/>
        <w:tabs>
          <w:tab w:leader="none" w:pos="2684" w:val="left"/>
        </w:tabs>
        <w:numPr>
          <w:ilvl w:val="1"/>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2125" w:val="left"/>
        </w:tabs>
        <w:numPr>
          <w:ilvl w:val="0"/>
          <w:numId w:val="2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Any Lender may, without the consent of, or notice to, the Parent Guarantor, the Borrower, the Administrative Agent, the Issuing Bank, or the Swingline Lender, sell participations to one or more banks or other entities </w:t>
      </w:r>
      <w:r>
        <w:rPr>
          <w:rFonts w:ascii="Times New Roman" w:cs="Times New Roman" w:eastAsia="Times New Roman" w:hAnsi="Times New Roman"/>
          <w:sz w:val="18"/>
          <w:szCs w:val="18"/>
          <w:u w:val="single" w:color="auto"/>
          <w:color w:val="0000FF"/>
        </w:rPr>
        <w:t>(other than (x) any Defaulting Lender, (y) any natural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person (or a holding company, investment vehicle or trust for, or owned and operated for the primary benefit of, a natural person) or (z) the Borrower or any of its Affiliates)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 “</w:t>
      </w:r>
      <w:r>
        <w:rPr>
          <w:rFonts w:ascii="Times New Roman" w:cs="Times New Roman" w:eastAsia="Times New Roman" w:hAnsi="Times New Roman"/>
          <w:sz w:val="18"/>
          <w:szCs w:val="18"/>
          <w:u w:val="single" w:color="auto"/>
          <w:color w:val="000000"/>
        </w:rPr>
        <w:t>Participant</w:t>
      </w:r>
      <w:r>
        <w:rPr>
          <w:rFonts w:ascii="Times New Roman" w:cs="Times New Roman" w:eastAsia="Times New Roman" w:hAnsi="Times New Roman"/>
          <w:sz w:val="18"/>
          <w:szCs w:val="18"/>
          <w:color w:val="000000"/>
        </w:rPr>
        <w:t>”) in all or a portion of such Lender’s rights and obligations under this Agreement (including all or a portion of its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 and the Loans owing to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such Lender’s obligations under this Agreement shall remain unchanged, (B) such Lender shall remain solely responsible to the other parties hereto for the performance of such obligations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(C) the Parent Guarantor, the Borrower, the Administrative Agent, the Issuing Bank and the other Lenders shall continue to deal solely and directly with such Lender in connection with such Lender’s rights and obligations under this Agreement </w:t>
      </w:r>
      <w:r>
        <w:rPr>
          <w:rFonts w:ascii="Times New Roman" w:cs="Times New Roman" w:eastAsia="Times New Roman" w:hAnsi="Times New Roman"/>
          <w:sz w:val="18"/>
          <w:szCs w:val="18"/>
          <w:u w:val="single" w:color="auto"/>
          <w:color w:val="0000FF"/>
        </w:rPr>
        <w:t>and (D) prior to the Endeavor Acquisition Effective Date, any participation sold by a Lender shall be on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ratable basis as between the Existing Commitment and Increased Commitment of such Lender</w:t>
      </w:r>
      <w:r>
        <w:rPr>
          <w:rFonts w:ascii="Times New Roman" w:cs="Times New Roman" w:eastAsia="Times New Roman" w:hAnsi="Times New Roman"/>
          <w:sz w:val="18"/>
          <w:szCs w:val="18"/>
          <w:color w:val="000000"/>
        </w:rPr>
        <w:t>. Any agreement or instrument pursuant to which a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agreement or instrument may provide that such Lender will not, without the consent of the Participant, agree to any amendment, modification or waiver described in the proviso to </w:t>
      </w:r>
      <w:r>
        <w:rPr>
          <w:rFonts w:ascii="Times New Roman" w:cs="Times New Roman" w:eastAsia="Times New Roman" w:hAnsi="Times New Roman"/>
          <w:sz w:val="18"/>
          <w:szCs w:val="18"/>
          <w:u w:val="single" w:color="auto"/>
          <w:color w:val="000000"/>
        </w:rPr>
        <w:t>Section 12.02</w:t>
      </w:r>
      <w:r>
        <w:rPr>
          <w:rFonts w:ascii="Times New Roman" w:cs="Times New Roman" w:eastAsia="Times New Roman" w:hAnsi="Times New Roman"/>
          <w:sz w:val="18"/>
          <w:szCs w:val="18"/>
          <w:color w:val="000000"/>
        </w:rPr>
        <w:t xml:space="preserve"> that affects such Participant. In addition such agreement must provide that the Participant be bound by the provisions of </w:t>
      </w:r>
      <w:r>
        <w:rPr>
          <w:rFonts w:ascii="Times New Roman" w:cs="Times New Roman" w:eastAsia="Times New Roman" w:hAnsi="Times New Roman"/>
          <w:sz w:val="18"/>
          <w:szCs w:val="18"/>
          <w:u w:val="single" w:color="auto"/>
          <w:color w:val="000000"/>
        </w:rPr>
        <w:t>Section 12.03</w:t>
      </w:r>
      <w:r>
        <w:rPr>
          <w:rFonts w:ascii="Times New Roman" w:cs="Times New Roman" w:eastAsia="Times New Roman" w:hAnsi="Times New Roman"/>
          <w:sz w:val="18"/>
          <w:szCs w:val="18"/>
          <w:color w:val="000000"/>
        </w:rPr>
        <w:t xml:space="preserve">. Subject to </w:t>
      </w:r>
      <w:r>
        <w:rPr>
          <w:rFonts w:ascii="Times New Roman" w:cs="Times New Roman" w:eastAsia="Times New Roman" w:hAnsi="Times New Roman"/>
          <w:sz w:val="18"/>
          <w:szCs w:val="18"/>
          <w:u w:val="single" w:color="auto"/>
          <w:color w:val="000000"/>
        </w:rPr>
        <w:t>Section 12.04(c)(ii)</w:t>
      </w:r>
      <w:r>
        <w:rPr>
          <w:rFonts w:ascii="Times New Roman" w:cs="Times New Roman" w:eastAsia="Times New Roman" w:hAnsi="Times New Roman"/>
          <w:sz w:val="18"/>
          <w:szCs w:val="18"/>
          <w:color w:val="000000"/>
        </w:rPr>
        <w:t xml:space="preserve">, the Parent Guarantor and the Borrower agree that each Participant shall be entitled to the benefits of </w:t>
      </w:r>
      <w:r>
        <w:rPr>
          <w:rFonts w:ascii="Times New Roman" w:cs="Times New Roman" w:eastAsia="Times New Roman" w:hAnsi="Times New Roman"/>
          <w:sz w:val="18"/>
          <w:szCs w:val="18"/>
          <w:u w:val="single" w:color="auto"/>
          <w:color w:val="000000"/>
        </w:rPr>
        <w:t>Section 5.01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5.02</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5.03</w:t>
      </w:r>
      <w:r>
        <w:rPr>
          <w:rFonts w:ascii="Times New Roman" w:cs="Times New Roman" w:eastAsia="Times New Roman" w:hAnsi="Times New Roman"/>
          <w:sz w:val="18"/>
          <w:szCs w:val="18"/>
          <w:color w:val="000000"/>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000000"/>
        </w:rPr>
        <w:t>Section 12.04(b)</w:t>
      </w:r>
      <w:r>
        <w:rPr>
          <w:rFonts w:ascii="Times New Roman" w:cs="Times New Roman" w:eastAsia="Times New Roman" w:hAnsi="Times New Roman"/>
          <w:sz w:val="18"/>
          <w:szCs w:val="18"/>
          <w:color w:val="000000"/>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000000"/>
        </w:rPr>
        <w:t>Section 12.08</w:t>
      </w:r>
      <w:r>
        <w:rPr>
          <w:rFonts w:ascii="Times New Roman" w:cs="Times New Roman" w:eastAsia="Times New Roman" w:hAnsi="Times New Roman"/>
          <w:sz w:val="18"/>
          <w:szCs w:val="18"/>
          <w:color w:val="000000"/>
        </w:rPr>
        <w:t xml:space="preserve"> as though it were a Lender, provided such Participant agrees to be subject to </w:t>
      </w:r>
      <w:r>
        <w:rPr>
          <w:rFonts w:ascii="Times New Roman" w:cs="Times New Roman" w:eastAsia="Times New Roman" w:hAnsi="Times New Roman"/>
          <w:sz w:val="18"/>
          <w:szCs w:val="18"/>
          <w:u w:val="single" w:color="auto"/>
          <w:color w:val="000000"/>
        </w:rPr>
        <w:t>Section 4.01(c)</w:t>
      </w:r>
      <w:r>
        <w:rPr>
          <w:rFonts w:ascii="Times New Roman" w:cs="Times New Roman" w:eastAsia="Times New Roman" w:hAnsi="Times New Roman"/>
          <w:sz w:val="18"/>
          <w:szCs w:val="18"/>
          <w:color w:val="000000"/>
        </w:rPr>
        <w:t xml:space="preserve"> as though it were a Lender.</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6" w:name="page277"/>
    <w:bookmarkEnd w:id="276"/>
    <w:p>
      <w:pPr>
        <w:jc w:val="both"/>
        <w:ind w:firstLine="1952"/>
        <w:spacing w:after="0" w:line="258" w:lineRule="auto"/>
        <w:tabs>
          <w:tab w:leader="none" w:pos="2884" w:val="left"/>
        </w:tabs>
        <w:numPr>
          <w:ilvl w:val="1"/>
          <w:numId w:val="2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as though it were a Lender.</w:t>
      </w:r>
    </w:p>
    <w:p>
      <w:pPr>
        <w:spacing w:after="0" w:line="183" w:lineRule="exact"/>
        <w:rPr>
          <w:rFonts w:ascii="Times New Roman" w:cs="Times New Roman" w:eastAsia="Times New Roman" w:hAnsi="Times New Roman"/>
          <w:sz w:val="18"/>
          <w:szCs w:val="18"/>
          <w:color w:val="010000"/>
        </w:rPr>
      </w:pPr>
    </w:p>
    <w:p>
      <w:pPr>
        <w:jc w:val="both"/>
        <w:ind w:firstLine="1952"/>
        <w:spacing w:after="0" w:line="254" w:lineRule="auto"/>
        <w:tabs>
          <w:tab w:leader="none" w:pos="2740" w:val="left"/>
        </w:tabs>
        <w:numPr>
          <w:ilvl w:val="1"/>
          <w:numId w:val="2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969" w:val="left"/>
        </w:tabs>
        <w:numPr>
          <w:ilvl w:val="0"/>
          <w:numId w:val="2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12.04(b)</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7" w:name="page278"/>
    <w:bookmarkEnd w:id="277"/>
    <w:p>
      <w:pPr>
        <w:jc w:val="both"/>
        <w:ind w:firstLine="1304"/>
        <w:spacing w:after="0" w:line="266" w:lineRule="auto"/>
        <w:tabs>
          <w:tab w:leader="none" w:pos="1824" w:val="left"/>
        </w:tabs>
        <w:numPr>
          <w:ilvl w:val="0"/>
          <w:numId w:val="2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no transfer or assignment of the interests or obligations of any Lender or any grant of participations therein shall be permitted if such transfer, assignment or grant would require the Parent Guarantor, the Borrower or any of the Restricted Subsidiaries to file a registration statement with the SEC or to qualify the Loans under the “Blue Sky” laws of any state.</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12.05</w:t>
      </w:r>
      <w:r>
        <w:rPr>
          <w:sz w:val="20"/>
          <w:szCs w:val="20"/>
          <w:color w:val="auto"/>
        </w:rPr>
        <w:tab/>
      </w:r>
      <w:r>
        <w:rPr>
          <w:rFonts w:ascii="Times New Roman" w:cs="Times New Roman" w:eastAsia="Times New Roman" w:hAnsi="Times New Roman"/>
          <w:sz w:val="17"/>
          <w:szCs w:val="17"/>
          <w:u w:val="single" w:color="auto"/>
          <w:color w:val="auto"/>
        </w:rPr>
        <w:t>Survival; Revival; Reinstatement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51" w:val="left"/>
        </w:tabs>
        <w:numPr>
          <w:ilvl w:val="0"/>
          <w:numId w:val="2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covenants, agreements, representations and warranties made by the Parent Guarantor, the Borrower and the other Guarantors herein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other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any other Loan Document or any provision hereof or thereof.</w:t>
      </w:r>
    </w:p>
    <w:p>
      <w:pPr>
        <w:spacing w:after="0" w:line="19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15" w:val="left"/>
        </w:tabs>
        <w:numPr>
          <w:ilvl w:val="0"/>
          <w:numId w:val="2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that any payments on the Indebtedness or proceeds of any collateral are subsequently invalidated, declared to be fraudulent or preferential, set aside or required to be repaid to a trustee, debtor in possession, receiver or other Person under any bankruptcy law, common law or equitable cause, then to such extent, the Indebtedness so satisfied shall be revived and continue as if such payment or proceeds had not been received and the Administrative Agent’s and the Lenders’ Liens, security interests, rights, powers and remedies under this Agreement and each Loan Document shall continue in full force and effect. In such event, each Loan Document shall be automatically reinstated and the Parent Guarantor and the Borrower shall take such action as may be reasonably requested by the Administrative Agent and the Lenders to effect such reinstatement.</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12.06</w:t>
      </w:r>
      <w:r>
        <w:rPr>
          <w:sz w:val="20"/>
          <w:szCs w:val="20"/>
          <w:color w:val="auto"/>
        </w:rPr>
        <w:tab/>
      </w:r>
      <w:r>
        <w:rPr>
          <w:rFonts w:ascii="Times New Roman" w:cs="Times New Roman" w:eastAsia="Times New Roman" w:hAnsi="Times New Roman"/>
          <w:sz w:val="17"/>
          <w:szCs w:val="17"/>
          <w:u w:val="single" w:color="auto"/>
          <w:color w:val="auto"/>
        </w:rPr>
        <w:t>Counterparts; Integration; Effectiveness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78" w:val="left"/>
        </w:tabs>
        <w:numPr>
          <w:ilvl w:val="0"/>
          <w:numId w:val="2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w:t>
      </w:r>
    </w:p>
    <w:p>
      <w:pPr>
        <w:spacing w:after="0" w:line="161" w:lineRule="exact"/>
        <w:rPr>
          <w:rFonts w:ascii="Times New Roman" w:cs="Times New Roman" w:eastAsia="Times New Roman" w:hAnsi="Times New Roman"/>
          <w:sz w:val="18"/>
          <w:szCs w:val="18"/>
          <w:color w:val="010000"/>
        </w:rPr>
      </w:pPr>
    </w:p>
    <w:p>
      <w:pPr>
        <w:jc w:val="both"/>
        <w:ind w:firstLine="1304"/>
        <w:spacing w:after="0" w:line="257" w:lineRule="auto"/>
        <w:tabs>
          <w:tab w:leader="none" w:pos="1847" w:val="left"/>
        </w:tabs>
        <w:numPr>
          <w:ilvl w:val="0"/>
          <w:numId w:val="2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w:t>
      </w:r>
      <w:r>
        <w:rPr>
          <w:rFonts w:ascii="Times New Roman" w:cs="Times New Roman" w:eastAsia="Times New Roman" w:hAnsi="Times New Roman"/>
          <w:sz w:val="18"/>
          <w:szCs w:val="18"/>
          <w:b w:val="1"/>
          <w:bCs w:val="1"/>
          <w:color w:val="auto"/>
        </w:rPr>
        <w:t>THIS AGREEMENT AND THE OTHER LOAN DOCUMENTS</w:t>
      </w:r>
    </w:p>
    <w:p>
      <w:pPr>
        <w:spacing w:after="0" w:line="1" w:lineRule="exact"/>
        <w:rPr>
          <w:rFonts w:ascii="Times New Roman" w:cs="Times New Roman" w:eastAsia="Times New Roman" w:hAnsi="Times New Roman"/>
          <w:sz w:val="18"/>
          <w:szCs w:val="18"/>
          <w:color w:val="010000"/>
        </w:rPr>
      </w:pPr>
    </w:p>
    <w:p>
      <w:pPr>
        <w:jc w:val="both"/>
        <w:spacing w:after="0" w:line="255"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REPRESENT THE FINAL AGREEMENT AMONG THE PARTIES HERETO AND THERETO AND MAY NOT BE CONTRADICTED BY EVIDENCE OF PRIOR, CONTEMPORANEOUS OR SUBSEQUENT ORAL AGREEMENTS OF THE PARTIES. THERE ARE NO UNWRITTEN ORAL AGREEMENTS BETWEEN THE PARTIES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8" w:name="page279"/>
    <w:bookmarkEnd w:id="278"/>
    <w:p>
      <w:pPr>
        <w:jc w:val="both"/>
        <w:ind w:firstLine="1304"/>
        <w:spacing w:after="0" w:line="258" w:lineRule="auto"/>
        <w:tabs>
          <w:tab w:leader="none" w:pos="2355" w:val="left"/>
        </w:tabs>
        <w:numPr>
          <w:ilvl w:val="0"/>
          <w:numId w:val="2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facsimile or other electronic means shall be effective as delivery of a manually executed counterpart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12.07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Any provision of this Agreement or any other Loan Document held to be invalid, illegal or unenforceable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12.08 </w:t>
      </w:r>
      <w:r>
        <w:rPr>
          <w:rFonts w:ascii="Times New Roman" w:cs="Times New Roman" w:eastAsia="Times New Roman" w:hAnsi="Times New Roman"/>
          <w:sz w:val="18"/>
          <w:szCs w:val="18"/>
          <w:u w:val="single" w:color="auto"/>
          <w:color w:val="000000"/>
        </w:rPr>
        <w:t>Right of Setoff</w:t>
      </w:r>
      <w:r>
        <w:rPr>
          <w:rFonts w:ascii="Times New Roman" w:cs="Times New Roman" w:eastAsia="Times New Roman" w:hAnsi="Times New Roman"/>
          <w:sz w:val="18"/>
          <w:szCs w:val="18"/>
          <w:color w:val="000000"/>
        </w:rPr>
        <w:t>. If an Event of Default shall have occurred and be continuing, each Lender and each of its Affiliates is 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authorized at any time and from time to time, to the fullest extent permitted by law, to set off and apply any and all deposits (general or special, time or demand, provisional or final) at any time held and other obligations (of whatsoever kind, including, without limitations obligations under Swap Agreements) at any time owing by such Lender or Affiliate to or for the credit or the account of the Parent Guarantor, the Borrower or any of the Restricted Subsidiaries against any of and all the obligations of the Parent Guarantor, the Borrower or any of the Restricted Subsidiaries owed to such Lender now or hereafter existing under this Agreement or any other Loan Document, irrespective of whether or not such Lender shall have made any demand under this Agreement or any other Loan Document and although such obligations may be unmatured. The rights of each Lender under this </w:t>
      </w:r>
      <w:r>
        <w:rPr>
          <w:rFonts w:ascii="Times New Roman" w:cs="Times New Roman" w:eastAsia="Times New Roman" w:hAnsi="Times New Roman"/>
          <w:sz w:val="18"/>
          <w:szCs w:val="18"/>
          <w:u w:val="single" w:color="auto"/>
          <w:color w:val="000000"/>
        </w:rPr>
        <w:t>Section 12.08</w:t>
      </w:r>
      <w:r>
        <w:rPr>
          <w:rFonts w:ascii="Times New Roman" w:cs="Times New Roman" w:eastAsia="Times New Roman" w:hAnsi="Times New Roman"/>
          <w:sz w:val="18"/>
          <w:szCs w:val="18"/>
          <w:color w:val="000000"/>
        </w:rPr>
        <w:t xml:space="preserve"> are in addition to other rights and remedies (including other rights of setoff) which such Lender or its Affiliates may have;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000000"/>
        </w:rPr>
        <w:t>Section 10.02(c)</w:t>
      </w:r>
      <w:r>
        <w:rPr>
          <w:rFonts w:ascii="Times New Roman" w:cs="Times New Roman" w:eastAsia="Times New Roman" w:hAnsi="Times New Roman"/>
          <w:sz w:val="18"/>
          <w:szCs w:val="18"/>
          <w:color w:val="000000"/>
        </w:rPr>
        <w:t xml:space="preserve">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Indebtedness owing to such Defaulting Lender as to which it exercised such right of setoff. Each Lender and the Issuing Bank agrees to notify the Parent Guarantor, the Borrower and the Administrative Agent promptly after any such setoff and application;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failure to give such notice shall not affect the validity of such setoff and application.</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12.09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882" w:val="left"/>
        </w:tabs>
        <w:numPr>
          <w:ilvl w:val="0"/>
          <w:numId w:val="2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AGREEMENT AND THE NOTES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 </w:t>
      </w:r>
      <w:r>
        <w:rPr>
          <w:rFonts w:ascii="Times New Roman" w:cs="Times New Roman" w:eastAsia="Times New Roman" w:hAnsi="Times New Roman"/>
          <w:sz w:val="18"/>
          <w:szCs w:val="18"/>
          <w:color w:val="FF0000"/>
          <w:strike w:val="1"/>
        </w:rPr>
        <w:t>AS OF THE TWELFTH AMENDMENT EFFECTIVE DATE, EACH OUTSTANDING NOTE PREVIOUSLY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BY THE BORROWER TO ANY LENDER SHALL BE DEEMED TO BE AMENDED TO PROVIDE THAT SUCH NOTE SHALL BE GOVERNED BY, AND CONSTRUED IN ACCORDANCE WITH, THE LAWS OF THE STATE OF NEW YORK.</w:t>
      </w:r>
    </w:p>
    <w:p>
      <w:pPr>
        <w:spacing w:after="0" w:line="187"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820" w:val="left"/>
        </w:tabs>
        <w:numPr>
          <w:ilvl w:val="0"/>
          <w:numId w:val="2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LEGAL ACTION OR PROCEEDING WITH RESPECT TO THE LOAN DOCUMENTS SHALL BE BROUGHT IN THE COURTS OF THE STATE OF NEW YORK SITTING IN THE BOROUGH OF MANHATTAN OR OF THE UNITED STATES OF AMERICA FOR THE SOUTHERN DISTRICT OF NEW YORK SITTING IN THE BOROUGH OF MANHATTAN, AND, BY EXECUTION AND DELIVERY OF THIS AGREEMENT, EACH PARTY HEREBY ACCEPTS FOR ITSELF AND (TO THE EXTENT PERMITTED BY LAW) IN RESPECT OF ITS PROPERTY, GENERALLY AND UNCONDITIONALLY, THE JURISDICTION OF THE AFORESAID COURTS. EACH PARTY HEREBY IRREVOCABLY WAIVES ANY OBJECTION, INCLUDING, WITHOUT LIMITATION, ANY OBJECTION TO THE LAYING OF VENUE OR BASED ON THE GROUNDS OF FORUM NON CONVENIENS, WHICH IT MAY NOW OR HEREAFTER HAVE TO THE BRINGING OF ANY SUCH ACTION OR PROCEEDING IN SUCH RESPECTIVE JURISDICTIONS.</w:t>
      </w:r>
    </w:p>
    <w:p>
      <w:pPr>
        <w:spacing w:after="0" w:line="19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45" w:val="left"/>
        </w:tabs>
        <w:numPr>
          <w:ilvl w:val="0"/>
          <w:numId w:val="2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SUCH OTHER ADDRESS AS IS SPECIFIED PURSUANT TO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ITS ASSIGNMENT AND ASSUMPTION), SUCH SERVICE TO BECOME EFFECTIVE THIRTY (30) DAYS AFTER SUCH MAILING. NOTHING HEREIN SHALL AFFECT THE RIGHT OF A PARTY OR ANY HOLDER OF A NOTE TO SERVE PROCESS IN ANY OTHER MANNER PERMITTED BY LAW OR TO COMMENCE LEGAL PROCEEDINGS OR OTHERWISE PROCEED AGAINST ANOTHER PARTY IN ANY OTHER JURISDICTION.</w:t>
      </w:r>
    </w:p>
    <w:p>
      <w:pPr>
        <w:spacing w:after="0" w:line="188"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2131" w:val="left"/>
        </w:tabs>
        <w:numPr>
          <w:ilvl w:val="0"/>
          <w:numId w:val="2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HEREBY (i) IRREVOCABLY AND UNCONDITIONALLY WAIVES, TO THE FULLEST EXTENT PERMITTED BY LAW, TRIAL BY JURY IN ANY LEGAL ACTION OR PROCEEDING RELATING TO THIS AGREEMENT OR ANY OTHER LOAN DOCUMENT AND FOR ANY COUNTERCLAIM THEREIN; (ii) IRREVOCABLY WAIVES, TO THE MAXIMUM EXTENT NOT PROHIBITED BY LAW, ANY RIGHT IT MAY HAVE TO CLAIM OR RECOVER IN ANY SUCH LITIGATION ANY SPECIAL, EXEMPLARY, PUNITIVE OR CONSEQUENTIAL DAMAGES, OR DAMAGES OTHER THAN, OR IN ADDITION TO, ACTUAL DAMAGES EXCEPT FOR ANY SUCH SPECIAL, EXEMPLARY, PUNITIVE, CONSEQUENTIAL OR OTHER DAMAGES FOR WHICH THE BORROWER HAS INDEMNIFIED AN INDEMNITEE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(iii) CERTIFIES THAT NO PARTY HERETO NOR ANY REPRESENTATIVE OR AGENT OF COUNSEL FOR ANY PARTY HERETO HAS REPRESENTED, EXPRESSLY OR OTHERWISE, OR IMPLIED THAT SUCH PARTY WOULD NOT, IN THE EVENT OF LITIGATION, SEEK TO ENFORCE THE FOREGOING WAIVERS, AND (iv) ACKNOWLEDGES THAT IT HAS BEEN INDUCED TO ENTER INTO THIS AGREEMENT, THE LOAN DOCUMENTS AND THE TRANSACTIONS CONTEMPLATED HEREBY AND THEREBY BY, AMONG OTHER THINGS, THE MUTUAL WAIVERS AND CERTIFICATIONS CONTAINED IN THIS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0" w:name="page281"/>
    <w:bookmarkEnd w:id="28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12.10 </w:t>
      </w:r>
      <w:r>
        <w:rPr>
          <w:rFonts w:ascii="Times New Roman" w:cs="Times New Roman" w:eastAsia="Times New Roman" w:hAnsi="Times New Roman"/>
          <w:sz w:val="18"/>
          <w:szCs w:val="18"/>
          <w:u w:val="single" w:color="auto"/>
          <w:color w:val="000000"/>
        </w:rPr>
        <w:t>Headings</w:t>
      </w:r>
      <w:r>
        <w:rPr>
          <w:rFonts w:ascii="Times New Roman" w:cs="Times New Roman" w:eastAsia="Times New Roman" w:hAnsi="Times New Roman"/>
          <w:sz w:val="18"/>
          <w:szCs w:val="18"/>
          <w:color w:val="000000"/>
        </w:rPr>
        <w:t>. Article and Section headings and the Table of Contents used herein are for convenience of reference only, are not part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12.11 </w:t>
      </w:r>
      <w:r>
        <w:rPr>
          <w:rFonts w:ascii="Times New Roman" w:cs="Times New Roman" w:eastAsia="Times New Roman" w:hAnsi="Times New Roman"/>
          <w:sz w:val="18"/>
          <w:szCs w:val="18"/>
          <w:u w:val="single" w:color="auto"/>
          <w:color w:val="000000"/>
        </w:rPr>
        <w:t>Confidentiality</w:t>
      </w:r>
      <w:r>
        <w:rPr>
          <w:rFonts w:ascii="Times New Roman" w:cs="Times New Roman" w:eastAsia="Times New Roman" w:hAnsi="Times New Roman"/>
          <w:sz w:val="18"/>
          <w:szCs w:val="18"/>
          <w:color w:val="000000"/>
        </w:rPr>
        <w:t>. Each of the Administrative Agent, the Issuing Bank and the Lenders agrees to maintain the confidentiality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to (i) any assignee of or Participant in, or any prospective assignee of or Participant in, any of its rights or obligations under this Agreement or (ii) any actual or prospective counterparty (or its advisors) to any Swap Agreement relating to the Borrower and its obligations, (g) with the consent of the Borrower, (h) to the extent such Information (i) becomes publicly available other than as a result of a breach of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or (ii) becomes available to the Administrative Agent, the Issuing Bank or any Lender on a nonconfidential basis from a source other than the Parent Guarantor, the Borrower or any of their Subsidiaries, (i) on a confidential basis to (i) any rating agency in connection with rating Parent Guarantor or its Subsidiaries or the Facility or (ii) the CUSIP Service Bureau or any similar agency in connection with the issuance and monitoring of CUSIP numbers with respect to the Facility, or (j)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For the purposes of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“Information” means all information received from the Parent Guarantor, the Borrower or any of their Subsidiaries relating to the Parent Guarantor’s, the Borrower’s or any of their Subsidiaries’ businesses, other than any such information that is available to the Administrative Agent, the Issuing Bank or any Lender on a nonconfidential basis prior to disclosure by the Parent Guarantor, the Borrower or any of their Subsidiaries;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case of information received from the Parent Guarantor, the Borrower or any of their Subsidiaries after the date hereof, such information is hereby deemed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000000"/>
        </w:rPr>
        <w:t>Section 12.11</w:t>
      </w:r>
      <w:r>
        <w:rPr>
          <w:rFonts w:ascii="Times New Roman" w:cs="Times New Roman" w:eastAsia="Times New Roman" w:hAnsi="Times New Roman"/>
          <w:sz w:val="18"/>
          <w:szCs w:val="18"/>
          <w:color w:val="000000"/>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1" w:name="page282"/>
    <w:bookmarkEnd w:id="281"/>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Section 12.12 </w:t>
      </w:r>
      <w:r>
        <w:rPr>
          <w:rFonts w:ascii="Times New Roman" w:cs="Times New Roman" w:eastAsia="Times New Roman" w:hAnsi="Times New Roman"/>
          <w:sz w:val="18"/>
          <w:szCs w:val="18"/>
          <w:u w:val="single" w:color="auto"/>
          <w:color w:val="000000"/>
        </w:rPr>
        <w:t>Interest Rate Limitation</w:t>
      </w:r>
      <w:r>
        <w:rPr>
          <w:rFonts w:ascii="Times New Roman" w:cs="Times New Roman" w:eastAsia="Times New Roman" w:hAnsi="Times New Roman"/>
          <w:sz w:val="18"/>
          <w:szCs w:val="18"/>
          <w:color w:val="000000"/>
        </w:rPr>
        <w:t>. It is the intention of the parties hereto that each Lender shall conform strictly to usury laws applicable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it. Accordingly, if the transactions contemplated hereby would be usurious as to any Lender under laws applicable to it (including the laws of the United States of America and the State of Texas or any other jurisdiction whose laws may be mandatorily applicable to such Lender notwithstanding the other provisions of this Agreement), then, in that event, notwithstanding anything to the contrary in any of the Loan Documents or any agreement entered into in connection with or as security for the Notes, it is agreed as follows: (a) the aggregate of all consideration which constitutes interest under law applicable to any Lender that is contracted for, taken, reserved, charged or received by such Lender under any of the Loan Documents or agreements or otherwise in connection with the Notes shall under no circumstances exceed the maximum amount allowed by such applicable law, and any excess shall be canceled automatically and if theretofore paid shall be credited by such Lender on the principal amount of the Indebtedness (or, to the extent that the principal amount of the Indebtedness shall have been or would thereby be paid in full, refunded by such Lender to the Borrower); and (b) in the event that the maturity of the Notes is accelerated by reason of an election of the holder thereof resulting from any Event of Default under this Agreement or otherwise, or in the event of any required or permitted prepayment, then such consideration that constitutes interest under law applicable to any Lender may never include more than the maximum amount allowed by such applicable law, and excess interest, if any, provided for in this Agreement or otherwise shall be canceled automatically by such Lender as of the date of such acceleration or prepayment and, if theretofore paid, shall be credited by such Lender on the principal amount of the Indebtedness (or, to the extent that the principal amount of the Indebtedness shall have been or would thereby be paid in full, refunded by such Lender to the Borrower). All sums paid or agreed to be paid to any Lender for the use, forbearance or detention of sums due hereunder shall, to the extent permitted by law applicable to such Lender, be amortized, prorated, allocated and spread throughout the stated term of the Loans evidenced by the Notes until payment in full so that the rate or amount of interest on account of any Loans hereunder does not exceed the maximum amount allowed by such applicable law. If at any time and from time to time (i) the amount of interest payable to any Lender on any date shall be computed at the Highest Lawful Rate applicable to such Lender pursuant to this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xml:space="preserve"> and (ii) in respect of any subsequent interest computation period the amount of interest otherwise payable to such Lender would be less than the amount of interest payable to such Lender computed at the Highest Lawful Rate applicable to such Lender, then the amount of interest payable to such Lender in respect of such subsequent interest computation period shall continue to be computed at the Highest Lawful Rate applicable to such Lender until the total amount of interest payable to such Lender shall equal the total amount of interest which would have been payable to such Lender if the total amount of interest had been computed without giving effect to this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To the extent that Chapter 303 of the Texas Finance Code is relevant for the purpose of determining the Highest Lawful Rate applicable to a Lender, such Lender elects to determine the applicable rate ceiling under such Chapter by the weekly ceiling from time to time in effect. Chapter 346 of the Texas Finance Code does not apply to the Borrower’s obligations hereunder.</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2" w:name="page283"/>
    <w:bookmarkEnd w:id="282"/>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12.13 </w:t>
      </w:r>
      <w:r>
        <w:rPr>
          <w:rFonts w:ascii="Times New Roman" w:cs="Times New Roman" w:eastAsia="Times New Roman" w:hAnsi="Times New Roman"/>
          <w:sz w:val="18"/>
          <w:szCs w:val="18"/>
          <w:u w:val="single" w:color="auto"/>
          <w:color w:val="000000"/>
        </w:rPr>
        <w:t>EXCULPATION PROVISIONS</w:t>
      </w:r>
      <w:r>
        <w:rPr>
          <w:rFonts w:ascii="Times New Roman" w:cs="Times New Roman" w:eastAsia="Times New Roman" w:hAnsi="Times New Roman"/>
          <w:sz w:val="18"/>
          <w:szCs w:val="18"/>
          <w:color w:val="000000"/>
        </w:rPr>
        <w:t>. EACH OF THE PARTIES HERETO SPECIFICALLY AGREES THAT IT HAS A DUTY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12.14 </w:t>
      </w:r>
      <w:r>
        <w:rPr>
          <w:rFonts w:ascii="Times New Roman" w:cs="Times New Roman" w:eastAsia="Times New Roman" w:hAnsi="Times New Roman"/>
          <w:sz w:val="18"/>
          <w:szCs w:val="18"/>
          <w:u w:val="single" w:color="auto"/>
          <w:color w:val="000000"/>
        </w:rPr>
        <w:t>Swap Agreements</w:t>
      </w:r>
      <w:r>
        <w:rPr>
          <w:rFonts w:ascii="Times New Roman" w:cs="Times New Roman" w:eastAsia="Times New Roman" w:hAnsi="Times New Roman"/>
          <w:sz w:val="18"/>
          <w:szCs w:val="18"/>
          <w:color w:val="000000"/>
        </w:rPr>
        <w:t>. The Borrower hereby guarantees the payment and performance of all Indebtedness of each other Loan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and absolutely, unconditionally and irrevocably undertakes to provide such funds or other support as may be needed from time to time by each Benefiting Guarantor in order for such Benefiting Guarantor to honor its obligations under the Guaranty Agreement, including obligations with respect to Swap Agreements (provided, however, that the Borrower shall only be liable under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or otherwise under this Agreement or any other Loan Document, as it relates to such Benefiting Guarantor, voidable under applicable law relating to fraudulent conveyance or fraudulent transfer, and not for any greater amount). The obligations of Borrower under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shall remain in full force and effect until all Indebtedness is paid in full, and all of the Lenders’ Commitments are terminated. The Borrower intends that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constitute, and this </w:t>
      </w:r>
      <w:r>
        <w:rPr>
          <w:rFonts w:ascii="Times New Roman" w:cs="Times New Roman" w:eastAsia="Times New Roman" w:hAnsi="Times New Roman"/>
          <w:sz w:val="18"/>
          <w:szCs w:val="18"/>
          <w:u w:val="single" w:color="auto"/>
          <w:color w:val="000000"/>
        </w:rPr>
        <w:t>Section 12.14</w:t>
      </w:r>
      <w:r>
        <w:rPr>
          <w:rFonts w:ascii="Times New Roman" w:cs="Times New Roman" w:eastAsia="Times New Roman" w:hAnsi="Times New Roman"/>
          <w:sz w:val="18"/>
          <w:szCs w:val="18"/>
          <w:color w:val="000000"/>
        </w:rPr>
        <w:t xml:space="preserve"> shall be deemed to constitute, a “keepwell, support, or other agreement” for the benefit of each Benefiting Guarantor for all purposes of Section 1a(18)(A)(v)(II) of the Commodity Exchange Act.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12.15 </w:t>
      </w:r>
      <w:r>
        <w:rPr>
          <w:rFonts w:ascii="Times New Roman" w:cs="Times New Roman" w:eastAsia="Times New Roman" w:hAnsi="Times New Roman"/>
          <w:sz w:val="18"/>
          <w:szCs w:val="18"/>
          <w:u w:val="single" w:color="auto"/>
          <w:color w:val="000000"/>
        </w:rPr>
        <w:t>No Third Party Beneficiaries</w:t>
      </w:r>
      <w:r>
        <w:rPr>
          <w:rFonts w:ascii="Times New Roman" w:cs="Times New Roman" w:eastAsia="Times New Roman" w:hAnsi="Times New Roman"/>
          <w:sz w:val="18"/>
          <w:szCs w:val="18"/>
          <w:color w:val="000000"/>
        </w:rPr>
        <w:t>. This Agreement, the other Loan Documents, and the agreement of the Lenders to make Loans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Issuing Bank to issue, amend, renew or extend Letters of Credit hereunder are solely for the benefit of the Borrower, and no other Person (including, without limitation, the Parent Guarantor, any Subsidiary of the Borrower, any obligor, contractor, subcontractor, supplier or materialsman) shall have any rights, claims, remedies or privileges hereunder or under any other Loan Document against the Administrative Agent, any other Agent, the Issuing Bank or any Lender for any reason whatsoever. There are no third party beneficiaries.</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3" w:name="page284"/>
    <w:bookmarkEnd w:id="283"/>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Section 12.16 </w:t>
      </w:r>
      <w:r>
        <w:rPr>
          <w:rFonts w:ascii="Times New Roman" w:cs="Times New Roman" w:eastAsia="Times New Roman" w:hAnsi="Times New Roman"/>
          <w:sz w:val="18"/>
          <w:szCs w:val="18"/>
          <w:u w:val="single" w:color="auto"/>
          <w:color w:val="000000"/>
        </w:rPr>
        <w:t>USA PATRIOT Act Notice</w:t>
      </w:r>
      <w:r>
        <w:rPr>
          <w:rFonts w:ascii="Times New Roman" w:cs="Times New Roman" w:eastAsia="Times New Roman" w:hAnsi="Times New Roman"/>
          <w:sz w:val="18"/>
          <w:szCs w:val="18"/>
          <w:color w:val="000000"/>
        </w:rPr>
        <w:t>. Each Lender hereby notifies the Parent Guarantor and the Borrower that pursuant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requirements of the USA PATRIOT Act </w:t>
      </w:r>
      <w:r>
        <w:rPr>
          <w:rFonts w:ascii="Times New Roman" w:cs="Times New Roman" w:eastAsia="Times New Roman" w:hAnsi="Times New Roman"/>
          <w:sz w:val="18"/>
          <w:szCs w:val="18"/>
          <w:color w:val="FF0000"/>
          <w:strike w:val="1"/>
        </w:rPr>
        <w:t>(Title III of Pub. L. 107-56 (signed into law October 26, 2001)) (the “</w:t>
      </w:r>
      <w:r>
        <w:rPr>
          <w:rFonts w:ascii="Times New Roman" w:cs="Times New Roman" w:eastAsia="Times New Roman" w:hAnsi="Times New Roman"/>
          <w:sz w:val="18"/>
          <w:szCs w:val="18"/>
          <w:u w:val="single" w:color="auto"/>
          <w:color w:val="FF0000"/>
        </w:rPr>
        <w:t>Act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and/or any other applicable Anti-Money Laundering Laws, it is required to obtain, verify and record information that identifies the Parent Guarantor, the Borrower, and each Restricted Subsidiary, which information includes the name, tax identification number and address of the Parent Guarantor and the Borrower and other information that will allow such Lender to identify the Parent Guarantor and the Borrower in accordance with the USA PATRIOT Act or such Anti-Money Laundering Laws.</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010000"/>
        </w:rPr>
        <w:t>Section 12.17</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12.18 </w:t>
      </w:r>
      <w:r>
        <w:rPr>
          <w:rFonts w:ascii="Times New Roman" w:cs="Times New Roman" w:eastAsia="Times New Roman" w:hAnsi="Times New Roman"/>
          <w:sz w:val="18"/>
          <w:szCs w:val="18"/>
          <w:u w:val="single" w:color="auto"/>
          <w:color w:val="000000"/>
        </w:rPr>
        <w:t>Acknowledgement and Consent to Bail-In of Affected Financial Institutions</w:t>
      </w:r>
      <w:r>
        <w:rPr>
          <w:rFonts w:ascii="Times New Roman" w:cs="Times New Roman" w:eastAsia="Times New Roman" w:hAnsi="Times New Roman"/>
          <w:sz w:val="18"/>
          <w:szCs w:val="18"/>
          <w:color w:val="000000"/>
        </w:rPr>
        <w:t>. Notwithstanding anything to the contrary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304"/>
        <w:spacing w:after="0" w:line="282" w:lineRule="auto"/>
        <w:tabs>
          <w:tab w:leader="none" w:pos="1990" w:val="left"/>
        </w:tabs>
        <w:numPr>
          <w:ilvl w:val="0"/>
          <w:numId w:val="2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2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2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816" w:val="left"/>
        </w:tabs>
        <w:numPr>
          <w:ilvl w:val="1"/>
          <w:numId w:val="2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010000"/>
        </w:rPr>
      </w:pPr>
    </w:p>
    <w:p>
      <w:pPr>
        <w:ind w:right="20" w:firstLine="1952"/>
        <w:spacing w:after="0" w:line="282" w:lineRule="auto"/>
        <w:tabs>
          <w:tab w:leader="none" w:pos="2673" w:val="left"/>
        </w:tabs>
        <w:numPr>
          <w:ilvl w:val="1"/>
          <w:numId w:val="2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4" w:name="page285"/>
    <w:bookmarkEnd w:id="284"/>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010000"/>
        </w:rPr>
        <w:t>Section 12.19</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031" w:val="left"/>
        </w:tabs>
        <w:numPr>
          <w:ilvl w:val="0"/>
          <w:numId w:val="2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w:t>
      </w:r>
      <w:r>
        <w:rPr>
          <w:rFonts w:ascii="Times New Roman" w:cs="Times New Roman" w:eastAsia="Times New Roman" w:hAnsi="Times New Roman"/>
          <w:sz w:val="18"/>
          <w:szCs w:val="18"/>
          <w:color w:val="FF0000"/>
          <w:strike w:val="1"/>
        </w:rPr>
        <w:t>the Other Agents</w:t>
      </w:r>
      <w:r>
        <w:rPr>
          <w:rFonts w:ascii="Times New Roman" w:cs="Times New Roman" w:eastAsia="Times New Roman" w:hAnsi="Times New Roman"/>
          <w:sz w:val="18"/>
          <w:szCs w:val="18"/>
          <w:u w:val="single" w:color="auto"/>
          <w:color w:val="0000FF"/>
        </w:rPr>
        <w:t>any other Agent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their respective Affiliates, and not, for the avoidance of doubt, to or for the benefit of the Borrower or any other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Party, that at least one of the following is and will be true:</w:t>
      </w:r>
    </w:p>
    <w:p>
      <w:pPr>
        <w:spacing w:after="0" w:line="179" w:lineRule="exact"/>
        <w:rPr>
          <w:rFonts w:ascii="Times New Roman" w:cs="Times New Roman" w:eastAsia="Times New Roman" w:hAnsi="Times New Roman"/>
          <w:sz w:val="18"/>
          <w:szCs w:val="18"/>
          <w:color w:val="010000"/>
        </w:rPr>
      </w:pPr>
    </w:p>
    <w:p>
      <w:pPr>
        <w:ind w:firstLine="1952"/>
        <w:spacing w:after="0" w:line="282" w:lineRule="auto"/>
        <w:tabs>
          <w:tab w:leader="none" w:pos="2676" w:val="left"/>
        </w:tabs>
        <w:numPr>
          <w:ilvl w:val="1"/>
          <w:numId w:val="2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such Lender is not using “plan assets” (within the meaning of 29 CFR § 2510.3-101, as modified by Section 3(42) of ERISA) of one or more Benefit Plans in connection with the Loans, the Letters of Credit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Commitments </w:t>
      </w:r>
      <w:r>
        <w:rPr>
          <w:rFonts w:ascii="Times New Roman" w:cs="Times New Roman" w:eastAsia="Times New Roman" w:hAnsi="Times New Roman"/>
          <w:sz w:val="18"/>
          <w:szCs w:val="18"/>
          <w:u w:val="single" w:color="auto"/>
          <w:color w:val="0000FF"/>
        </w:rPr>
        <w:t>or this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627" w:val="left"/>
        </w:tabs>
        <w:numPr>
          <w:ilvl w:val="1"/>
          <w:numId w:val="2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187"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673" w:val="left"/>
        </w:tabs>
        <w:numPr>
          <w:ilvl w:val="1"/>
          <w:numId w:val="2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such Lender is an investment fund managed by a “</w:t>
      </w:r>
      <w:r>
        <w:rPr>
          <w:rFonts w:ascii="Times New Roman" w:cs="Times New Roman" w:eastAsia="Times New Roman" w:hAnsi="Times New Roman"/>
          <w:sz w:val="18"/>
          <w:szCs w:val="18"/>
          <w:u w:val="single" w:color="auto"/>
          <w:color w:val="auto"/>
        </w:rPr>
        <w:t>Qualified Professional Asset Manager</w:t>
      </w:r>
      <w:r>
        <w:rPr>
          <w:rFonts w:ascii="Times New Roman" w:cs="Times New Roman" w:eastAsia="Times New Roman" w:hAnsi="Times New Roman"/>
          <w:sz w:val="18"/>
          <w:szCs w:val="18"/>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7" w:lineRule="exact"/>
        <w:rPr>
          <w:rFonts w:ascii="Times New Roman" w:cs="Times New Roman" w:eastAsia="Times New Roman" w:hAnsi="Times New Roman"/>
          <w:sz w:val="18"/>
          <w:szCs w:val="18"/>
          <w:color w:val="010000"/>
        </w:rPr>
      </w:pPr>
    </w:p>
    <w:p>
      <w:pPr>
        <w:ind w:left="2640" w:hanging="688"/>
        <w:spacing w:after="0"/>
        <w:tabs>
          <w:tab w:leader="none" w:pos="2640" w:val="left"/>
        </w:tabs>
        <w:numPr>
          <w:ilvl w:val="1"/>
          <w:numId w:val="2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representation, warranty and covenant as may be agreed in writing between the Administrative Agent, in its</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sole discretion, and such Lender.</w:t>
      </w:r>
    </w:p>
    <w:p>
      <w:pPr>
        <w:spacing w:after="0" w:line="206"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82" w:val="left"/>
        </w:tabs>
        <w:numPr>
          <w:ilvl w:val="0"/>
          <w:numId w:val="2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addition, unless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such Lender has </w:t>
      </w:r>
      <w:r>
        <w:rPr>
          <w:rFonts w:ascii="Times New Roman" w:cs="Times New Roman" w:eastAsia="Times New Roman" w:hAnsi="Times New Roman"/>
          <w:sz w:val="18"/>
          <w:szCs w:val="18"/>
          <w:color w:val="FF0000"/>
          <w:strike w:val="1"/>
        </w:rPr>
        <w:t>not</w:t>
      </w:r>
      <w:r>
        <w:rPr>
          <w:rFonts w:ascii="Times New Roman" w:cs="Times New Roman" w:eastAsia="Times New Roman" w:hAnsi="Times New Roman"/>
          <w:sz w:val="18"/>
          <w:szCs w:val="18"/>
          <w:color w:val="auto"/>
        </w:rPr>
        <w:t xml:space="preserve"> provided another representation, warranty and covenant as provided in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such Lender further (x) represents and warrants, as of the date such Person became a Lender party hereto, </w:t>
      </w:r>
      <w:r>
        <w:rPr>
          <w:rFonts w:ascii="Times New Roman" w:cs="Times New Roman" w:eastAsia="Times New Roman" w:hAnsi="Times New Roman"/>
          <w:sz w:val="18"/>
          <w:szCs w:val="18"/>
          <w:color w:val="FF0000"/>
          <w:strike w:val="1"/>
        </w:rPr>
        <w:t>to,</w:t>
      </w:r>
      <w:r>
        <w:rPr>
          <w:rFonts w:ascii="Times New Roman" w:cs="Times New Roman" w:eastAsia="Times New Roman" w:hAnsi="Times New Roman"/>
          <w:sz w:val="18"/>
          <w:szCs w:val="18"/>
          <w:color w:val="auto"/>
        </w:rPr>
        <w:t xml:space="preserve"> and (y) covenants, from the date such Person became a Lender party hereto to the date such Person ceases being a Lender party hereto, for the benefit of, the Administrative Agent, </w:t>
      </w:r>
      <w:r>
        <w:rPr>
          <w:rFonts w:ascii="Times New Roman" w:cs="Times New Roman" w:eastAsia="Times New Roman" w:hAnsi="Times New Roman"/>
          <w:sz w:val="18"/>
          <w:szCs w:val="18"/>
          <w:color w:val="FF0000"/>
          <w:strike w:val="1"/>
        </w:rPr>
        <w:t>the Other Agents</w:t>
      </w:r>
      <w:r>
        <w:rPr>
          <w:rFonts w:ascii="Times New Roman" w:cs="Times New Roman" w:eastAsia="Times New Roman" w:hAnsi="Times New Roman"/>
          <w:sz w:val="18"/>
          <w:szCs w:val="18"/>
          <w:u w:val="single" w:color="auto"/>
          <w:color w:val="0000FF"/>
        </w:rPr>
        <w:t>any other Agent</w:t>
      </w:r>
      <w:r>
        <w:rPr>
          <w:rFonts w:ascii="Times New Roman" w:cs="Times New Roman" w:eastAsia="Times New Roman" w:hAnsi="Times New Roman"/>
          <w:sz w:val="18"/>
          <w:szCs w:val="18"/>
          <w:color w:val="auto"/>
        </w:rPr>
        <w:t xml:space="preserve"> and their respective Affiliates, and not, for the avoidance of doubt, to or for the benefit of the Borrower or any other Loan Party, that </w:t>
      </w:r>
      <w:r>
        <w:rPr>
          <w:rFonts w:ascii="Times New Roman" w:cs="Times New Roman" w:eastAsia="Times New Roman" w:hAnsi="Times New Roman"/>
          <w:sz w:val="18"/>
          <w:szCs w:val="18"/>
          <w:color w:val="FF0000"/>
          <w:strike w:val="1"/>
        </w:rPr>
        <w:t>none of</w:t>
      </w:r>
      <w:r>
        <w:rPr>
          <w:rFonts w:ascii="Times New Roman" w:cs="Times New Roman" w:eastAsia="Times New Roman" w:hAnsi="Times New Roman"/>
          <w:sz w:val="18"/>
          <w:szCs w:val="18"/>
          <w:u w:val="single" w:color="auto"/>
          <w:color w:val="0000FF"/>
        </w:rPr>
        <w:t>neither</w:t>
      </w:r>
      <w:r>
        <w:rPr>
          <w:rFonts w:ascii="Times New Roman" w:cs="Times New Roman" w:eastAsia="Times New Roman" w:hAnsi="Times New Roman"/>
          <w:sz w:val="18"/>
          <w:szCs w:val="18"/>
          <w:color w:val="auto"/>
        </w:rPr>
        <w:t xml:space="preserve"> the Administrative Agent, </w:t>
      </w:r>
      <w:r>
        <w:rPr>
          <w:rFonts w:ascii="Times New Roman" w:cs="Times New Roman" w:eastAsia="Times New Roman" w:hAnsi="Times New Roman"/>
          <w:sz w:val="18"/>
          <w:szCs w:val="18"/>
          <w:color w:val="FF0000"/>
          <w:strike w:val="1"/>
        </w:rPr>
        <w:t>the Other Agents</w:t>
      </w:r>
      <w:r>
        <w:rPr>
          <w:rFonts w:ascii="Times New Roman" w:cs="Times New Roman" w:eastAsia="Times New Roman" w:hAnsi="Times New Roman"/>
          <w:sz w:val="18"/>
          <w:szCs w:val="18"/>
          <w:u w:val="single" w:color="auto"/>
          <w:color w:val="0000FF"/>
        </w:rPr>
        <w:t>any other Agent</w:t>
      </w:r>
      <w:r>
        <w:rPr>
          <w:rFonts w:ascii="Times New Roman" w:cs="Times New Roman" w:eastAsia="Times New Roman" w:hAnsi="Times New Roman"/>
          <w:sz w:val="18"/>
          <w:szCs w:val="18"/>
          <w:color w:val="auto"/>
        </w:rPr>
        <w:t xml:space="preserve"> nor any of their respective Affiliates is a fiduciary with respect to the assets of such Lender involved in such Lender’s entrance into, participation in, or administration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12.20 </w:t>
      </w:r>
      <w:r>
        <w:rPr>
          <w:rFonts w:ascii="Times New Roman" w:cs="Times New Roman" w:eastAsia="Times New Roman" w:hAnsi="Times New Roman"/>
          <w:sz w:val="18"/>
          <w:szCs w:val="18"/>
          <w:u w:val="single" w:color="auto"/>
          <w:color w:val="000000"/>
        </w:rPr>
        <w:t>Acknowledgment Regarding Any Supported QFCs</w:t>
      </w:r>
      <w:r>
        <w:rPr>
          <w:rFonts w:ascii="Times New Roman" w:cs="Times New Roman" w:eastAsia="Times New Roman" w:hAnsi="Times New Roman"/>
          <w:sz w:val="18"/>
          <w:szCs w:val="18"/>
          <w:color w:val="000000"/>
        </w:rPr>
        <w:t>. To the extent that the Loan Documents provide support, through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000000"/>
        </w:rPr>
        <w:t>QFC Credit Support</w:t>
      </w:r>
      <w:r>
        <w:rPr>
          <w:rFonts w:ascii="Times New Roman" w:cs="Times New Roman" w:eastAsia="Times New Roman" w:hAnsi="Times New Roman"/>
          <w:sz w:val="18"/>
          <w:szCs w:val="18"/>
          <w:color w:val="000000"/>
        </w:rPr>
        <w:t>”, and each such QFC, a “</w:t>
      </w:r>
      <w:r>
        <w:rPr>
          <w:rFonts w:ascii="Times New Roman" w:cs="Times New Roman" w:eastAsia="Times New Roman" w:hAnsi="Times New Roman"/>
          <w:sz w:val="18"/>
          <w:szCs w:val="18"/>
          <w:u w:val="single" w:color="auto"/>
          <w:color w:val="000000"/>
        </w:rPr>
        <w:t>Supported QFC</w:t>
      </w:r>
      <w:r>
        <w:rPr>
          <w:rFonts w:ascii="Times New Roman" w:cs="Times New Roman" w:eastAsia="Times New Roman" w:hAnsi="Times New Roman"/>
          <w:sz w:val="18"/>
          <w:szCs w:val="18"/>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000000"/>
        </w:rPr>
        <w:t>U.S. Special Resolution Regimes</w:t>
      </w:r>
      <w:r>
        <w:rPr>
          <w:rFonts w:ascii="Times New Roman" w:cs="Times New Roman" w:eastAsia="Times New Roman" w:hAnsi="Times New Roman"/>
          <w:sz w:val="18"/>
          <w:szCs w:val="18"/>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5" w:name="page286"/>
    <w:bookmarkEnd w:id="285"/>
    <w:p>
      <w:pPr>
        <w:jc w:val="both"/>
        <w:ind w:firstLine="1304"/>
        <w:spacing w:after="0" w:line="253" w:lineRule="auto"/>
        <w:tabs>
          <w:tab w:leader="none" w:pos="1959"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 the following terms have the following meanings:</w:t>
      </w:r>
    </w:p>
    <w:p>
      <w:pPr>
        <w:spacing w:after="0" w:line="225" w:lineRule="exact"/>
        <w:rPr>
          <w:rFonts w:ascii="Times New Roman" w:cs="Times New Roman" w:eastAsia="Times New Roman" w:hAnsi="Times New Roman"/>
          <w:sz w:val="18"/>
          <w:szCs w:val="18"/>
          <w:color w:val="010000"/>
        </w:rPr>
      </w:pPr>
    </w:p>
    <w:p>
      <w:pPr>
        <w:ind w:left="2640" w:hanging="688"/>
        <w:spacing w:after="0"/>
        <w:tabs>
          <w:tab w:leader="none" w:pos="2640" w:val="left"/>
        </w:tabs>
        <w:numPr>
          <w:ilvl w:val="1"/>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12 U.S.C. 1841(k)) of such party.</w:t>
      </w:r>
    </w:p>
    <w:p>
      <w:pPr>
        <w:spacing w:after="0" w:line="206"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803" w:val="left"/>
        </w:tabs>
        <w:numPr>
          <w:ilvl w:val="1"/>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rFonts w:ascii="Times New Roman" w:cs="Times New Roman" w:eastAsia="Times New Roman" w:hAnsi="Times New Roman"/>
          <w:sz w:val="18"/>
          <w:szCs w:val="18"/>
          <w:color w:val="010000"/>
        </w:rPr>
      </w:pPr>
    </w:p>
    <w:p>
      <w:pPr>
        <w:ind w:left="2740" w:hanging="788"/>
        <w:spacing w:after="0"/>
        <w:tabs>
          <w:tab w:leader="none" w:pos="2740" w:val="left"/>
        </w:tabs>
        <w:numPr>
          <w:ilvl w:val="1"/>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252.81, 47.2 or 382.1, as applicable.</w:t>
      </w:r>
    </w:p>
    <w:p>
      <w:pPr>
        <w:spacing w:after="0" w:line="206"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1"/>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12 U.S.C. 5390(c)(8)(D).</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[SIGNATURES BEGIN NEXT PAGE]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6" w:name="page287"/>
    <w:bookmarkEnd w:id="28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Signature Pages Intentionally Omitted</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309880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color w:val="010000"/>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COMMITMENTS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20" w:type="dxa"/>
            <w:vAlign w:val="bottom"/>
            <w:tcBorders>
              <w:top w:val="single" w:sz="8" w:color="auto"/>
              <w:left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shd w:val="clear" w:color="auto" w:fill="FFCCCC"/>
          </w:tcPr>
          <w:p>
            <w:pPr>
              <w:spacing w:after="0"/>
              <w:rPr>
                <w:sz w:val="18"/>
                <w:szCs w:val="18"/>
                <w:color w:val="auto"/>
              </w:rPr>
            </w:pPr>
          </w:p>
        </w:tc>
        <w:tc>
          <w:tcPr>
            <w:tcW w:w="840" w:type="dxa"/>
            <w:vAlign w:val="bottom"/>
            <w:tcBorders>
              <w:top w:val="single" w:sz="8" w:color="auto"/>
            </w:tcBorders>
            <w:shd w:val="clear" w:color="auto" w:fill="FFCCCC"/>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0000"/>
                <w:strike w:val="1"/>
              </w:rPr>
              <w:t>Applicable</w:t>
            </w:r>
          </w:p>
        </w:tc>
        <w:tc>
          <w:tcPr>
            <w:tcW w:w="260" w:type="dxa"/>
            <w:vAlign w:val="bottom"/>
            <w:tcBorders>
              <w:top w:val="single" w:sz="8" w:color="auto"/>
              <w:right w:val="single" w:sz="8" w:color="FFCCCC"/>
            </w:tcBorders>
            <w:shd w:val="clear" w:color="auto" w:fill="FFCCCC"/>
          </w:tcPr>
          <w:p>
            <w:pPr>
              <w:spacing w:after="0"/>
              <w:rPr>
                <w:sz w:val="18"/>
                <w:szCs w:val="18"/>
                <w:color w:val="auto"/>
              </w:rPr>
            </w:pPr>
          </w:p>
        </w:tc>
        <w:tc>
          <w:tcPr>
            <w:tcW w:w="100" w:type="dxa"/>
            <w:vAlign w:val="bottom"/>
            <w:tcBorders>
              <w:top w:val="single" w:sz="8" w:color="auto"/>
              <w:right w:val="single" w:sz="8" w:color="auto"/>
            </w:tcBorders>
            <w:shd w:val="clear" w:color="auto" w:fill="FFCCCC"/>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shd w:val="clear" w:color="auto" w:fill="CCCCFF"/>
          </w:tcPr>
          <w:p>
            <w:pPr>
              <w:spacing w:after="0"/>
              <w:rPr>
                <w:sz w:val="18"/>
                <w:szCs w:val="18"/>
                <w:color w:val="auto"/>
              </w:rPr>
            </w:pPr>
          </w:p>
        </w:tc>
        <w:tc>
          <w:tcPr>
            <w:tcW w:w="40" w:type="dxa"/>
            <w:vAlign w:val="bottom"/>
            <w:tcBorders>
              <w:top w:val="single" w:sz="8" w:color="auto"/>
            </w:tcBorders>
            <w:shd w:val="clear" w:color="auto" w:fill="CCCCFF"/>
          </w:tcPr>
          <w:p>
            <w:pPr>
              <w:spacing w:after="0"/>
              <w:rPr>
                <w:sz w:val="18"/>
                <w:szCs w:val="18"/>
                <w:color w:val="auto"/>
              </w:rPr>
            </w:pPr>
          </w:p>
        </w:tc>
        <w:tc>
          <w:tcPr>
            <w:tcW w:w="4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100" w:type="dxa"/>
            <w:vAlign w:val="bottom"/>
            <w:tcBorders>
              <w:top w:val="single" w:sz="8" w:color="auto"/>
              <w:right w:val="single" w:sz="8" w:color="CCCCFF"/>
            </w:tcBorders>
            <w:shd w:val="clear" w:color="auto" w:fill="CCCCFF"/>
          </w:tcPr>
          <w:p>
            <w:pPr>
              <w:spacing w:after="0"/>
              <w:rPr>
                <w:sz w:val="18"/>
                <w:szCs w:val="18"/>
                <w:color w:val="auto"/>
              </w:rPr>
            </w:pPr>
          </w:p>
        </w:tc>
        <w:tc>
          <w:tcPr>
            <w:tcW w:w="940" w:type="dxa"/>
            <w:vAlign w:val="bottom"/>
            <w:tcBorders>
              <w:top w:val="single" w:sz="8" w:color="auto"/>
              <w:right w:val="single" w:sz="8" w:color="auto"/>
            </w:tcBorders>
            <w:gridSpan w:val="3"/>
            <w:shd w:val="clear" w:color="auto" w:fill="CCCCFF"/>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Existing</w:t>
            </w:r>
          </w:p>
        </w:tc>
        <w:tc>
          <w:tcPr>
            <w:tcW w:w="8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40" w:type="dxa"/>
            <w:vAlign w:val="bottom"/>
            <w:tcBorders>
              <w:top w:val="single" w:sz="8" w:color="auto"/>
            </w:tcBorders>
            <w:shd w:val="clear" w:color="auto" w:fill="CCCCFF"/>
          </w:tcPr>
          <w:p>
            <w:pPr>
              <w:spacing w:after="0"/>
              <w:rPr>
                <w:sz w:val="18"/>
                <w:szCs w:val="18"/>
                <w:color w:val="auto"/>
              </w:rPr>
            </w:pPr>
          </w:p>
        </w:tc>
        <w:tc>
          <w:tcPr>
            <w:tcW w:w="80" w:type="dxa"/>
            <w:vAlign w:val="bottom"/>
            <w:tcBorders>
              <w:top w:val="single" w:sz="8" w:color="auto"/>
            </w:tcBorders>
            <w:shd w:val="clear" w:color="auto" w:fill="CCCCFF"/>
          </w:tcPr>
          <w:p>
            <w:pPr>
              <w:spacing w:after="0"/>
              <w:rPr>
                <w:sz w:val="18"/>
                <w:szCs w:val="18"/>
                <w:color w:val="auto"/>
              </w:rPr>
            </w:pPr>
          </w:p>
        </w:tc>
        <w:tc>
          <w:tcPr>
            <w:tcW w:w="980" w:type="dxa"/>
            <w:vAlign w:val="bottom"/>
            <w:tcBorders>
              <w:top w:val="single" w:sz="8" w:color="auto"/>
              <w:right w:val="single" w:sz="8" w:color="auto"/>
            </w:tcBorders>
            <w:gridSpan w:val="7"/>
            <w:shd w:val="clear" w:color="auto" w:fill="CCCCFF"/>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Increased</w:t>
            </w:r>
          </w:p>
        </w:tc>
        <w:tc>
          <w:tcPr>
            <w:tcW w:w="100" w:type="dxa"/>
            <w:vAlign w:val="bottom"/>
            <w:tcBorders>
              <w:top w:val="single" w:sz="8" w:color="auto"/>
            </w:tcBorders>
            <w:shd w:val="clear" w:color="auto" w:fill="CCCCFF"/>
          </w:tcPr>
          <w:p>
            <w:pPr>
              <w:spacing w:after="0"/>
              <w:rPr>
                <w:sz w:val="18"/>
                <w:szCs w:val="18"/>
                <w:color w:val="auto"/>
              </w:rPr>
            </w:pPr>
          </w:p>
        </w:tc>
        <w:tc>
          <w:tcPr>
            <w:tcW w:w="8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60" w:type="dxa"/>
            <w:vAlign w:val="bottom"/>
            <w:tcBorders>
              <w:top w:val="single" w:sz="8" w:color="auto"/>
              <w:right w:val="single" w:sz="8" w:color="CCCCFF"/>
            </w:tcBorders>
            <w:shd w:val="clear" w:color="auto" w:fill="CCCCFF"/>
          </w:tcPr>
          <w:p>
            <w:pPr>
              <w:spacing w:after="0"/>
              <w:rPr>
                <w:sz w:val="18"/>
                <w:szCs w:val="18"/>
                <w:color w:val="auto"/>
              </w:rPr>
            </w:pPr>
          </w:p>
        </w:tc>
        <w:tc>
          <w:tcPr>
            <w:tcW w:w="1000" w:type="dxa"/>
            <w:vAlign w:val="bottom"/>
            <w:tcBorders>
              <w:top w:val="single" w:sz="8" w:color="auto"/>
              <w:left w:val="single" w:sz="8" w:color="CCCCFF"/>
              <w:right w:val="single" w:sz="8" w:color="auto"/>
            </w:tcBorders>
            <w:gridSpan w:val="4"/>
            <w:shd w:val="clear" w:color="auto" w:fill="CCCCFF"/>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Increased</w:t>
            </w:r>
          </w:p>
        </w:tc>
        <w:tc>
          <w:tcPr>
            <w:tcW w:w="80" w:type="dxa"/>
            <w:vAlign w:val="bottom"/>
            <w:tcBorders>
              <w:top w:val="single" w:sz="8" w:color="auto"/>
            </w:tcBorders>
            <w:shd w:val="clear" w:color="auto" w:fill="CCCCFF"/>
          </w:tcPr>
          <w:p>
            <w:pPr>
              <w:spacing w:after="0"/>
              <w:rPr>
                <w:sz w:val="18"/>
                <w:szCs w:val="18"/>
                <w:color w:val="auto"/>
              </w:rPr>
            </w:pPr>
          </w:p>
        </w:tc>
        <w:tc>
          <w:tcPr>
            <w:tcW w:w="6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40" w:type="dxa"/>
            <w:vAlign w:val="bottom"/>
            <w:tcBorders>
              <w:top w:val="single" w:sz="8" w:color="auto"/>
            </w:tcBorders>
            <w:shd w:val="clear" w:color="auto" w:fill="CCCCFF"/>
          </w:tcPr>
          <w:p>
            <w:pPr>
              <w:spacing w:after="0"/>
              <w:rPr>
                <w:sz w:val="18"/>
                <w:szCs w:val="18"/>
                <w:color w:val="auto"/>
              </w:rPr>
            </w:pPr>
          </w:p>
        </w:tc>
        <w:tc>
          <w:tcPr>
            <w:tcW w:w="220" w:type="dxa"/>
            <w:vAlign w:val="bottom"/>
            <w:tcBorders>
              <w:top w:val="single" w:sz="8" w:color="auto"/>
            </w:tcBorders>
            <w:shd w:val="clear" w:color="auto" w:fill="CCCCFF"/>
          </w:tcPr>
          <w:p>
            <w:pPr>
              <w:spacing w:after="0"/>
              <w:rPr>
                <w:sz w:val="18"/>
                <w:szCs w:val="18"/>
                <w:color w:val="auto"/>
              </w:rPr>
            </w:pPr>
          </w:p>
        </w:tc>
        <w:tc>
          <w:tcPr>
            <w:tcW w:w="400" w:type="dxa"/>
            <w:vAlign w:val="bottom"/>
            <w:tcBorders>
              <w:top w:val="single" w:sz="8" w:color="auto"/>
            </w:tcBorders>
            <w:shd w:val="clear" w:color="auto" w:fill="CCCCFF"/>
          </w:tcPr>
          <w:p>
            <w:pPr>
              <w:spacing w:after="0"/>
              <w:rPr>
                <w:sz w:val="18"/>
                <w:szCs w:val="18"/>
                <w:color w:val="auto"/>
              </w:rPr>
            </w:pPr>
          </w:p>
        </w:tc>
        <w:tc>
          <w:tcPr>
            <w:tcW w:w="280" w:type="dxa"/>
            <w:vAlign w:val="bottom"/>
            <w:tcBorders>
              <w:top w:val="single" w:sz="8" w:color="auto"/>
            </w:tcBorders>
            <w:shd w:val="clear" w:color="auto" w:fill="CCCCFF"/>
          </w:tcPr>
          <w:p>
            <w:pPr>
              <w:spacing w:after="0"/>
              <w:rPr>
                <w:sz w:val="18"/>
                <w:szCs w:val="18"/>
                <w:color w:val="auto"/>
              </w:rPr>
            </w:pPr>
          </w:p>
        </w:tc>
        <w:tc>
          <w:tcPr>
            <w:tcW w:w="4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4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100" w:type="dxa"/>
            <w:vAlign w:val="bottom"/>
            <w:tcBorders>
              <w:top w:val="single" w:sz="8" w:color="auto"/>
              <w:right w:val="single" w:sz="8" w:color="auto"/>
            </w:tcBorders>
            <w:shd w:val="clear" w:color="auto" w:fill="CCCCFF"/>
          </w:tcPr>
          <w:p>
            <w:pPr>
              <w:spacing w:after="0"/>
              <w:rPr>
                <w:sz w:val="18"/>
                <w:szCs w:val="18"/>
                <w:color w:val="auto"/>
              </w:rPr>
            </w:pPr>
          </w:p>
        </w:tc>
        <w:tc>
          <w:tcPr>
            <w:tcW w:w="80" w:type="dxa"/>
            <w:vAlign w:val="bottom"/>
            <w:tcBorders>
              <w:top w:val="single" w:sz="8" w:color="auto"/>
            </w:tcBorders>
            <w:shd w:val="clear" w:color="auto" w:fill="CCCCFF"/>
          </w:tcPr>
          <w:p>
            <w:pPr>
              <w:spacing w:after="0"/>
              <w:rPr>
                <w:sz w:val="18"/>
                <w:szCs w:val="18"/>
                <w:color w:val="auto"/>
              </w:rPr>
            </w:pPr>
          </w:p>
        </w:tc>
        <w:tc>
          <w:tcPr>
            <w:tcW w:w="8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100" w:type="dxa"/>
            <w:vAlign w:val="bottom"/>
            <w:tcBorders>
              <w:top w:val="single" w:sz="8" w:color="auto"/>
            </w:tcBorders>
            <w:shd w:val="clear" w:color="auto" w:fill="CCCCFF"/>
          </w:tcPr>
          <w:p>
            <w:pPr>
              <w:spacing w:after="0"/>
              <w:rPr>
                <w:sz w:val="18"/>
                <w:szCs w:val="18"/>
                <w:color w:val="auto"/>
              </w:rPr>
            </w:pPr>
          </w:p>
        </w:tc>
        <w:tc>
          <w:tcPr>
            <w:tcW w:w="120" w:type="dxa"/>
            <w:vAlign w:val="bottom"/>
            <w:tcBorders>
              <w:top w:val="single" w:sz="8" w:color="auto"/>
            </w:tcBorders>
            <w:shd w:val="clear" w:color="auto" w:fill="CCCCFF"/>
          </w:tcPr>
          <w:p>
            <w:pPr>
              <w:spacing w:after="0"/>
              <w:rPr>
                <w:sz w:val="18"/>
                <w:szCs w:val="18"/>
                <w:color w:val="auto"/>
              </w:rPr>
            </w:pPr>
          </w:p>
        </w:tc>
        <w:tc>
          <w:tcPr>
            <w:tcW w:w="820" w:type="dxa"/>
            <w:vAlign w:val="bottom"/>
            <w:tcBorders>
              <w:top w:val="single" w:sz="8" w:color="auto"/>
              <w:right w:val="single" w:sz="8" w:color="auto"/>
            </w:tcBorders>
            <w:gridSpan w:val="7"/>
            <w:shd w:val="clear" w:color="auto" w:fill="CCCCFF"/>
          </w:tcPr>
          <w:p>
            <w:pPr>
              <w:jc w:val="center"/>
              <w:ind w:right="42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Total</w:t>
            </w:r>
          </w:p>
        </w:tc>
        <w:tc>
          <w:tcPr>
            <w:tcW w:w="0" w:type="dxa"/>
            <w:vAlign w:val="bottom"/>
          </w:tcPr>
          <w:p>
            <w:pPr>
              <w:spacing w:after="0"/>
              <w:rPr>
                <w:sz w:val="1"/>
                <w:szCs w:val="1"/>
                <w:color w:val="auto"/>
              </w:rPr>
            </w:pPr>
          </w:p>
        </w:tc>
      </w:tr>
      <w:tr>
        <w:trPr>
          <w:trHeight w:val="20"/>
        </w:trPr>
        <w:tc>
          <w:tcPr>
            <w:tcW w:w="1620" w:type="dxa"/>
            <w:vAlign w:val="bottom"/>
            <w:tcBorders>
              <w:left w:val="single" w:sz="8" w:color="auto"/>
              <w:right w:val="single" w:sz="8" w:color="auto"/>
            </w:tcBorders>
            <w:gridSpan w:val="3"/>
          </w:tcPr>
          <w:p>
            <w:pPr>
              <w:spacing w:after="0" w:line="20" w:lineRule="exact"/>
              <w:rPr>
                <w:sz w:val="1"/>
                <w:szCs w:val="1"/>
                <w:color w:val="auto"/>
              </w:rPr>
            </w:pPr>
          </w:p>
        </w:tc>
        <w:tc>
          <w:tcPr>
            <w:tcW w:w="340" w:type="dxa"/>
            <w:vAlign w:val="bottom"/>
            <w:tcBorders>
              <w:top w:val="single" w:sz="8" w:color="FFCCCC"/>
            </w:tcBorders>
            <w:shd w:val="clear" w:color="auto" w:fill="FFCCCC"/>
          </w:tcPr>
          <w:p>
            <w:pPr>
              <w:spacing w:after="0" w:line="20" w:lineRule="exact"/>
              <w:rPr>
                <w:sz w:val="1"/>
                <w:szCs w:val="1"/>
                <w:color w:val="auto"/>
              </w:rPr>
            </w:pPr>
          </w:p>
        </w:tc>
        <w:tc>
          <w:tcPr>
            <w:tcW w:w="840" w:type="dxa"/>
            <w:vAlign w:val="bottom"/>
            <w:tcBorders>
              <w:top w:val="single" w:sz="8" w:color="FFCCCC"/>
            </w:tcBorders>
            <w:vMerge w:val="restart"/>
            <w:shd w:val="clear" w:color="auto" w:fill="FFCCCC"/>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98"/>
              </w:rPr>
              <w:t>Percentage</w:t>
            </w:r>
          </w:p>
        </w:tc>
        <w:tc>
          <w:tcPr>
            <w:tcW w:w="260" w:type="dxa"/>
            <w:vAlign w:val="bottom"/>
            <w:tcBorders>
              <w:top w:val="single" w:sz="8" w:color="FFCCCC"/>
              <w:right w:val="single" w:sz="8" w:color="FFCCCC"/>
            </w:tcBorders>
            <w:shd w:val="clear" w:color="auto" w:fill="FFCCCC"/>
          </w:tcPr>
          <w:p>
            <w:pPr>
              <w:spacing w:after="0" w:line="20" w:lineRule="exact"/>
              <w:rPr>
                <w:sz w:val="1"/>
                <w:szCs w:val="1"/>
                <w:color w:val="auto"/>
              </w:rPr>
            </w:pPr>
          </w:p>
        </w:tc>
        <w:tc>
          <w:tcPr>
            <w:tcW w:w="100" w:type="dxa"/>
            <w:vAlign w:val="bottom"/>
            <w:tcBorders>
              <w:top w:val="single" w:sz="8" w:color="FFCCCC"/>
              <w:right w:val="single" w:sz="8" w:color="auto"/>
            </w:tcBorders>
            <w:shd w:val="clear" w:color="auto" w:fill="FFCCCC"/>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6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FF"/>
              </w:rPr>
              <w:t>Existing</w:t>
            </w:r>
          </w:p>
        </w:tc>
        <w:tc>
          <w:tcPr>
            <w:tcW w:w="140" w:type="dxa"/>
            <w:vAlign w:val="bottom"/>
            <w:vMerge w:val="restart"/>
          </w:tcPr>
          <w:p>
            <w:pPr>
              <w:spacing w:after="0" w:line="20" w:lineRule="exact"/>
              <w:rPr>
                <w:sz w:val="1"/>
                <w:szCs w:val="1"/>
                <w:color w:val="auto"/>
              </w:rPr>
            </w:pPr>
          </w:p>
        </w:tc>
        <w:tc>
          <w:tcPr>
            <w:tcW w:w="480" w:type="dxa"/>
            <w:vAlign w:val="bottom"/>
            <w:tcBorders>
              <w:right w:val="single" w:sz="8" w:color="auto"/>
            </w:tcBorders>
            <w:gridSpan w:val="4"/>
          </w:tcPr>
          <w:p>
            <w:pPr>
              <w:spacing w:after="0" w:line="20" w:lineRule="exact"/>
              <w:rPr>
                <w:sz w:val="1"/>
                <w:szCs w:val="1"/>
                <w:color w:val="auto"/>
              </w:rPr>
            </w:pPr>
          </w:p>
        </w:tc>
        <w:tc>
          <w:tcPr>
            <w:tcW w:w="80" w:type="dxa"/>
            <w:vAlign w:val="bottom"/>
            <w:tcBorders>
              <w:top w:val="single" w:sz="8" w:color="CCCCFF"/>
            </w:tcBorders>
            <w:vMerge w:val="restart"/>
            <w:shd w:val="clear" w:color="auto" w:fill="CCCCFF"/>
          </w:tcPr>
          <w:p>
            <w:pPr>
              <w:spacing w:after="0" w:line="20" w:lineRule="exact"/>
              <w:rPr>
                <w:sz w:val="1"/>
                <w:szCs w:val="1"/>
                <w:color w:val="auto"/>
              </w:rPr>
            </w:pPr>
          </w:p>
        </w:tc>
        <w:tc>
          <w:tcPr>
            <w:tcW w:w="40" w:type="dxa"/>
            <w:vAlign w:val="bottom"/>
            <w:tcBorders>
              <w:top w:val="single" w:sz="8" w:color="CCCCFF"/>
            </w:tcBorders>
            <w:vMerge w:val="restart"/>
            <w:shd w:val="clear" w:color="auto" w:fill="CCCCFF"/>
          </w:tcPr>
          <w:p>
            <w:pPr>
              <w:spacing w:after="0" w:line="20" w:lineRule="exact"/>
              <w:rPr>
                <w:sz w:val="1"/>
                <w:szCs w:val="1"/>
                <w:color w:val="auto"/>
              </w:rPr>
            </w:pPr>
          </w:p>
        </w:tc>
        <w:tc>
          <w:tcPr>
            <w:tcW w:w="40" w:type="dxa"/>
            <w:vAlign w:val="bottom"/>
            <w:tcBorders>
              <w:top w:val="single" w:sz="8" w:color="CCCCFF"/>
            </w:tcBorders>
            <w:vMerge w:val="restart"/>
            <w:shd w:val="clear" w:color="auto" w:fill="CCCCFF"/>
          </w:tcPr>
          <w:p>
            <w:pPr>
              <w:spacing w:after="0" w:line="20" w:lineRule="exact"/>
              <w:rPr>
                <w:sz w:val="1"/>
                <w:szCs w:val="1"/>
                <w:color w:val="auto"/>
              </w:rPr>
            </w:pPr>
          </w:p>
        </w:tc>
        <w:tc>
          <w:tcPr>
            <w:tcW w:w="20" w:type="dxa"/>
            <w:vAlign w:val="bottom"/>
            <w:tcBorders>
              <w:top w:val="single" w:sz="8" w:color="CCCCFF"/>
            </w:tcBorders>
            <w:vMerge w:val="restart"/>
            <w:shd w:val="clear" w:color="auto" w:fill="CCCCFF"/>
          </w:tcPr>
          <w:p>
            <w:pPr>
              <w:spacing w:after="0" w:line="20" w:lineRule="exact"/>
              <w:rPr>
                <w:sz w:val="1"/>
                <w:szCs w:val="1"/>
                <w:color w:val="auto"/>
              </w:rPr>
            </w:pPr>
          </w:p>
        </w:tc>
        <w:tc>
          <w:tcPr>
            <w:tcW w:w="100" w:type="dxa"/>
            <w:vAlign w:val="bottom"/>
            <w:tcBorders>
              <w:top w:val="single" w:sz="8" w:color="CCCCFF"/>
              <w:right w:val="single" w:sz="8" w:color="CCCCFF"/>
            </w:tcBorders>
            <w:vMerge w:val="restart"/>
            <w:shd w:val="clear" w:color="auto" w:fill="CCCCFF"/>
          </w:tcPr>
          <w:p>
            <w:pPr>
              <w:spacing w:after="0" w:line="20" w:lineRule="exact"/>
              <w:rPr>
                <w:sz w:val="1"/>
                <w:szCs w:val="1"/>
                <w:color w:val="auto"/>
              </w:rPr>
            </w:pPr>
          </w:p>
        </w:tc>
        <w:tc>
          <w:tcPr>
            <w:tcW w:w="5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0000FF"/>
              <w:right w:val="single" w:sz="8" w:color="CCCCFF"/>
            </w:tcBorders>
            <w:shd w:val="clear" w:color="auto" w:fill="0000FF"/>
          </w:tcPr>
          <w:p>
            <w:pPr>
              <w:spacing w:after="0" w:line="20" w:lineRule="exact"/>
              <w:rPr>
                <w:sz w:val="1"/>
                <w:szCs w:val="1"/>
                <w:color w:val="auto"/>
              </w:rPr>
            </w:pPr>
          </w:p>
        </w:tc>
        <w:tc>
          <w:tcPr>
            <w:tcW w:w="120" w:type="dxa"/>
            <w:vAlign w:val="bottom"/>
            <w:tcBorders>
              <w:top w:val="single" w:sz="8" w:color="CCCCFF"/>
              <w:right w:val="single" w:sz="8" w:color="auto"/>
            </w:tcBorders>
            <w:vMerge w:val="restart"/>
            <w:shd w:val="clear" w:color="auto" w:fill="CCCCFF"/>
          </w:tcPr>
          <w:p>
            <w:pPr>
              <w:spacing w:after="0" w:line="20" w:lineRule="exact"/>
              <w:rPr>
                <w:sz w:val="1"/>
                <w:szCs w:val="1"/>
                <w:color w:val="auto"/>
              </w:rPr>
            </w:pPr>
          </w:p>
        </w:tc>
        <w:tc>
          <w:tcPr>
            <w:tcW w:w="220" w:type="dxa"/>
            <w:vAlign w:val="bottom"/>
            <w:tcBorders>
              <w:top w:val="single" w:sz="8" w:color="CCCCFF"/>
            </w:tcBorders>
            <w:gridSpan w:val="4"/>
            <w:shd w:val="clear" w:color="auto" w:fill="CCCCFF"/>
          </w:tcPr>
          <w:p>
            <w:pPr>
              <w:spacing w:after="0" w:line="20" w:lineRule="exact"/>
              <w:rPr>
                <w:sz w:val="1"/>
                <w:szCs w:val="1"/>
                <w:color w:val="auto"/>
              </w:rPr>
            </w:pPr>
          </w:p>
        </w:tc>
        <w:tc>
          <w:tcPr>
            <w:tcW w:w="740" w:type="dxa"/>
            <w:vAlign w:val="bottom"/>
            <w:tcBorders>
              <w:top w:val="single" w:sz="8" w:color="0000FF"/>
            </w:tcBorders>
            <w:gridSpan w:val="3"/>
            <w:shd w:val="clear" w:color="auto" w:fill="0000FF"/>
          </w:tcPr>
          <w:p>
            <w:pPr>
              <w:spacing w:after="0" w:line="20" w:lineRule="exact"/>
              <w:rPr>
                <w:sz w:val="1"/>
                <w:szCs w:val="1"/>
                <w:color w:val="auto"/>
              </w:rPr>
            </w:pPr>
          </w:p>
        </w:tc>
        <w:tc>
          <w:tcPr>
            <w:tcW w:w="240" w:type="dxa"/>
            <w:vAlign w:val="bottom"/>
            <w:tcBorders>
              <w:top w:val="single" w:sz="8" w:color="CCCCFF"/>
              <w:right w:val="single" w:sz="8" w:color="auto"/>
            </w:tcBorders>
            <w:gridSpan w:val="4"/>
            <w:shd w:val="clear" w:color="auto" w:fill="CCCCFF"/>
          </w:tcPr>
          <w:p>
            <w:pPr>
              <w:spacing w:after="0" w:line="20" w:lineRule="exact"/>
              <w:rPr>
                <w:sz w:val="1"/>
                <w:szCs w:val="1"/>
                <w:color w:val="auto"/>
              </w:rPr>
            </w:pPr>
          </w:p>
        </w:tc>
        <w:tc>
          <w:tcPr>
            <w:tcW w:w="100" w:type="dxa"/>
            <w:vAlign w:val="bottom"/>
            <w:tcBorders>
              <w:top w:val="single" w:sz="8" w:color="CCCCFF"/>
            </w:tcBorders>
            <w:vMerge w:val="restart"/>
            <w:shd w:val="clear" w:color="auto" w:fill="CCCCFF"/>
          </w:tcPr>
          <w:p>
            <w:pPr>
              <w:spacing w:after="0" w:line="20" w:lineRule="exact"/>
              <w:rPr>
                <w:sz w:val="1"/>
                <w:szCs w:val="1"/>
                <w:color w:val="auto"/>
              </w:rPr>
            </w:pPr>
          </w:p>
        </w:tc>
        <w:tc>
          <w:tcPr>
            <w:tcW w:w="80" w:type="dxa"/>
            <w:vAlign w:val="bottom"/>
            <w:tcBorders>
              <w:top w:val="single" w:sz="8" w:color="CCCCFF"/>
            </w:tcBorders>
            <w:vMerge w:val="restart"/>
            <w:shd w:val="clear" w:color="auto" w:fill="CCCCFF"/>
          </w:tcPr>
          <w:p>
            <w:pPr>
              <w:spacing w:after="0" w:line="20" w:lineRule="exact"/>
              <w:rPr>
                <w:sz w:val="1"/>
                <w:szCs w:val="1"/>
                <w:color w:val="auto"/>
              </w:rPr>
            </w:pPr>
          </w:p>
        </w:tc>
        <w:tc>
          <w:tcPr>
            <w:tcW w:w="20" w:type="dxa"/>
            <w:vAlign w:val="bottom"/>
            <w:tcBorders>
              <w:top w:val="single" w:sz="8" w:color="CCCCFF"/>
            </w:tcBorders>
            <w:vMerge w:val="restart"/>
            <w:shd w:val="clear" w:color="auto" w:fill="CCCCFF"/>
          </w:tcPr>
          <w:p>
            <w:pPr>
              <w:spacing w:after="0" w:line="20" w:lineRule="exact"/>
              <w:rPr>
                <w:sz w:val="1"/>
                <w:szCs w:val="1"/>
                <w:color w:val="auto"/>
              </w:rPr>
            </w:pPr>
          </w:p>
        </w:tc>
        <w:tc>
          <w:tcPr>
            <w:tcW w:w="20" w:type="dxa"/>
            <w:vAlign w:val="bottom"/>
            <w:tcBorders>
              <w:top w:val="single" w:sz="8" w:color="CCCCFF"/>
            </w:tcBorders>
            <w:vMerge w:val="restart"/>
            <w:shd w:val="clear" w:color="auto" w:fill="CCCCFF"/>
          </w:tcPr>
          <w:p>
            <w:pPr>
              <w:spacing w:after="0" w:line="20" w:lineRule="exact"/>
              <w:rPr>
                <w:sz w:val="1"/>
                <w:szCs w:val="1"/>
                <w:color w:val="auto"/>
              </w:rPr>
            </w:pPr>
          </w:p>
        </w:tc>
        <w:tc>
          <w:tcPr>
            <w:tcW w:w="60" w:type="dxa"/>
            <w:vAlign w:val="bottom"/>
            <w:tcBorders>
              <w:top w:val="single" w:sz="8" w:color="CCCCFF"/>
              <w:right w:val="single" w:sz="8" w:color="CCCCFF"/>
            </w:tcBorders>
            <w:vMerge w:val="restart"/>
            <w:shd w:val="clear" w:color="auto" w:fill="CCCCFF"/>
          </w:tcPr>
          <w:p>
            <w:pPr>
              <w:spacing w:after="0" w:line="20" w:lineRule="exact"/>
              <w:rPr>
                <w:sz w:val="1"/>
                <w:szCs w:val="1"/>
                <w:color w:val="auto"/>
              </w:rPr>
            </w:pPr>
          </w:p>
        </w:tc>
        <w:tc>
          <w:tcPr>
            <w:tcW w:w="840" w:type="dxa"/>
            <w:vAlign w:val="bottom"/>
            <w:tcBorders>
              <w:top w:val="single" w:sz="8" w:color="0000FF"/>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tcBorders>
              <w:top w:val="single" w:sz="8" w:color="CCCCFF"/>
              <w:right w:val="single" w:sz="8" w:color="auto"/>
            </w:tcBorders>
            <w:vMerge w:val="restart"/>
            <w:shd w:val="clear" w:color="auto" w:fill="CCCCFF"/>
          </w:tcPr>
          <w:p>
            <w:pPr>
              <w:spacing w:after="0" w:line="20" w:lineRule="exact"/>
              <w:rPr>
                <w:sz w:val="1"/>
                <w:szCs w:val="1"/>
                <w:color w:val="auto"/>
              </w:rPr>
            </w:pPr>
          </w:p>
        </w:tc>
        <w:tc>
          <w:tcPr>
            <w:tcW w:w="80" w:type="dxa"/>
            <w:vAlign w:val="bottom"/>
            <w:tcBorders>
              <w:top w:val="single" w:sz="8" w:color="CCCCFF"/>
            </w:tcBorders>
            <w:vMerge w:val="restart"/>
            <w:shd w:val="clear" w:color="auto" w:fill="CCCCFF"/>
          </w:tcPr>
          <w:p>
            <w:pPr>
              <w:spacing w:after="0" w:line="20" w:lineRule="exact"/>
              <w:rPr>
                <w:sz w:val="1"/>
                <w:szCs w:val="1"/>
                <w:color w:val="auto"/>
              </w:rPr>
            </w:pPr>
          </w:p>
        </w:tc>
        <w:tc>
          <w:tcPr>
            <w:tcW w:w="60" w:type="dxa"/>
            <w:vAlign w:val="bottom"/>
            <w:tcBorders>
              <w:top w:val="single" w:sz="8" w:color="CCCCFF"/>
            </w:tcBorders>
            <w:vMerge w:val="restart"/>
            <w:shd w:val="clear" w:color="auto" w:fill="CCCCFF"/>
          </w:tcPr>
          <w:p>
            <w:pPr>
              <w:spacing w:after="0" w:line="20" w:lineRule="exact"/>
              <w:rPr>
                <w:sz w:val="1"/>
                <w:szCs w:val="1"/>
                <w:color w:val="auto"/>
              </w:rPr>
            </w:pPr>
          </w:p>
        </w:tc>
        <w:tc>
          <w:tcPr>
            <w:tcW w:w="20" w:type="dxa"/>
            <w:vAlign w:val="bottom"/>
            <w:tcBorders>
              <w:top w:val="single" w:sz="8" w:color="CCCCFF"/>
            </w:tcBorders>
            <w:vMerge w:val="restart"/>
            <w:shd w:val="clear" w:color="auto" w:fill="CCCCFF"/>
          </w:tcPr>
          <w:p>
            <w:pPr>
              <w:spacing w:after="0" w:line="20" w:lineRule="exact"/>
              <w:rPr>
                <w:sz w:val="1"/>
                <w:szCs w:val="1"/>
                <w:color w:val="auto"/>
              </w:rPr>
            </w:pPr>
          </w:p>
        </w:tc>
        <w:tc>
          <w:tcPr>
            <w:tcW w:w="40" w:type="dxa"/>
            <w:vAlign w:val="bottom"/>
            <w:tcBorders>
              <w:top w:val="single" w:sz="8" w:color="CCCCFF"/>
            </w:tcBorders>
            <w:vMerge w:val="restart"/>
            <w:shd w:val="clear" w:color="auto" w:fill="CCCCFF"/>
          </w:tcPr>
          <w:p>
            <w:pPr>
              <w:spacing w:after="0" w:line="20" w:lineRule="exact"/>
              <w:rPr>
                <w:sz w:val="1"/>
                <w:szCs w:val="1"/>
                <w:color w:val="auto"/>
              </w:rPr>
            </w:pPr>
          </w:p>
        </w:tc>
        <w:tc>
          <w:tcPr>
            <w:tcW w:w="220" w:type="dxa"/>
            <w:vAlign w:val="bottom"/>
            <w:tcBorders>
              <w:top w:val="single" w:sz="8" w:color="CCCCFF"/>
            </w:tcBorders>
            <w:vMerge w:val="restart"/>
            <w:shd w:val="clear" w:color="auto" w:fill="CCCCFF"/>
          </w:tcPr>
          <w:p>
            <w:pPr>
              <w:spacing w:after="0" w:line="20" w:lineRule="exact"/>
              <w:rPr>
                <w:sz w:val="1"/>
                <w:szCs w:val="1"/>
                <w:color w:val="auto"/>
              </w:rPr>
            </w:pPr>
          </w:p>
        </w:tc>
        <w:tc>
          <w:tcPr>
            <w:tcW w:w="400" w:type="dxa"/>
            <w:vAlign w:val="bottom"/>
            <w:tcBorders>
              <w:top w:val="single" w:sz="8" w:color="CCCCFF"/>
            </w:tcBorders>
            <w:vMerge w:val="restart"/>
            <w:shd w:val="clear" w:color="auto" w:fill="CCCC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Total</w:t>
            </w:r>
          </w:p>
        </w:tc>
        <w:tc>
          <w:tcPr>
            <w:tcW w:w="500" w:type="dxa"/>
            <w:vAlign w:val="bottom"/>
            <w:tcBorders>
              <w:top w:val="single" w:sz="8" w:color="CCCCFF"/>
              <w:right w:val="single" w:sz="8" w:color="auto"/>
            </w:tcBorders>
            <w:gridSpan w:val="6"/>
            <w:vMerge w:val="restart"/>
            <w:shd w:val="clear" w:color="auto" w:fill="CCCCFF"/>
          </w:tcPr>
          <w:p>
            <w:pPr>
              <w:spacing w:after="0" w:line="20" w:lineRule="exact"/>
              <w:rPr>
                <w:sz w:val="1"/>
                <w:szCs w:val="1"/>
                <w:color w:val="auto"/>
              </w:rPr>
            </w:pPr>
          </w:p>
        </w:tc>
        <w:tc>
          <w:tcPr>
            <w:tcW w:w="400" w:type="dxa"/>
            <w:vAlign w:val="bottom"/>
            <w:tcBorders>
              <w:top w:val="single" w:sz="8" w:color="CCCCFF"/>
            </w:tcBorders>
            <w:gridSpan w:val="5"/>
            <w:shd w:val="clear" w:color="auto" w:fill="CCCCFF"/>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420" w:type="dxa"/>
            <w:vAlign w:val="bottom"/>
            <w:tcBorders>
              <w:top w:val="single" w:sz="8" w:color="CCCCFF"/>
              <w:right w:val="single" w:sz="8" w:color="auto"/>
            </w:tcBorders>
            <w:gridSpan w:val="6"/>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of Lender</w:t>
            </w:r>
          </w:p>
        </w:tc>
        <w:tc>
          <w:tcPr>
            <w:tcW w:w="340" w:type="dxa"/>
            <w:vAlign w:val="bottom"/>
            <w:tcBorders>
              <w:bottom w:val="single" w:sz="8" w:color="FFCCCC"/>
            </w:tcBorders>
            <w:shd w:val="clear" w:color="auto" w:fill="FFCCCC"/>
          </w:tcPr>
          <w:p>
            <w:pPr>
              <w:spacing w:after="0"/>
              <w:rPr>
                <w:sz w:val="17"/>
                <w:szCs w:val="17"/>
                <w:color w:val="auto"/>
              </w:rPr>
            </w:pPr>
          </w:p>
        </w:tc>
        <w:tc>
          <w:tcPr>
            <w:tcW w:w="840" w:type="dxa"/>
            <w:vAlign w:val="bottom"/>
            <w:tcBorders>
              <w:bottom w:val="single" w:sz="8" w:color="FFCCCC"/>
            </w:tcBorders>
            <w:vMerge w:val="continue"/>
            <w:shd w:val="clear" w:color="auto" w:fill="FFCCCC"/>
          </w:tcPr>
          <w:p>
            <w:pPr>
              <w:spacing w:after="0"/>
              <w:rPr>
                <w:sz w:val="17"/>
                <w:szCs w:val="17"/>
                <w:color w:val="auto"/>
              </w:rPr>
            </w:pPr>
          </w:p>
        </w:tc>
        <w:tc>
          <w:tcPr>
            <w:tcW w:w="260" w:type="dxa"/>
            <w:vAlign w:val="bottom"/>
            <w:tcBorders>
              <w:bottom w:val="single" w:sz="8" w:color="FFCCCC"/>
              <w:right w:val="single" w:sz="8" w:color="FFCCCC"/>
            </w:tcBorders>
            <w:shd w:val="clear" w:color="auto" w:fill="FFCCCC"/>
          </w:tcPr>
          <w:p>
            <w:pPr>
              <w:spacing w:after="0"/>
              <w:rPr>
                <w:sz w:val="17"/>
                <w:szCs w:val="17"/>
                <w:color w:val="auto"/>
              </w:rPr>
            </w:pPr>
          </w:p>
        </w:tc>
        <w:tc>
          <w:tcPr>
            <w:tcW w:w="100" w:type="dxa"/>
            <w:vAlign w:val="bottom"/>
            <w:tcBorders>
              <w:bottom w:val="single" w:sz="8" w:color="FFCCCC"/>
              <w:right w:val="single" w:sz="8" w:color="auto"/>
            </w:tcBorders>
            <w:shd w:val="clear" w:color="auto" w:fill="FFCCCC"/>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FF"/>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Borders>
              <w:bottom w:val="single" w:sz="8" w:color="CCCCFF"/>
            </w:tcBorders>
            <w:vMerge w:val="continue"/>
            <w:shd w:val="clear" w:color="auto" w:fill="CCCCFF"/>
          </w:tcPr>
          <w:p>
            <w:pPr>
              <w:spacing w:after="0"/>
              <w:rPr>
                <w:sz w:val="17"/>
                <w:szCs w:val="17"/>
                <w:color w:val="auto"/>
              </w:rPr>
            </w:pPr>
          </w:p>
        </w:tc>
        <w:tc>
          <w:tcPr>
            <w:tcW w:w="40" w:type="dxa"/>
            <w:vAlign w:val="bottom"/>
            <w:tcBorders>
              <w:bottom w:val="single" w:sz="8" w:color="0000FF"/>
            </w:tcBorders>
            <w:vMerge w:val="continue"/>
            <w:shd w:val="clear" w:color="auto" w:fill="CCCCFF"/>
          </w:tcPr>
          <w:p>
            <w:pPr>
              <w:spacing w:after="0"/>
              <w:rPr>
                <w:sz w:val="17"/>
                <w:szCs w:val="17"/>
                <w:color w:val="auto"/>
              </w:rPr>
            </w:pPr>
          </w:p>
        </w:tc>
        <w:tc>
          <w:tcPr>
            <w:tcW w:w="40" w:type="dxa"/>
            <w:vAlign w:val="bottom"/>
            <w:tcBorders>
              <w:bottom w:val="single" w:sz="8" w:color="0000FF"/>
            </w:tcBorders>
            <w:vMerge w:val="continue"/>
            <w:shd w:val="clear" w:color="auto" w:fill="CCCCFF"/>
          </w:tcPr>
          <w:p>
            <w:pPr>
              <w:spacing w:after="0"/>
              <w:rPr>
                <w:sz w:val="17"/>
                <w:szCs w:val="17"/>
                <w:color w:val="auto"/>
              </w:rPr>
            </w:pPr>
          </w:p>
        </w:tc>
        <w:tc>
          <w:tcPr>
            <w:tcW w:w="20" w:type="dxa"/>
            <w:vAlign w:val="bottom"/>
            <w:tcBorders>
              <w:bottom w:val="single" w:sz="8" w:color="0000FF"/>
            </w:tcBorders>
            <w:vMerge w:val="continue"/>
            <w:shd w:val="clear" w:color="auto" w:fill="CCCCFF"/>
          </w:tcPr>
          <w:p>
            <w:pPr>
              <w:spacing w:after="0"/>
              <w:rPr>
                <w:sz w:val="17"/>
                <w:szCs w:val="17"/>
                <w:color w:val="auto"/>
              </w:rPr>
            </w:pPr>
          </w:p>
        </w:tc>
        <w:tc>
          <w:tcPr>
            <w:tcW w:w="100" w:type="dxa"/>
            <w:vAlign w:val="bottom"/>
            <w:tcBorders>
              <w:bottom w:val="single" w:sz="8" w:color="0000FF"/>
              <w:right w:val="single" w:sz="8" w:color="CCCCFF"/>
            </w:tcBorders>
            <w:vMerge w:val="continue"/>
            <w:shd w:val="clear" w:color="auto" w:fill="CCCCFF"/>
          </w:tcPr>
          <w:p>
            <w:pPr>
              <w:spacing w:after="0"/>
              <w:rPr>
                <w:sz w:val="17"/>
                <w:szCs w:val="17"/>
                <w:color w:val="auto"/>
              </w:rPr>
            </w:pPr>
          </w:p>
        </w:tc>
        <w:tc>
          <w:tcPr>
            <w:tcW w:w="820" w:type="dxa"/>
            <w:vAlign w:val="bottom"/>
            <w:tcBorders>
              <w:bottom w:val="single" w:sz="8" w:color="0000FF"/>
              <w:right w:val="single" w:sz="8" w:color="CCCCFF"/>
            </w:tcBorders>
            <w:gridSpan w:val="2"/>
            <w:shd w:val="clear" w:color="auto" w:fill="CCCCFF"/>
          </w:tcPr>
          <w:p>
            <w:pPr>
              <w:jc w:val="center"/>
              <w:ind w:right="200"/>
              <w:spacing w:after="0" w:line="156" w:lineRule="exact"/>
              <w:rPr>
                <w:sz w:val="20"/>
                <w:szCs w:val="20"/>
                <w:color w:val="auto"/>
              </w:rPr>
            </w:pPr>
            <w:r>
              <w:rPr>
                <w:rFonts w:ascii="Times New Roman" w:cs="Times New Roman" w:eastAsia="Times New Roman" w:hAnsi="Times New Roman"/>
                <w:sz w:val="15"/>
                <w:szCs w:val="15"/>
                <w:b w:val="1"/>
                <w:bCs w:val="1"/>
                <w:color w:val="0000FF"/>
                <w:w w:val="72"/>
              </w:rPr>
              <w:t>Commitment</w:t>
            </w:r>
          </w:p>
        </w:tc>
        <w:tc>
          <w:tcPr>
            <w:tcW w:w="120" w:type="dxa"/>
            <w:vAlign w:val="bottom"/>
            <w:tcBorders>
              <w:bottom w:val="single" w:sz="8" w:color="CCCCFF"/>
              <w:right w:val="single" w:sz="8" w:color="auto"/>
            </w:tcBorders>
            <w:vMerge w:val="continue"/>
            <w:shd w:val="clear" w:color="auto" w:fill="CCCCFF"/>
          </w:tcPr>
          <w:p>
            <w:pPr>
              <w:spacing w:after="0"/>
              <w:rPr>
                <w:sz w:val="17"/>
                <w:szCs w:val="17"/>
                <w:color w:val="auto"/>
              </w:rPr>
            </w:pPr>
          </w:p>
        </w:tc>
        <w:tc>
          <w:tcPr>
            <w:tcW w:w="80" w:type="dxa"/>
            <w:vAlign w:val="bottom"/>
            <w:tcBorders>
              <w:bottom w:val="single" w:sz="8" w:color="CCCCFF"/>
            </w:tcBorders>
            <w:shd w:val="clear" w:color="auto" w:fill="CCCCFF"/>
          </w:tcPr>
          <w:p>
            <w:pPr>
              <w:spacing w:after="0"/>
              <w:rPr>
                <w:sz w:val="17"/>
                <w:szCs w:val="17"/>
                <w:color w:val="auto"/>
              </w:rPr>
            </w:pPr>
          </w:p>
        </w:tc>
        <w:tc>
          <w:tcPr>
            <w:tcW w:w="20" w:type="dxa"/>
            <w:vAlign w:val="bottom"/>
            <w:tcBorders>
              <w:bottom w:val="single" w:sz="8" w:color="CCCCFF"/>
            </w:tcBorders>
            <w:shd w:val="clear" w:color="auto" w:fill="CCCCFF"/>
          </w:tcPr>
          <w:p>
            <w:pPr>
              <w:spacing w:after="0"/>
              <w:rPr>
                <w:sz w:val="17"/>
                <w:szCs w:val="17"/>
                <w:color w:val="auto"/>
              </w:rPr>
            </w:pPr>
          </w:p>
        </w:tc>
        <w:tc>
          <w:tcPr>
            <w:tcW w:w="40" w:type="dxa"/>
            <w:vAlign w:val="bottom"/>
            <w:tcBorders>
              <w:bottom w:val="single" w:sz="8" w:color="CCCCFF"/>
            </w:tcBorders>
            <w:shd w:val="clear" w:color="auto" w:fill="CCCCFF"/>
          </w:tcPr>
          <w:p>
            <w:pPr>
              <w:spacing w:after="0"/>
              <w:rPr>
                <w:sz w:val="17"/>
                <w:szCs w:val="17"/>
                <w:color w:val="auto"/>
              </w:rPr>
            </w:pPr>
          </w:p>
        </w:tc>
        <w:tc>
          <w:tcPr>
            <w:tcW w:w="80" w:type="dxa"/>
            <w:vAlign w:val="bottom"/>
            <w:tcBorders>
              <w:bottom w:val="single" w:sz="8" w:color="CCCCFF"/>
            </w:tcBorders>
            <w:shd w:val="clear" w:color="auto" w:fill="CCCCFF"/>
          </w:tcPr>
          <w:p>
            <w:pPr>
              <w:spacing w:after="0"/>
              <w:rPr>
                <w:sz w:val="17"/>
                <w:szCs w:val="17"/>
                <w:color w:val="auto"/>
              </w:rPr>
            </w:pPr>
          </w:p>
        </w:tc>
        <w:tc>
          <w:tcPr>
            <w:tcW w:w="280" w:type="dxa"/>
            <w:vAlign w:val="bottom"/>
            <w:tcBorders>
              <w:bottom w:val="single" w:sz="8" w:color="CCCCFF"/>
            </w:tcBorders>
            <w:shd w:val="clear" w:color="auto" w:fill="CCCCFF"/>
          </w:tcPr>
          <w:p>
            <w:pPr>
              <w:spacing w:after="0"/>
              <w:rPr>
                <w:sz w:val="17"/>
                <w:szCs w:val="17"/>
                <w:color w:val="auto"/>
              </w:rPr>
            </w:pPr>
          </w:p>
        </w:tc>
        <w:tc>
          <w:tcPr>
            <w:tcW w:w="180" w:type="dxa"/>
            <w:vAlign w:val="bottom"/>
            <w:tcBorders>
              <w:bottom w:val="single" w:sz="8" w:color="CCCCFF"/>
            </w:tcBorders>
            <w:shd w:val="clear" w:color="auto" w:fill="CCCCFF"/>
          </w:tcPr>
          <w:p>
            <w:pPr>
              <w:spacing w:after="0"/>
              <w:rPr>
                <w:sz w:val="17"/>
                <w:szCs w:val="17"/>
                <w:color w:val="auto"/>
              </w:rPr>
            </w:pPr>
          </w:p>
        </w:tc>
        <w:tc>
          <w:tcPr>
            <w:tcW w:w="280" w:type="dxa"/>
            <w:vAlign w:val="bottom"/>
            <w:tcBorders>
              <w:bottom w:val="single" w:sz="8" w:color="CCCCFF"/>
            </w:tcBorders>
            <w:shd w:val="clear" w:color="auto" w:fill="CCCCFF"/>
          </w:tcPr>
          <w:p>
            <w:pPr>
              <w:spacing w:after="0"/>
              <w:rPr>
                <w:sz w:val="17"/>
                <w:szCs w:val="17"/>
                <w:color w:val="auto"/>
              </w:rPr>
            </w:pPr>
          </w:p>
        </w:tc>
        <w:tc>
          <w:tcPr>
            <w:tcW w:w="80" w:type="dxa"/>
            <w:vAlign w:val="bottom"/>
            <w:tcBorders>
              <w:bottom w:val="single" w:sz="8" w:color="CCCCFF"/>
            </w:tcBorders>
            <w:shd w:val="clear" w:color="auto" w:fill="CCCCFF"/>
          </w:tcPr>
          <w:p>
            <w:pPr>
              <w:spacing w:after="0"/>
              <w:rPr>
                <w:sz w:val="17"/>
                <w:szCs w:val="17"/>
                <w:color w:val="auto"/>
              </w:rPr>
            </w:pPr>
          </w:p>
        </w:tc>
        <w:tc>
          <w:tcPr>
            <w:tcW w:w="40" w:type="dxa"/>
            <w:vAlign w:val="bottom"/>
            <w:tcBorders>
              <w:bottom w:val="single" w:sz="8" w:color="CCCCFF"/>
            </w:tcBorders>
            <w:shd w:val="clear" w:color="auto" w:fill="CCCCFF"/>
          </w:tcPr>
          <w:p>
            <w:pPr>
              <w:spacing w:after="0"/>
              <w:rPr>
                <w:sz w:val="17"/>
                <w:szCs w:val="17"/>
                <w:color w:val="auto"/>
              </w:rPr>
            </w:pPr>
          </w:p>
        </w:tc>
        <w:tc>
          <w:tcPr>
            <w:tcW w:w="20" w:type="dxa"/>
            <w:vAlign w:val="bottom"/>
            <w:tcBorders>
              <w:bottom w:val="single" w:sz="8" w:color="CCCCFF"/>
            </w:tcBorders>
            <w:shd w:val="clear" w:color="auto" w:fill="CCCCFF"/>
          </w:tcPr>
          <w:p>
            <w:pPr>
              <w:spacing w:after="0"/>
              <w:rPr>
                <w:sz w:val="17"/>
                <w:szCs w:val="17"/>
                <w:color w:val="auto"/>
              </w:rPr>
            </w:pPr>
          </w:p>
        </w:tc>
        <w:tc>
          <w:tcPr>
            <w:tcW w:w="100" w:type="dxa"/>
            <w:vAlign w:val="bottom"/>
            <w:tcBorders>
              <w:bottom w:val="single" w:sz="8" w:color="CCCCFF"/>
              <w:right w:val="single" w:sz="8" w:color="auto"/>
            </w:tcBorders>
            <w:shd w:val="clear" w:color="auto" w:fill="CCCCFF"/>
          </w:tcPr>
          <w:p>
            <w:pPr>
              <w:spacing w:after="0"/>
              <w:rPr>
                <w:sz w:val="17"/>
                <w:szCs w:val="17"/>
                <w:color w:val="auto"/>
              </w:rPr>
            </w:pPr>
          </w:p>
        </w:tc>
        <w:tc>
          <w:tcPr>
            <w:tcW w:w="100" w:type="dxa"/>
            <w:vAlign w:val="bottom"/>
            <w:tcBorders>
              <w:bottom w:val="single" w:sz="8" w:color="CCCCFF"/>
            </w:tcBorders>
            <w:vMerge w:val="continue"/>
            <w:shd w:val="clear" w:color="auto" w:fill="CCCCFF"/>
          </w:tcPr>
          <w:p>
            <w:pPr>
              <w:spacing w:after="0"/>
              <w:rPr>
                <w:sz w:val="17"/>
                <w:szCs w:val="17"/>
                <w:color w:val="auto"/>
              </w:rPr>
            </w:pPr>
          </w:p>
        </w:tc>
        <w:tc>
          <w:tcPr>
            <w:tcW w:w="80" w:type="dxa"/>
            <w:vAlign w:val="bottom"/>
            <w:tcBorders>
              <w:bottom w:val="single" w:sz="8" w:color="0000FF"/>
            </w:tcBorders>
            <w:vMerge w:val="continue"/>
            <w:shd w:val="clear" w:color="auto" w:fill="CCCCFF"/>
          </w:tcPr>
          <w:p>
            <w:pPr>
              <w:spacing w:after="0"/>
              <w:rPr>
                <w:sz w:val="17"/>
                <w:szCs w:val="17"/>
                <w:color w:val="auto"/>
              </w:rPr>
            </w:pPr>
          </w:p>
        </w:tc>
        <w:tc>
          <w:tcPr>
            <w:tcW w:w="20" w:type="dxa"/>
            <w:vAlign w:val="bottom"/>
            <w:tcBorders>
              <w:bottom w:val="single" w:sz="8" w:color="0000FF"/>
            </w:tcBorders>
            <w:vMerge w:val="continue"/>
            <w:shd w:val="clear" w:color="auto" w:fill="CCCCFF"/>
          </w:tcPr>
          <w:p>
            <w:pPr>
              <w:spacing w:after="0"/>
              <w:rPr>
                <w:sz w:val="17"/>
                <w:szCs w:val="17"/>
                <w:color w:val="auto"/>
              </w:rPr>
            </w:pPr>
          </w:p>
        </w:tc>
        <w:tc>
          <w:tcPr>
            <w:tcW w:w="20" w:type="dxa"/>
            <w:vAlign w:val="bottom"/>
            <w:tcBorders>
              <w:bottom w:val="single" w:sz="8" w:color="0000FF"/>
            </w:tcBorders>
            <w:vMerge w:val="continue"/>
            <w:shd w:val="clear" w:color="auto" w:fill="CCCCFF"/>
          </w:tcPr>
          <w:p>
            <w:pPr>
              <w:spacing w:after="0"/>
              <w:rPr>
                <w:sz w:val="17"/>
                <w:szCs w:val="17"/>
                <w:color w:val="auto"/>
              </w:rPr>
            </w:pPr>
          </w:p>
        </w:tc>
        <w:tc>
          <w:tcPr>
            <w:tcW w:w="60" w:type="dxa"/>
            <w:vAlign w:val="bottom"/>
            <w:tcBorders>
              <w:bottom w:val="single" w:sz="8" w:color="0000FF"/>
              <w:right w:val="single" w:sz="8" w:color="CCCCFF"/>
            </w:tcBorders>
            <w:vMerge w:val="continue"/>
            <w:shd w:val="clear" w:color="auto" w:fill="CCCCFF"/>
          </w:tcPr>
          <w:p>
            <w:pPr>
              <w:spacing w:after="0"/>
              <w:rPr>
                <w:sz w:val="17"/>
                <w:szCs w:val="17"/>
                <w:color w:val="auto"/>
              </w:rPr>
            </w:pPr>
          </w:p>
        </w:tc>
        <w:tc>
          <w:tcPr>
            <w:tcW w:w="840" w:type="dxa"/>
            <w:vAlign w:val="bottom"/>
            <w:tcBorders>
              <w:left w:val="single" w:sz="8" w:color="CCCCFF"/>
              <w:bottom w:val="single" w:sz="8" w:color="0000FF"/>
              <w:right w:val="single" w:sz="8" w:color="CCCCFF"/>
            </w:tcBorders>
            <w:gridSpan w:val="3"/>
            <w:shd w:val="clear" w:color="auto" w:fill="CCCCFF"/>
          </w:tcPr>
          <w:p>
            <w:pPr>
              <w:jc w:val="center"/>
              <w:ind w:right="120"/>
              <w:spacing w:after="0" w:line="156" w:lineRule="exact"/>
              <w:rPr>
                <w:sz w:val="20"/>
                <w:szCs w:val="20"/>
                <w:color w:val="auto"/>
              </w:rPr>
            </w:pPr>
            <w:r>
              <w:rPr>
                <w:rFonts w:ascii="Times New Roman" w:cs="Times New Roman" w:eastAsia="Times New Roman" w:hAnsi="Times New Roman"/>
                <w:sz w:val="18"/>
                <w:szCs w:val="18"/>
                <w:b w:val="1"/>
                <w:bCs w:val="1"/>
                <w:color w:val="0000FF"/>
                <w:w w:val="70"/>
              </w:rPr>
              <w:t>Commitment</w:t>
            </w:r>
          </w:p>
        </w:tc>
        <w:tc>
          <w:tcPr>
            <w:tcW w:w="160" w:type="dxa"/>
            <w:vAlign w:val="bottom"/>
            <w:tcBorders>
              <w:bottom w:val="single" w:sz="8" w:color="CCCCFF"/>
              <w:right w:val="single" w:sz="8" w:color="auto"/>
            </w:tcBorders>
            <w:vMerge w:val="continue"/>
            <w:shd w:val="clear" w:color="auto" w:fill="CCCCFF"/>
          </w:tcPr>
          <w:p>
            <w:pPr>
              <w:spacing w:after="0"/>
              <w:rPr>
                <w:sz w:val="17"/>
                <w:szCs w:val="17"/>
                <w:color w:val="auto"/>
              </w:rPr>
            </w:pPr>
          </w:p>
        </w:tc>
        <w:tc>
          <w:tcPr>
            <w:tcW w:w="80" w:type="dxa"/>
            <w:vAlign w:val="bottom"/>
            <w:tcBorders>
              <w:bottom w:val="single" w:sz="8" w:color="CCCCFF"/>
            </w:tcBorders>
            <w:vMerge w:val="continue"/>
            <w:shd w:val="clear" w:color="auto" w:fill="CCCCFF"/>
          </w:tcPr>
          <w:p>
            <w:pPr>
              <w:spacing w:after="0"/>
              <w:rPr>
                <w:sz w:val="17"/>
                <w:szCs w:val="17"/>
                <w:color w:val="auto"/>
              </w:rPr>
            </w:pPr>
          </w:p>
        </w:tc>
        <w:tc>
          <w:tcPr>
            <w:tcW w:w="60" w:type="dxa"/>
            <w:vAlign w:val="bottom"/>
            <w:tcBorders>
              <w:bottom w:val="single" w:sz="8" w:color="CCCCFF"/>
            </w:tcBorders>
            <w:vMerge w:val="continue"/>
            <w:shd w:val="clear" w:color="auto" w:fill="CCCCFF"/>
          </w:tcPr>
          <w:p>
            <w:pPr>
              <w:spacing w:after="0"/>
              <w:rPr>
                <w:sz w:val="17"/>
                <w:szCs w:val="17"/>
                <w:color w:val="auto"/>
              </w:rPr>
            </w:pPr>
          </w:p>
        </w:tc>
        <w:tc>
          <w:tcPr>
            <w:tcW w:w="20" w:type="dxa"/>
            <w:vAlign w:val="bottom"/>
            <w:tcBorders>
              <w:bottom w:val="single" w:sz="8" w:color="CCCCFF"/>
            </w:tcBorders>
            <w:vMerge w:val="continue"/>
            <w:shd w:val="clear" w:color="auto" w:fill="CCCCFF"/>
          </w:tcPr>
          <w:p>
            <w:pPr>
              <w:spacing w:after="0"/>
              <w:rPr>
                <w:sz w:val="17"/>
                <w:szCs w:val="17"/>
                <w:color w:val="auto"/>
              </w:rPr>
            </w:pPr>
          </w:p>
        </w:tc>
        <w:tc>
          <w:tcPr>
            <w:tcW w:w="40" w:type="dxa"/>
            <w:vAlign w:val="bottom"/>
            <w:tcBorders>
              <w:bottom w:val="single" w:sz="8" w:color="CCCCFF"/>
            </w:tcBorders>
            <w:vMerge w:val="continue"/>
            <w:shd w:val="clear" w:color="auto" w:fill="CCCCFF"/>
          </w:tcPr>
          <w:p>
            <w:pPr>
              <w:spacing w:after="0"/>
              <w:rPr>
                <w:sz w:val="17"/>
                <w:szCs w:val="17"/>
                <w:color w:val="auto"/>
              </w:rPr>
            </w:pPr>
          </w:p>
        </w:tc>
        <w:tc>
          <w:tcPr>
            <w:tcW w:w="220" w:type="dxa"/>
            <w:vAlign w:val="bottom"/>
            <w:tcBorders>
              <w:bottom w:val="single" w:sz="8" w:color="CCCCFF"/>
            </w:tcBorders>
            <w:vMerge w:val="continue"/>
            <w:shd w:val="clear" w:color="auto" w:fill="CCCCFF"/>
          </w:tcPr>
          <w:p>
            <w:pPr>
              <w:spacing w:after="0"/>
              <w:rPr>
                <w:sz w:val="17"/>
                <w:szCs w:val="17"/>
                <w:color w:val="auto"/>
              </w:rPr>
            </w:pPr>
          </w:p>
        </w:tc>
        <w:tc>
          <w:tcPr>
            <w:tcW w:w="400" w:type="dxa"/>
            <w:vAlign w:val="bottom"/>
            <w:tcBorders>
              <w:bottom w:val="single" w:sz="8" w:color="0000FF"/>
            </w:tcBorders>
            <w:vMerge w:val="continue"/>
            <w:shd w:val="clear" w:color="auto" w:fill="CCCCFF"/>
          </w:tcPr>
          <w:p>
            <w:pPr>
              <w:spacing w:after="0"/>
              <w:rPr>
                <w:sz w:val="17"/>
                <w:szCs w:val="17"/>
                <w:color w:val="auto"/>
              </w:rPr>
            </w:pPr>
          </w:p>
        </w:tc>
        <w:tc>
          <w:tcPr>
            <w:tcW w:w="500" w:type="dxa"/>
            <w:vAlign w:val="bottom"/>
            <w:tcBorders>
              <w:bottom w:val="single" w:sz="8" w:color="CCCCFF"/>
              <w:right w:val="single" w:sz="8" w:color="auto"/>
            </w:tcBorders>
            <w:gridSpan w:val="6"/>
            <w:vMerge w:val="continue"/>
            <w:shd w:val="clear" w:color="auto" w:fill="CCCCFF"/>
          </w:tcPr>
          <w:p>
            <w:pPr>
              <w:spacing w:after="0"/>
              <w:rPr>
                <w:sz w:val="17"/>
                <w:szCs w:val="17"/>
                <w:color w:val="auto"/>
              </w:rPr>
            </w:pPr>
          </w:p>
        </w:tc>
        <w:tc>
          <w:tcPr>
            <w:tcW w:w="80" w:type="dxa"/>
            <w:vAlign w:val="bottom"/>
            <w:tcBorders>
              <w:bottom w:val="single" w:sz="8" w:color="CCCCFF"/>
            </w:tcBorders>
            <w:shd w:val="clear" w:color="auto" w:fill="CCCCFF"/>
          </w:tcPr>
          <w:p>
            <w:pPr>
              <w:spacing w:after="0"/>
              <w:rPr>
                <w:sz w:val="17"/>
                <w:szCs w:val="17"/>
                <w:color w:val="auto"/>
              </w:rPr>
            </w:pPr>
          </w:p>
        </w:tc>
        <w:tc>
          <w:tcPr>
            <w:tcW w:w="1040" w:type="dxa"/>
            <w:vAlign w:val="bottom"/>
            <w:tcBorders>
              <w:bottom w:val="single" w:sz="8" w:color="0000FF"/>
            </w:tcBorders>
            <w:gridSpan w:val="10"/>
            <w:shd w:val="clear" w:color="auto" w:fill="CCCCFF"/>
          </w:tcPr>
          <w:p>
            <w:pPr>
              <w:jc w:val="center"/>
              <w:ind w:right="2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Commitment</w:t>
            </w:r>
          </w:p>
        </w:tc>
        <w:tc>
          <w:tcPr>
            <w:tcW w:w="100" w:type="dxa"/>
            <w:vAlign w:val="bottom"/>
            <w:tcBorders>
              <w:bottom w:val="single" w:sz="8" w:color="CCCCFF"/>
              <w:right w:val="single" w:sz="8" w:color="auto"/>
            </w:tcBorders>
            <w:shd w:val="clear" w:color="auto" w:fill="CCCCFF"/>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340" w:type="dxa"/>
            <w:vAlign w:val="bottom"/>
            <w:shd w:val="clear" w:color="auto" w:fill="FFCCCC"/>
          </w:tcPr>
          <w:p>
            <w:pPr>
              <w:spacing w:after="0"/>
              <w:rPr>
                <w:sz w:val="7"/>
                <w:szCs w:val="7"/>
                <w:color w:val="auto"/>
              </w:rPr>
            </w:pPr>
          </w:p>
        </w:tc>
        <w:tc>
          <w:tcPr>
            <w:tcW w:w="840" w:type="dxa"/>
            <w:vAlign w:val="bottom"/>
            <w:shd w:val="clear" w:color="auto" w:fill="FFCCCC"/>
          </w:tcPr>
          <w:p>
            <w:pPr>
              <w:spacing w:after="0"/>
              <w:rPr>
                <w:sz w:val="7"/>
                <w:szCs w:val="7"/>
                <w:color w:val="auto"/>
              </w:rPr>
            </w:pPr>
          </w:p>
        </w:tc>
        <w:tc>
          <w:tcPr>
            <w:tcW w:w="260" w:type="dxa"/>
            <w:vAlign w:val="bottom"/>
            <w:tcBorders>
              <w:right w:val="single" w:sz="8" w:color="FFCCCC"/>
            </w:tcBorders>
            <w:shd w:val="clear" w:color="auto" w:fill="FFCCCC"/>
          </w:tcPr>
          <w:p>
            <w:pPr>
              <w:spacing w:after="0"/>
              <w:rPr>
                <w:sz w:val="7"/>
                <w:szCs w:val="7"/>
                <w:color w:val="auto"/>
              </w:rPr>
            </w:pPr>
          </w:p>
        </w:tc>
        <w:tc>
          <w:tcPr>
            <w:tcW w:w="100" w:type="dxa"/>
            <w:vAlign w:val="bottom"/>
            <w:tcBorders>
              <w:right w:val="single" w:sz="8" w:color="auto"/>
            </w:tcBorders>
            <w:shd w:val="clear" w:color="auto" w:fill="FFCCCC"/>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tcBorders>
              <w:right w:val="single" w:sz="8" w:color="auto"/>
            </w:tcBorders>
            <w:gridSpan w:val="9"/>
            <w:vMerge w:val="restart"/>
          </w:tcPr>
          <w:p>
            <w:pPr>
              <w:jc w:val="center"/>
              <w:ind w:right="3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Commitment</w:t>
            </w:r>
          </w:p>
        </w:tc>
        <w:tc>
          <w:tcPr>
            <w:tcW w:w="80" w:type="dxa"/>
            <w:vAlign w:val="bottom"/>
            <w:shd w:val="clear" w:color="auto" w:fill="CCCCFF"/>
          </w:tcPr>
          <w:p>
            <w:pPr>
              <w:spacing w:after="0"/>
              <w:rPr>
                <w:sz w:val="7"/>
                <w:szCs w:val="7"/>
                <w:color w:val="auto"/>
              </w:rPr>
            </w:pPr>
          </w:p>
        </w:tc>
        <w:tc>
          <w:tcPr>
            <w:tcW w:w="40" w:type="dxa"/>
            <w:vAlign w:val="bottom"/>
            <w:shd w:val="clear" w:color="auto" w:fill="CCCCFF"/>
          </w:tcPr>
          <w:p>
            <w:pPr>
              <w:spacing w:after="0"/>
              <w:rPr>
                <w:sz w:val="7"/>
                <w:szCs w:val="7"/>
                <w:color w:val="auto"/>
              </w:rPr>
            </w:pPr>
          </w:p>
        </w:tc>
        <w:tc>
          <w:tcPr>
            <w:tcW w:w="40" w:type="dxa"/>
            <w:vAlign w:val="bottom"/>
            <w:shd w:val="clear" w:color="auto" w:fill="CCCCFF"/>
          </w:tcPr>
          <w:p>
            <w:pPr>
              <w:spacing w:after="0"/>
              <w:rPr>
                <w:sz w:val="7"/>
                <w:szCs w:val="7"/>
                <w:color w:val="auto"/>
              </w:rPr>
            </w:pPr>
          </w:p>
        </w:tc>
        <w:tc>
          <w:tcPr>
            <w:tcW w:w="20" w:type="dxa"/>
            <w:vAlign w:val="bottom"/>
            <w:shd w:val="clear" w:color="auto" w:fill="CCCCFF"/>
          </w:tcPr>
          <w:p>
            <w:pPr>
              <w:spacing w:after="0"/>
              <w:rPr>
                <w:sz w:val="7"/>
                <w:szCs w:val="7"/>
                <w:color w:val="auto"/>
              </w:rPr>
            </w:pPr>
          </w:p>
        </w:tc>
        <w:tc>
          <w:tcPr>
            <w:tcW w:w="1040" w:type="dxa"/>
            <w:vAlign w:val="bottom"/>
            <w:tcBorders>
              <w:right w:val="single" w:sz="8" w:color="auto"/>
            </w:tcBorders>
            <w:gridSpan w:val="4"/>
            <w:vMerge w:val="restart"/>
            <w:shd w:val="clear" w:color="auto" w:fill="CCCCFF"/>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0000FF"/>
                <w:w w:val="98"/>
              </w:rPr>
              <w:t>Applicable</w:t>
            </w:r>
          </w:p>
        </w:tc>
        <w:tc>
          <w:tcPr>
            <w:tcW w:w="80" w:type="dxa"/>
            <w:vAlign w:val="bottom"/>
            <w:shd w:val="clear" w:color="auto" w:fill="CCCCFF"/>
          </w:tcPr>
          <w:p>
            <w:pPr>
              <w:spacing w:after="0"/>
              <w:rPr>
                <w:sz w:val="7"/>
                <w:szCs w:val="7"/>
                <w:color w:val="auto"/>
              </w:rPr>
            </w:pPr>
          </w:p>
        </w:tc>
        <w:tc>
          <w:tcPr>
            <w:tcW w:w="1120" w:type="dxa"/>
            <w:vAlign w:val="bottom"/>
            <w:tcBorders>
              <w:right w:val="single" w:sz="8" w:color="auto"/>
            </w:tcBorders>
            <w:gridSpan w:val="10"/>
            <w:vMerge w:val="restart"/>
            <w:shd w:val="clear" w:color="auto" w:fill="CCCCFF"/>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Commitment</w:t>
            </w:r>
          </w:p>
        </w:tc>
        <w:tc>
          <w:tcPr>
            <w:tcW w:w="100" w:type="dxa"/>
            <w:vAlign w:val="bottom"/>
            <w:shd w:val="clear" w:color="auto" w:fill="CCCCFF"/>
          </w:tcPr>
          <w:p>
            <w:pPr>
              <w:spacing w:after="0"/>
              <w:rPr>
                <w:sz w:val="7"/>
                <w:szCs w:val="7"/>
                <w:color w:val="auto"/>
              </w:rPr>
            </w:pPr>
          </w:p>
        </w:tc>
        <w:tc>
          <w:tcPr>
            <w:tcW w:w="80" w:type="dxa"/>
            <w:vAlign w:val="bottom"/>
            <w:shd w:val="clear" w:color="auto" w:fill="CCCCFF"/>
          </w:tcPr>
          <w:p>
            <w:pPr>
              <w:spacing w:after="0"/>
              <w:rPr>
                <w:sz w:val="7"/>
                <w:szCs w:val="7"/>
                <w:color w:val="auto"/>
              </w:rPr>
            </w:pPr>
          </w:p>
        </w:tc>
        <w:tc>
          <w:tcPr>
            <w:tcW w:w="20" w:type="dxa"/>
            <w:vAlign w:val="bottom"/>
            <w:shd w:val="clear" w:color="auto" w:fill="CCCCFF"/>
          </w:tcPr>
          <w:p>
            <w:pPr>
              <w:spacing w:after="0"/>
              <w:rPr>
                <w:sz w:val="7"/>
                <w:szCs w:val="7"/>
                <w:color w:val="auto"/>
              </w:rPr>
            </w:pPr>
          </w:p>
        </w:tc>
        <w:tc>
          <w:tcPr>
            <w:tcW w:w="20" w:type="dxa"/>
            <w:vAlign w:val="bottom"/>
            <w:shd w:val="clear" w:color="auto" w:fill="CCCCFF"/>
          </w:tcPr>
          <w:p>
            <w:pPr>
              <w:spacing w:after="0"/>
              <w:rPr>
                <w:sz w:val="7"/>
                <w:szCs w:val="7"/>
                <w:color w:val="auto"/>
              </w:rPr>
            </w:pPr>
          </w:p>
        </w:tc>
        <w:tc>
          <w:tcPr>
            <w:tcW w:w="1060" w:type="dxa"/>
            <w:vAlign w:val="bottom"/>
            <w:tcBorders>
              <w:right w:val="single" w:sz="8" w:color="auto"/>
            </w:tcBorders>
            <w:gridSpan w:val="5"/>
            <w:vMerge w:val="restart"/>
            <w:shd w:val="clear" w:color="auto" w:fill="CCCCFF"/>
          </w:tcPr>
          <w:p>
            <w:pPr>
              <w:jc w:val="center"/>
              <w:ind w:right="240"/>
              <w:spacing w:after="0" w:line="156" w:lineRule="exact"/>
              <w:rPr>
                <w:sz w:val="20"/>
                <w:szCs w:val="20"/>
                <w:color w:val="auto"/>
              </w:rPr>
            </w:pPr>
            <w:r>
              <w:rPr>
                <w:rFonts w:ascii="Times New Roman" w:cs="Times New Roman" w:eastAsia="Times New Roman" w:hAnsi="Times New Roman"/>
                <w:sz w:val="18"/>
                <w:szCs w:val="18"/>
                <w:b w:val="1"/>
                <w:bCs w:val="1"/>
                <w:color w:val="0000FF"/>
                <w:w w:val="98"/>
              </w:rPr>
              <w:t>Applicable</w:t>
            </w:r>
          </w:p>
        </w:tc>
        <w:tc>
          <w:tcPr>
            <w:tcW w:w="80" w:type="dxa"/>
            <w:vAlign w:val="bottom"/>
            <w:shd w:val="clear" w:color="auto" w:fill="CCCCFF"/>
          </w:tcPr>
          <w:p>
            <w:pPr>
              <w:spacing w:after="0"/>
              <w:rPr>
                <w:sz w:val="7"/>
                <w:szCs w:val="7"/>
                <w:color w:val="auto"/>
              </w:rPr>
            </w:pPr>
          </w:p>
        </w:tc>
        <w:tc>
          <w:tcPr>
            <w:tcW w:w="1240" w:type="dxa"/>
            <w:vAlign w:val="bottom"/>
            <w:tcBorders>
              <w:right w:val="single" w:sz="8" w:color="auto"/>
            </w:tcBorders>
            <w:gridSpan w:val="11"/>
            <w:vMerge w:val="restart"/>
            <w:shd w:val="clear" w:color="auto" w:fill="CCCCFF"/>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Commitment</w:t>
            </w:r>
          </w:p>
        </w:tc>
        <w:tc>
          <w:tcPr>
            <w:tcW w:w="80" w:type="dxa"/>
            <w:vAlign w:val="bottom"/>
            <w:shd w:val="clear" w:color="auto" w:fill="CCCCFF"/>
          </w:tcPr>
          <w:p>
            <w:pPr>
              <w:spacing w:after="0"/>
              <w:rPr>
                <w:sz w:val="7"/>
                <w:szCs w:val="7"/>
                <w:color w:val="auto"/>
              </w:rPr>
            </w:pPr>
          </w:p>
        </w:tc>
        <w:tc>
          <w:tcPr>
            <w:tcW w:w="80" w:type="dxa"/>
            <w:vAlign w:val="bottom"/>
            <w:shd w:val="clear" w:color="auto" w:fill="CCCCFF"/>
          </w:tcPr>
          <w:p>
            <w:pPr>
              <w:spacing w:after="0"/>
              <w:rPr>
                <w:sz w:val="7"/>
                <w:szCs w:val="7"/>
                <w:color w:val="auto"/>
              </w:rPr>
            </w:pPr>
          </w:p>
        </w:tc>
        <w:tc>
          <w:tcPr>
            <w:tcW w:w="20" w:type="dxa"/>
            <w:vAlign w:val="bottom"/>
            <w:shd w:val="clear" w:color="auto" w:fill="CCCCFF"/>
          </w:tcPr>
          <w:p>
            <w:pPr>
              <w:spacing w:after="0"/>
              <w:rPr>
                <w:sz w:val="7"/>
                <w:szCs w:val="7"/>
                <w:color w:val="auto"/>
              </w:rPr>
            </w:pPr>
          </w:p>
        </w:tc>
        <w:tc>
          <w:tcPr>
            <w:tcW w:w="1040" w:type="dxa"/>
            <w:vAlign w:val="bottom"/>
            <w:tcBorders>
              <w:right w:val="single" w:sz="8" w:color="auto"/>
            </w:tcBorders>
            <w:gridSpan w:val="9"/>
            <w:vMerge w:val="restart"/>
            <w:shd w:val="clear" w:color="auto" w:fill="CCCCFF"/>
          </w:tcPr>
          <w:p>
            <w:pPr>
              <w:jc w:val="center"/>
              <w:ind w:right="200"/>
              <w:spacing w:after="0" w:line="156" w:lineRule="exact"/>
              <w:rPr>
                <w:sz w:val="20"/>
                <w:szCs w:val="20"/>
                <w:color w:val="auto"/>
              </w:rPr>
            </w:pPr>
            <w:r>
              <w:rPr>
                <w:rFonts w:ascii="Times New Roman" w:cs="Times New Roman" w:eastAsia="Times New Roman" w:hAnsi="Times New Roman"/>
                <w:sz w:val="18"/>
                <w:szCs w:val="18"/>
                <w:b w:val="1"/>
                <w:bCs w:val="1"/>
                <w:color w:val="0000FF"/>
              </w:rPr>
              <w:t>Applicable</w:t>
            </w:r>
          </w:p>
        </w:tc>
        <w:tc>
          <w:tcPr>
            <w:tcW w:w="0" w:type="dxa"/>
            <w:vAlign w:val="bottom"/>
          </w:tcPr>
          <w:p>
            <w:pPr>
              <w:spacing w:after="0"/>
              <w:rPr>
                <w:sz w:val="1"/>
                <w:szCs w:val="1"/>
                <w:color w:val="auto"/>
              </w:rPr>
            </w:pPr>
          </w:p>
        </w:tc>
      </w:tr>
      <w:tr>
        <w:trPr>
          <w:trHeight w:val="107"/>
        </w:trPr>
        <w:tc>
          <w:tcPr>
            <w:tcW w:w="120" w:type="dxa"/>
            <w:vAlign w:val="bottom"/>
            <w:tcBorders>
              <w:left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40" w:type="dxa"/>
            <w:vAlign w:val="bottom"/>
            <w:shd w:val="clear" w:color="auto" w:fill="FFCCCC"/>
          </w:tcPr>
          <w:p>
            <w:pPr>
              <w:spacing w:after="0"/>
              <w:rPr>
                <w:sz w:val="9"/>
                <w:szCs w:val="9"/>
                <w:color w:val="auto"/>
              </w:rPr>
            </w:pPr>
          </w:p>
        </w:tc>
        <w:tc>
          <w:tcPr>
            <w:tcW w:w="840" w:type="dxa"/>
            <w:vAlign w:val="bottom"/>
            <w:shd w:val="clear" w:color="auto" w:fill="FFCCCC"/>
          </w:tcPr>
          <w:p>
            <w:pPr>
              <w:spacing w:after="0"/>
              <w:rPr>
                <w:sz w:val="9"/>
                <w:szCs w:val="9"/>
                <w:color w:val="auto"/>
              </w:rPr>
            </w:pPr>
          </w:p>
        </w:tc>
        <w:tc>
          <w:tcPr>
            <w:tcW w:w="260" w:type="dxa"/>
            <w:vAlign w:val="bottom"/>
            <w:tcBorders>
              <w:right w:val="single" w:sz="8" w:color="FFCCCC"/>
            </w:tcBorders>
            <w:shd w:val="clear" w:color="auto" w:fill="FFCCCC"/>
          </w:tcPr>
          <w:p>
            <w:pPr>
              <w:spacing w:after="0"/>
              <w:rPr>
                <w:sz w:val="9"/>
                <w:szCs w:val="9"/>
                <w:color w:val="auto"/>
              </w:rPr>
            </w:pPr>
          </w:p>
        </w:tc>
        <w:tc>
          <w:tcPr>
            <w:tcW w:w="100" w:type="dxa"/>
            <w:vAlign w:val="bottom"/>
            <w:tcBorders>
              <w:right w:val="single" w:sz="8" w:color="auto"/>
            </w:tcBorders>
            <w:shd w:val="clear" w:color="auto" w:fill="FFCCCC"/>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tcBorders>
              <w:right w:val="single" w:sz="8" w:color="auto"/>
            </w:tcBorders>
            <w:gridSpan w:val="9"/>
            <w:vMerge w:val="continue"/>
          </w:tcPr>
          <w:p>
            <w:pPr>
              <w:spacing w:after="0"/>
              <w:rPr>
                <w:sz w:val="9"/>
                <w:szCs w:val="9"/>
                <w:color w:val="auto"/>
              </w:rPr>
            </w:pPr>
          </w:p>
        </w:tc>
        <w:tc>
          <w:tcPr>
            <w:tcW w:w="80" w:type="dxa"/>
            <w:vAlign w:val="bottom"/>
            <w:shd w:val="clear" w:color="auto" w:fill="CCCCFF"/>
          </w:tcPr>
          <w:p>
            <w:pPr>
              <w:spacing w:after="0"/>
              <w:rPr>
                <w:sz w:val="9"/>
                <w:szCs w:val="9"/>
                <w:color w:val="auto"/>
              </w:rPr>
            </w:pPr>
          </w:p>
        </w:tc>
        <w:tc>
          <w:tcPr>
            <w:tcW w:w="40" w:type="dxa"/>
            <w:vAlign w:val="bottom"/>
            <w:shd w:val="clear" w:color="auto" w:fill="CCCCFF"/>
          </w:tcPr>
          <w:p>
            <w:pPr>
              <w:spacing w:after="0"/>
              <w:rPr>
                <w:sz w:val="9"/>
                <w:szCs w:val="9"/>
                <w:color w:val="auto"/>
              </w:rPr>
            </w:pPr>
          </w:p>
        </w:tc>
        <w:tc>
          <w:tcPr>
            <w:tcW w:w="40" w:type="dxa"/>
            <w:vAlign w:val="bottom"/>
            <w:shd w:val="clear" w:color="auto" w:fill="CCCCFF"/>
          </w:tcPr>
          <w:p>
            <w:pPr>
              <w:spacing w:after="0"/>
              <w:rPr>
                <w:sz w:val="9"/>
                <w:szCs w:val="9"/>
                <w:color w:val="auto"/>
              </w:rPr>
            </w:pPr>
          </w:p>
        </w:tc>
        <w:tc>
          <w:tcPr>
            <w:tcW w:w="20" w:type="dxa"/>
            <w:vAlign w:val="bottom"/>
            <w:shd w:val="clear" w:color="auto" w:fill="CCCCFF"/>
          </w:tcPr>
          <w:p>
            <w:pPr>
              <w:spacing w:after="0"/>
              <w:rPr>
                <w:sz w:val="9"/>
                <w:szCs w:val="9"/>
                <w:color w:val="auto"/>
              </w:rPr>
            </w:pPr>
          </w:p>
        </w:tc>
        <w:tc>
          <w:tcPr>
            <w:tcW w:w="1040" w:type="dxa"/>
            <w:vAlign w:val="bottom"/>
            <w:tcBorders>
              <w:right w:val="single" w:sz="8" w:color="auto"/>
            </w:tcBorders>
            <w:gridSpan w:val="4"/>
            <w:vMerge w:val="continue"/>
            <w:shd w:val="clear" w:color="auto" w:fill="CCCCFF"/>
          </w:tcPr>
          <w:p>
            <w:pPr>
              <w:spacing w:after="0"/>
              <w:rPr>
                <w:sz w:val="9"/>
                <w:szCs w:val="9"/>
                <w:color w:val="auto"/>
              </w:rPr>
            </w:pPr>
          </w:p>
        </w:tc>
        <w:tc>
          <w:tcPr>
            <w:tcW w:w="80" w:type="dxa"/>
            <w:vAlign w:val="bottom"/>
            <w:shd w:val="clear" w:color="auto" w:fill="CCCCFF"/>
          </w:tcPr>
          <w:p>
            <w:pPr>
              <w:spacing w:after="0"/>
              <w:rPr>
                <w:sz w:val="9"/>
                <w:szCs w:val="9"/>
                <w:color w:val="auto"/>
              </w:rPr>
            </w:pPr>
          </w:p>
        </w:tc>
        <w:tc>
          <w:tcPr>
            <w:tcW w:w="1120" w:type="dxa"/>
            <w:vAlign w:val="bottom"/>
            <w:tcBorders>
              <w:right w:val="single" w:sz="8" w:color="auto"/>
            </w:tcBorders>
            <w:gridSpan w:val="10"/>
            <w:vMerge w:val="continue"/>
            <w:shd w:val="clear" w:color="auto" w:fill="CCCCFF"/>
          </w:tcPr>
          <w:p>
            <w:pPr>
              <w:spacing w:after="0"/>
              <w:rPr>
                <w:sz w:val="9"/>
                <w:szCs w:val="9"/>
                <w:color w:val="auto"/>
              </w:rPr>
            </w:pPr>
          </w:p>
        </w:tc>
        <w:tc>
          <w:tcPr>
            <w:tcW w:w="100" w:type="dxa"/>
            <w:vAlign w:val="bottom"/>
            <w:shd w:val="clear" w:color="auto" w:fill="CCCCFF"/>
          </w:tcPr>
          <w:p>
            <w:pPr>
              <w:spacing w:after="0"/>
              <w:rPr>
                <w:sz w:val="9"/>
                <w:szCs w:val="9"/>
                <w:color w:val="auto"/>
              </w:rPr>
            </w:pPr>
          </w:p>
        </w:tc>
        <w:tc>
          <w:tcPr>
            <w:tcW w:w="80" w:type="dxa"/>
            <w:vAlign w:val="bottom"/>
            <w:shd w:val="clear" w:color="auto" w:fill="CCCCFF"/>
          </w:tcPr>
          <w:p>
            <w:pPr>
              <w:spacing w:after="0"/>
              <w:rPr>
                <w:sz w:val="9"/>
                <w:szCs w:val="9"/>
                <w:color w:val="auto"/>
              </w:rPr>
            </w:pPr>
          </w:p>
        </w:tc>
        <w:tc>
          <w:tcPr>
            <w:tcW w:w="20" w:type="dxa"/>
            <w:vAlign w:val="bottom"/>
            <w:shd w:val="clear" w:color="auto" w:fill="CCCCFF"/>
          </w:tcPr>
          <w:p>
            <w:pPr>
              <w:spacing w:after="0"/>
              <w:rPr>
                <w:sz w:val="9"/>
                <w:szCs w:val="9"/>
                <w:color w:val="auto"/>
              </w:rPr>
            </w:pPr>
          </w:p>
        </w:tc>
        <w:tc>
          <w:tcPr>
            <w:tcW w:w="20" w:type="dxa"/>
            <w:vAlign w:val="bottom"/>
            <w:shd w:val="clear" w:color="auto" w:fill="CCCCFF"/>
          </w:tcPr>
          <w:p>
            <w:pPr>
              <w:spacing w:after="0"/>
              <w:rPr>
                <w:sz w:val="9"/>
                <w:szCs w:val="9"/>
                <w:color w:val="auto"/>
              </w:rPr>
            </w:pPr>
          </w:p>
        </w:tc>
        <w:tc>
          <w:tcPr>
            <w:tcW w:w="1060" w:type="dxa"/>
            <w:vAlign w:val="bottom"/>
            <w:tcBorders>
              <w:right w:val="single" w:sz="8" w:color="auto"/>
            </w:tcBorders>
            <w:gridSpan w:val="5"/>
            <w:vMerge w:val="continue"/>
            <w:shd w:val="clear" w:color="auto" w:fill="CCCCFF"/>
          </w:tcPr>
          <w:p>
            <w:pPr>
              <w:spacing w:after="0"/>
              <w:rPr>
                <w:sz w:val="9"/>
                <w:szCs w:val="9"/>
                <w:color w:val="auto"/>
              </w:rPr>
            </w:pPr>
          </w:p>
        </w:tc>
        <w:tc>
          <w:tcPr>
            <w:tcW w:w="80" w:type="dxa"/>
            <w:vAlign w:val="bottom"/>
            <w:shd w:val="clear" w:color="auto" w:fill="CCCCFF"/>
          </w:tcPr>
          <w:p>
            <w:pPr>
              <w:spacing w:after="0"/>
              <w:rPr>
                <w:sz w:val="9"/>
                <w:szCs w:val="9"/>
                <w:color w:val="auto"/>
              </w:rPr>
            </w:pPr>
          </w:p>
        </w:tc>
        <w:tc>
          <w:tcPr>
            <w:tcW w:w="1240" w:type="dxa"/>
            <w:vAlign w:val="bottom"/>
            <w:tcBorders>
              <w:right w:val="single" w:sz="8" w:color="auto"/>
            </w:tcBorders>
            <w:gridSpan w:val="11"/>
            <w:vMerge w:val="continue"/>
            <w:shd w:val="clear" w:color="auto" w:fill="CCCCFF"/>
          </w:tcPr>
          <w:p>
            <w:pPr>
              <w:spacing w:after="0"/>
              <w:rPr>
                <w:sz w:val="9"/>
                <w:szCs w:val="9"/>
                <w:color w:val="auto"/>
              </w:rPr>
            </w:pPr>
          </w:p>
        </w:tc>
        <w:tc>
          <w:tcPr>
            <w:tcW w:w="80" w:type="dxa"/>
            <w:vAlign w:val="bottom"/>
            <w:shd w:val="clear" w:color="auto" w:fill="CCCCFF"/>
          </w:tcPr>
          <w:p>
            <w:pPr>
              <w:spacing w:after="0"/>
              <w:rPr>
                <w:sz w:val="9"/>
                <w:szCs w:val="9"/>
                <w:color w:val="auto"/>
              </w:rPr>
            </w:pPr>
          </w:p>
        </w:tc>
        <w:tc>
          <w:tcPr>
            <w:tcW w:w="80" w:type="dxa"/>
            <w:vAlign w:val="bottom"/>
            <w:shd w:val="clear" w:color="auto" w:fill="CCCCFF"/>
          </w:tcPr>
          <w:p>
            <w:pPr>
              <w:spacing w:after="0"/>
              <w:rPr>
                <w:sz w:val="9"/>
                <w:szCs w:val="9"/>
                <w:color w:val="auto"/>
              </w:rPr>
            </w:pPr>
          </w:p>
        </w:tc>
        <w:tc>
          <w:tcPr>
            <w:tcW w:w="20" w:type="dxa"/>
            <w:vAlign w:val="bottom"/>
            <w:shd w:val="clear" w:color="auto" w:fill="CCCCFF"/>
          </w:tcPr>
          <w:p>
            <w:pPr>
              <w:spacing w:after="0"/>
              <w:rPr>
                <w:sz w:val="9"/>
                <w:szCs w:val="9"/>
                <w:color w:val="auto"/>
              </w:rPr>
            </w:pPr>
          </w:p>
        </w:tc>
        <w:tc>
          <w:tcPr>
            <w:tcW w:w="1040" w:type="dxa"/>
            <w:vAlign w:val="bottom"/>
            <w:tcBorders>
              <w:right w:val="single" w:sz="8" w:color="auto"/>
            </w:tcBorders>
            <w:gridSpan w:val="9"/>
            <w:vMerge w:val="continue"/>
            <w:shd w:val="clear" w:color="auto" w:fill="CCCC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gridSpan w:val="3"/>
          </w:tcPr>
          <w:p>
            <w:pPr>
              <w:spacing w:after="0"/>
              <w:rPr>
                <w:sz w:val="17"/>
                <w:szCs w:val="1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17"/>
                <w:szCs w:val="1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17"/>
                <w:szCs w:val="17"/>
                <w:color w:val="auto"/>
              </w:rPr>
            </w:pPr>
          </w:p>
        </w:tc>
        <w:tc>
          <w:tcPr>
            <w:tcW w:w="1840" w:type="dxa"/>
            <w:vAlign w:val="bottom"/>
            <w:tcBorders>
              <w:bottom w:val="single" w:sz="8" w:color="auto"/>
              <w:right w:val="single" w:sz="8" w:color="auto"/>
            </w:tcBorders>
            <w:gridSpan w:val="11"/>
          </w:tcPr>
          <w:p>
            <w:pPr>
              <w:spacing w:after="0"/>
              <w:rPr>
                <w:sz w:val="17"/>
                <w:szCs w:val="17"/>
                <w:color w:val="auto"/>
              </w:rPr>
            </w:pPr>
          </w:p>
        </w:tc>
        <w:tc>
          <w:tcPr>
            <w:tcW w:w="160" w:type="dxa"/>
            <w:vAlign w:val="bottom"/>
            <w:tcBorders>
              <w:top w:val="single" w:sz="8" w:color="CCCCFF"/>
              <w:bottom w:val="single" w:sz="8" w:color="auto"/>
            </w:tcBorders>
            <w:gridSpan w:val="3"/>
            <w:shd w:val="clear" w:color="auto" w:fill="CCCCFF"/>
          </w:tcPr>
          <w:p>
            <w:pPr>
              <w:spacing w:after="0"/>
              <w:rPr>
                <w:sz w:val="17"/>
                <w:szCs w:val="17"/>
                <w:color w:val="auto"/>
              </w:rPr>
            </w:pPr>
          </w:p>
        </w:tc>
        <w:tc>
          <w:tcPr>
            <w:tcW w:w="940" w:type="dxa"/>
            <w:vAlign w:val="bottom"/>
            <w:tcBorders>
              <w:top w:val="single" w:sz="8" w:color="0000FF"/>
              <w:bottom w:val="single" w:sz="8" w:color="auto"/>
              <w:right w:val="single" w:sz="8" w:color="CCCCFF"/>
            </w:tcBorders>
            <w:gridSpan w:val="4"/>
            <w:shd w:val="clear" w:color="auto" w:fill="CCCCFF"/>
          </w:tcPr>
          <w:p>
            <w:pPr>
              <w:spacing w:after="0"/>
              <w:rPr>
                <w:sz w:val="20"/>
                <w:szCs w:val="20"/>
                <w:color w:val="auto"/>
              </w:rPr>
            </w:pPr>
            <w:r>
              <w:rPr>
                <w:rFonts w:ascii="Times New Roman" w:cs="Times New Roman" w:eastAsia="Times New Roman" w:hAnsi="Times New Roman"/>
                <w:sz w:val="18"/>
                <w:szCs w:val="18"/>
                <w:b w:val="1"/>
                <w:bCs w:val="1"/>
                <w:color w:val="0000FF"/>
              </w:rPr>
              <w:t>Percentage</w:t>
            </w:r>
          </w:p>
        </w:tc>
        <w:tc>
          <w:tcPr>
            <w:tcW w:w="120" w:type="dxa"/>
            <w:vAlign w:val="bottom"/>
            <w:tcBorders>
              <w:top w:val="single" w:sz="8" w:color="CCCCFF"/>
              <w:bottom w:val="single" w:sz="8" w:color="auto"/>
              <w:right w:val="single" w:sz="8" w:color="auto"/>
            </w:tcBorders>
            <w:shd w:val="clear" w:color="auto" w:fill="CCCCFF"/>
          </w:tcPr>
          <w:p>
            <w:pPr>
              <w:spacing w:after="0"/>
              <w:rPr>
                <w:sz w:val="17"/>
                <w:szCs w:val="17"/>
                <w:color w:val="auto"/>
              </w:rPr>
            </w:pPr>
          </w:p>
        </w:tc>
        <w:tc>
          <w:tcPr>
            <w:tcW w:w="80" w:type="dxa"/>
            <w:vAlign w:val="bottom"/>
            <w:tcBorders>
              <w:top w:val="single" w:sz="8" w:color="CCCCFF"/>
              <w:bottom w:val="single" w:sz="8" w:color="auto"/>
            </w:tcBorders>
            <w:shd w:val="clear" w:color="auto" w:fill="CCCCFF"/>
          </w:tcPr>
          <w:p>
            <w:pPr>
              <w:spacing w:after="0"/>
              <w:rPr>
                <w:sz w:val="17"/>
                <w:szCs w:val="17"/>
                <w:color w:val="auto"/>
              </w:rPr>
            </w:pPr>
          </w:p>
        </w:tc>
        <w:tc>
          <w:tcPr>
            <w:tcW w:w="1020" w:type="dxa"/>
            <w:vAlign w:val="bottom"/>
            <w:tcBorders>
              <w:top w:val="single" w:sz="8" w:color="0000FF"/>
              <w:bottom w:val="single" w:sz="8" w:color="auto"/>
            </w:tcBorders>
            <w:gridSpan w:val="9"/>
            <w:shd w:val="clear" w:color="auto" w:fill="CCCCFF"/>
          </w:tcPr>
          <w:p>
            <w:pPr>
              <w:spacing w:after="0"/>
              <w:rPr>
                <w:sz w:val="17"/>
                <w:szCs w:val="17"/>
                <w:color w:val="auto"/>
              </w:rPr>
            </w:pPr>
          </w:p>
        </w:tc>
        <w:tc>
          <w:tcPr>
            <w:tcW w:w="100" w:type="dxa"/>
            <w:vAlign w:val="bottom"/>
            <w:tcBorders>
              <w:top w:val="single" w:sz="8" w:color="CCCCFF"/>
              <w:bottom w:val="single" w:sz="8" w:color="auto"/>
              <w:right w:val="single" w:sz="8" w:color="auto"/>
            </w:tcBorders>
            <w:shd w:val="clear" w:color="auto" w:fill="CCCCFF"/>
          </w:tcPr>
          <w:p>
            <w:pPr>
              <w:spacing w:after="0"/>
              <w:rPr>
                <w:sz w:val="17"/>
                <w:szCs w:val="17"/>
                <w:color w:val="auto"/>
              </w:rPr>
            </w:pPr>
          </w:p>
        </w:tc>
        <w:tc>
          <w:tcPr>
            <w:tcW w:w="200" w:type="dxa"/>
            <w:vAlign w:val="bottom"/>
            <w:tcBorders>
              <w:top w:val="single" w:sz="8" w:color="CCCCFF"/>
              <w:bottom w:val="single" w:sz="8" w:color="auto"/>
            </w:tcBorders>
            <w:gridSpan w:val="3"/>
            <w:shd w:val="clear" w:color="auto" w:fill="CCCCFF"/>
          </w:tcPr>
          <w:p>
            <w:pPr>
              <w:spacing w:after="0"/>
              <w:rPr>
                <w:sz w:val="17"/>
                <w:szCs w:val="17"/>
                <w:color w:val="auto"/>
              </w:rPr>
            </w:pPr>
          </w:p>
        </w:tc>
        <w:tc>
          <w:tcPr>
            <w:tcW w:w="920" w:type="dxa"/>
            <w:vAlign w:val="bottom"/>
            <w:tcBorders>
              <w:top w:val="single" w:sz="8" w:color="0000FF"/>
              <w:bottom w:val="single" w:sz="8" w:color="auto"/>
              <w:right w:val="single" w:sz="8" w:color="CCCCFF"/>
            </w:tcBorders>
            <w:gridSpan w:val="5"/>
            <w:shd w:val="clear" w:color="auto" w:fill="CCCCFF"/>
          </w:tcPr>
          <w:p>
            <w:pPr>
              <w:spacing w:after="0"/>
              <w:rPr>
                <w:sz w:val="20"/>
                <w:szCs w:val="20"/>
                <w:color w:val="auto"/>
              </w:rPr>
            </w:pPr>
            <w:r>
              <w:rPr>
                <w:rFonts w:ascii="Times New Roman" w:cs="Times New Roman" w:eastAsia="Times New Roman" w:hAnsi="Times New Roman"/>
                <w:sz w:val="18"/>
                <w:szCs w:val="18"/>
                <w:b w:val="1"/>
                <w:bCs w:val="1"/>
                <w:color w:val="0000FF"/>
              </w:rPr>
              <w:t>Percentage</w:t>
            </w:r>
          </w:p>
        </w:tc>
        <w:tc>
          <w:tcPr>
            <w:tcW w:w="160" w:type="dxa"/>
            <w:vAlign w:val="bottom"/>
            <w:tcBorders>
              <w:top w:val="single" w:sz="8" w:color="CCCCFF"/>
              <w:bottom w:val="single" w:sz="8" w:color="auto"/>
              <w:right w:val="single" w:sz="8" w:color="auto"/>
            </w:tcBorders>
            <w:shd w:val="clear" w:color="auto" w:fill="CCCCFF"/>
          </w:tcPr>
          <w:p>
            <w:pPr>
              <w:spacing w:after="0"/>
              <w:rPr>
                <w:sz w:val="17"/>
                <w:szCs w:val="17"/>
                <w:color w:val="auto"/>
              </w:rPr>
            </w:pPr>
          </w:p>
        </w:tc>
        <w:tc>
          <w:tcPr>
            <w:tcW w:w="140" w:type="dxa"/>
            <w:vAlign w:val="bottom"/>
            <w:tcBorders>
              <w:top w:val="single" w:sz="8" w:color="CCCCFF"/>
              <w:bottom w:val="single" w:sz="8" w:color="auto"/>
            </w:tcBorders>
            <w:gridSpan w:val="2"/>
            <w:shd w:val="clear" w:color="auto" w:fill="CCCCFF"/>
          </w:tcPr>
          <w:p>
            <w:pPr>
              <w:spacing w:after="0"/>
              <w:rPr>
                <w:sz w:val="17"/>
                <w:szCs w:val="17"/>
                <w:color w:val="auto"/>
              </w:rPr>
            </w:pPr>
          </w:p>
        </w:tc>
        <w:tc>
          <w:tcPr>
            <w:tcW w:w="1020" w:type="dxa"/>
            <w:vAlign w:val="bottom"/>
            <w:tcBorders>
              <w:top w:val="single" w:sz="8" w:color="0000FF"/>
              <w:bottom w:val="single" w:sz="8" w:color="auto"/>
            </w:tcBorders>
            <w:gridSpan w:val="7"/>
            <w:shd w:val="clear" w:color="auto" w:fill="CCCCFF"/>
          </w:tcPr>
          <w:p>
            <w:pPr>
              <w:spacing w:after="0"/>
              <w:rPr>
                <w:sz w:val="17"/>
                <w:szCs w:val="1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17"/>
                <w:szCs w:val="17"/>
                <w:color w:val="auto"/>
              </w:rPr>
            </w:pPr>
          </w:p>
        </w:tc>
        <w:tc>
          <w:tcPr>
            <w:tcW w:w="180" w:type="dxa"/>
            <w:vAlign w:val="bottom"/>
            <w:tcBorders>
              <w:top w:val="single" w:sz="8" w:color="CCCCFF"/>
              <w:bottom w:val="single" w:sz="8" w:color="auto"/>
            </w:tcBorders>
            <w:gridSpan w:val="3"/>
            <w:shd w:val="clear" w:color="auto" w:fill="CCCCFF"/>
          </w:tcPr>
          <w:p>
            <w:pPr>
              <w:spacing w:after="0"/>
              <w:rPr>
                <w:sz w:val="17"/>
                <w:szCs w:val="17"/>
                <w:color w:val="auto"/>
              </w:rPr>
            </w:pPr>
          </w:p>
        </w:tc>
        <w:tc>
          <w:tcPr>
            <w:tcW w:w="840" w:type="dxa"/>
            <w:vAlign w:val="bottom"/>
            <w:tcBorders>
              <w:top w:val="single" w:sz="8" w:color="0000FF"/>
              <w:bottom w:val="single" w:sz="8" w:color="auto"/>
            </w:tcBorders>
            <w:gridSpan w:val="5"/>
            <w:shd w:val="clear" w:color="auto" w:fill="CCCC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98"/>
              </w:rPr>
              <w:t>Percentage</w:t>
            </w:r>
          </w:p>
        </w:tc>
        <w:tc>
          <w:tcPr>
            <w:tcW w:w="200" w:type="dxa"/>
            <w:vAlign w:val="bottom"/>
            <w:tcBorders>
              <w:top w:val="single" w:sz="8" w:color="CCCCFF"/>
              <w:bottom w:val="single" w:sz="8" w:color="auto"/>
              <w:right w:val="single" w:sz="8" w:color="auto"/>
            </w:tcBorders>
            <w:gridSpan w:val="4"/>
            <w:shd w:val="clear" w:color="auto" w:fill="CCCC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Wells Fargo Bank,</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7.312500000%</w:t>
            </w:r>
          </w:p>
        </w:tc>
        <w:tc>
          <w:tcPr>
            <w:tcW w:w="100" w:type="dxa"/>
            <w:vAlign w:val="bottom"/>
            <w:tcBorders>
              <w:right w:val="single" w:sz="8" w:color="auto"/>
            </w:tcBorders>
            <w:shd w:val="clear" w:color="auto" w:fill="FFCCCC"/>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9"/>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8"/>
              </w:rPr>
              <w:t>$117,000,000.00</w:t>
            </w:r>
          </w:p>
        </w:tc>
        <w:tc>
          <w:tcPr>
            <w:tcW w:w="340" w:type="dxa"/>
            <w:vAlign w:val="bottom"/>
            <w:tcBorders>
              <w:right w:val="single" w:sz="8" w:color="auto"/>
            </w:tcBorders>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CCCCFF"/>
            </w:tcBorders>
            <w:shd w:val="clear" w:color="auto" w:fill="CCCCFF"/>
          </w:tcPr>
          <w:p>
            <w:pPr>
              <w:spacing w:after="0"/>
              <w:rPr>
                <w:sz w:val="18"/>
                <w:szCs w:val="18"/>
                <w:color w:val="auto"/>
              </w:rPr>
            </w:pPr>
          </w:p>
        </w:tc>
        <w:tc>
          <w:tcPr>
            <w:tcW w:w="520" w:type="dxa"/>
            <w:vAlign w:val="bottom"/>
            <w:tcBorders>
              <w:right w:val="single" w:sz="8" w:color="CCCCFF"/>
            </w:tcBorders>
            <w:shd w:val="clear" w:color="auto" w:fill="CCCCFF"/>
          </w:tcPr>
          <w:p>
            <w:pPr>
              <w:spacing w:after="0"/>
              <w:rPr>
                <w:sz w:val="18"/>
                <w:szCs w:val="18"/>
                <w:color w:val="auto"/>
              </w:rPr>
            </w:pPr>
          </w:p>
        </w:tc>
        <w:tc>
          <w:tcPr>
            <w:tcW w:w="300" w:type="dxa"/>
            <w:vAlign w:val="bottom"/>
            <w:tcBorders>
              <w:right w:val="single" w:sz="8" w:color="CCCCFF"/>
            </w:tcBorders>
            <w:shd w:val="clear" w:color="auto" w:fill="CCCCFF"/>
          </w:tcPr>
          <w:p>
            <w:pPr>
              <w:spacing w:after="0"/>
              <w:rPr>
                <w:sz w:val="18"/>
                <w:szCs w:val="18"/>
                <w:color w:val="auto"/>
              </w:rPr>
            </w:pPr>
          </w:p>
        </w:tc>
        <w:tc>
          <w:tcPr>
            <w:tcW w:w="12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0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tcBorders>
              <w:right w:val="single" w:sz="8" w:color="CCCCFF"/>
            </w:tcBorders>
            <w:shd w:val="clear" w:color="auto" w:fill="CCCCFF"/>
          </w:tcPr>
          <w:p>
            <w:pPr>
              <w:spacing w:after="0"/>
              <w:rPr>
                <w:sz w:val="18"/>
                <w:szCs w:val="18"/>
                <w:color w:val="auto"/>
              </w:rPr>
            </w:pPr>
          </w:p>
        </w:tc>
        <w:tc>
          <w:tcPr>
            <w:tcW w:w="260" w:type="dxa"/>
            <w:vAlign w:val="bottom"/>
            <w:tcBorders>
              <w:left w:val="single" w:sz="8" w:color="CCCCFF"/>
            </w:tcBorders>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400" w:type="dxa"/>
            <w:vAlign w:val="bottom"/>
            <w:tcBorders>
              <w:right w:val="single" w:sz="8" w:color="CCCCFF"/>
            </w:tcBorders>
            <w:shd w:val="clear" w:color="auto" w:fill="CCCCFF"/>
          </w:tcPr>
          <w:p>
            <w:pPr>
              <w:spacing w:after="0"/>
              <w:rPr>
                <w:sz w:val="18"/>
                <w:szCs w:val="18"/>
                <w:color w:val="auto"/>
              </w:rPr>
            </w:pPr>
          </w:p>
        </w:tc>
        <w:tc>
          <w:tcPr>
            <w:tcW w:w="16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20" w:type="dxa"/>
            <w:vAlign w:val="bottom"/>
            <w:shd w:val="clear" w:color="auto" w:fill="CCCCFF"/>
          </w:tcPr>
          <w:p>
            <w:pPr>
              <w:spacing w:after="0"/>
              <w:rPr>
                <w:sz w:val="18"/>
                <w:szCs w:val="18"/>
                <w:color w:val="auto"/>
              </w:rPr>
            </w:pPr>
          </w:p>
        </w:tc>
        <w:tc>
          <w:tcPr>
            <w:tcW w:w="40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7.4760%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National</w:t>
            </w:r>
          </w:p>
        </w:tc>
        <w:tc>
          <w:tcPr>
            <w:tcW w:w="340" w:type="dxa"/>
            <w:vAlign w:val="bottom"/>
            <w:tcBorders>
              <w:top w:val="single" w:sz="8" w:color="FFCCCC"/>
            </w:tcBorders>
            <w:shd w:val="clear" w:color="auto" w:fill="FFCCCC"/>
          </w:tcPr>
          <w:p>
            <w:pPr>
              <w:spacing w:after="0"/>
              <w:rPr>
                <w:sz w:val="6"/>
                <w:szCs w:val="6"/>
                <w:color w:val="auto"/>
              </w:rPr>
            </w:pPr>
          </w:p>
        </w:tc>
        <w:tc>
          <w:tcPr>
            <w:tcW w:w="840" w:type="dxa"/>
            <w:vAlign w:val="bottom"/>
            <w:tcBorders>
              <w:top w:val="single" w:sz="8" w:color="FFCCCC"/>
            </w:tcBorders>
            <w:shd w:val="clear" w:color="auto" w:fill="FFCCCC"/>
          </w:tcPr>
          <w:p>
            <w:pPr>
              <w:spacing w:after="0"/>
              <w:rPr>
                <w:sz w:val="6"/>
                <w:szCs w:val="6"/>
                <w:color w:val="auto"/>
              </w:rPr>
            </w:pPr>
          </w:p>
        </w:tc>
        <w:tc>
          <w:tcPr>
            <w:tcW w:w="260" w:type="dxa"/>
            <w:vAlign w:val="bottom"/>
            <w:tcBorders>
              <w:top w:val="single" w:sz="8" w:color="FFCCCC"/>
              <w:right w:val="single" w:sz="8" w:color="FFCCCC"/>
            </w:tcBorders>
            <w:shd w:val="clear" w:color="auto" w:fill="FFCCCC"/>
          </w:tcPr>
          <w:p>
            <w:pPr>
              <w:spacing w:after="0"/>
              <w:rPr>
                <w:sz w:val="6"/>
                <w:szCs w:val="6"/>
                <w:color w:val="auto"/>
              </w:rPr>
            </w:pPr>
          </w:p>
        </w:tc>
        <w:tc>
          <w:tcPr>
            <w:tcW w:w="100" w:type="dxa"/>
            <w:vAlign w:val="bottom"/>
            <w:tcBorders>
              <w:top w:val="single" w:sz="8" w:color="FFCCCC"/>
              <w:right w:val="single" w:sz="8" w:color="auto"/>
            </w:tcBorders>
            <w:shd w:val="clear" w:color="auto" w:fill="FFCCCC"/>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gridSpan w:val="9"/>
            <w:vMerge w:val="continue"/>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100" w:type="dxa"/>
            <w:vAlign w:val="bottom"/>
            <w:tcBorders>
              <w:top w:val="single" w:sz="8" w:color="CCCCFF"/>
              <w:right w:val="single" w:sz="8" w:color="CCCCFF"/>
            </w:tcBorders>
            <w:gridSpan w:val="7"/>
            <w:vMerge w:val="restart"/>
            <w:shd w:val="clear" w:color="auto" w:fill="CCCCFF"/>
          </w:tcPr>
          <w:p>
            <w:pPr>
              <w:jc w:val="center"/>
              <w:spacing w:after="0" w:line="156" w:lineRule="exact"/>
              <w:rPr>
                <w:sz w:val="20"/>
                <w:szCs w:val="20"/>
                <w:color w:val="auto"/>
              </w:rPr>
            </w:pPr>
            <w:r>
              <w:rPr>
                <w:rFonts w:ascii="Times New Roman" w:cs="Times New Roman" w:eastAsia="Times New Roman" w:hAnsi="Times New Roman"/>
                <w:sz w:val="18"/>
                <w:szCs w:val="18"/>
                <w:color w:val="0000FF"/>
              </w:rPr>
              <w:t>7.31250%</w:t>
            </w:r>
          </w:p>
        </w:tc>
        <w:tc>
          <w:tcPr>
            <w:tcW w:w="120" w:type="dxa"/>
            <w:vAlign w:val="bottom"/>
            <w:tcBorders>
              <w:top w:val="single" w:sz="8" w:color="CCCCFF"/>
              <w:right w:val="single" w:sz="8" w:color="auto"/>
            </w:tcBorders>
            <w:shd w:val="clear" w:color="auto" w:fill="CCCCFF"/>
          </w:tcPr>
          <w:p>
            <w:pPr>
              <w:spacing w:after="0"/>
              <w:rPr>
                <w:sz w:val="6"/>
                <w:szCs w:val="6"/>
                <w:color w:val="auto"/>
              </w:rPr>
            </w:pPr>
          </w:p>
        </w:tc>
        <w:tc>
          <w:tcPr>
            <w:tcW w:w="10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69,900,000</w:t>
            </w: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1120" w:type="dxa"/>
            <w:vAlign w:val="bottom"/>
            <w:tcBorders>
              <w:top w:val="single" w:sz="8" w:color="CCCCFF"/>
              <w:right w:val="single" w:sz="8" w:color="CCCCFF"/>
            </w:tcBorders>
            <w:gridSpan w:val="8"/>
            <w:vMerge w:val="restart"/>
            <w:shd w:val="clear" w:color="auto" w:fill="CCCC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0000FF"/>
                <w:w w:val="99"/>
              </w:rPr>
              <w:t>7.7667%</w:t>
            </w:r>
          </w:p>
        </w:tc>
        <w:tc>
          <w:tcPr>
            <w:tcW w:w="160" w:type="dxa"/>
            <w:vAlign w:val="bottom"/>
            <w:tcBorders>
              <w:top w:val="single" w:sz="8" w:color="CCCCFF"/>
              <w:right w:val="single" w:sz="8" w:color="auto"/>
            </w:tcBorders>
            <w:shd w:val="clear" w:color="auto" w:fill="CCCCFF"/>
          </w:tcPr>
          <w:p>
            <w:pPr>
              <w:spacing w:after="0"/>
              <w:rPr>
                <w:sz w:val="6"/>
                <w:szCs w:val="6"/>
                <w:color w:val="auto"/>
              </w:rPr>
            </w:pPr>
          </w:p>
        </w:tc>
        <w:tc>
          <w:tcPr>
            <w:tcW w:w="11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186,900,000</w:t>
            </w:r>
          </w:p>
        </w:tc>
        <w:tc>
          <w:tcPr>
            <w:tcW w:w="20" w:type="dxa"/>
            <w:vAlign w:val="bottom"/>
            <w:tcBorders>
              <w:top w:val="single" w:sz="8" w:color="CCCCFF"/>
            </w:tcBorders>
            <w:shd w:val="clear" w:color="auto" w:fill="CCCCFF"/>
          </w:tcPr>
          <w:p>
            <w:pPr>
              <w:spacing w:after="0"/>
              <w:rPr>
                <w:sz w:val="6"/>
                <w:szCs w:val="6"/>
                <w:color w:val="auto"/>
              </w:rPr>
            </w:pP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400" w:type="dxa"/>
            <w:vAlign w:val="bottom"/>
            <w:tcBorders>
              <w:top w:val="single" w:sz="8" w:color="0000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6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340" w:type="dxa"/>
            <w:vAlign w:val="bottom"/>
            <w:shd w:val="clear" w:color="auto" w:fill="FFCCCC"/>
          </w:tcPr>
          <w:p>
            <w:pPr>
              <w:spacing w:after="0"/>
              <w:rPr>
                <w:sz w:val="10"/>
                <w:szCs w:val="10"/>
                <w:color w:val="auto"/>
              </w:rPr>
            </w:pPr>
          </w:p>
        </w:tc>
        <w:tc>
          <w:tcPr>
            <w:tcW w:w="840" w:type="dxa"/>
            <w:vAlign w:val="bottom"/>
            <w:shd w:val="clear" w:color="auto" w:fill="FFCCCC"/>
          </w:tcPr>
          <w:p>
            <w:pPr>
              <w:spacing w:after="0"/>
              <w:rPr>
                <w:sz w:val="10"/>
                <w:szCs w:val="10"/>
                <w:color w:val="auto"/>
              </w:rPr>
            </w:pPr>
          </w:p>
        </w:tc>
        <w:tc>
          <w:tcPr>
            <w:tcW w:w="260" w:type="dxa"/>
            <w:vAlign w:val="bottom"/>
            <w:tcBorders>
              <w:right w:val="single" w:sz="8" w:color="FFCCCC"/>
            </w:tcBorders>
            <w:shd w:val="clear" w:color="auto" w:fill="FFCCCC"/>
          </w:tcPr>
          <w:p>
            <w:pPr>
              <w:spacing w:after="0"/>
              <w:rPr>
                <w:sz w:val="10"/>
                <w:szCs w:val="10"/>
                <w:color w:val="auto"/>
              </w:rPr>
            </w:pPr>
          </w:p>
        </w:tc>
        <w:tc>
          <w:tcPr>
            <w:tcW w:w="100" w:type="dxa"/>
            <w:vAlign w:val="bottom"/>
            <w:tcBorders>
              <w:right w:val="single" w:sz="8" w:color="auto"/>
            </w:tcBorders>
            <w:shd w:val="clear" w:color="auto" w:fill="FFCCCC"/>
          </w:tcPr>
          <w:p>
            <w:pPr>
              <w:spacing w:after="0"/>
              <w:rPr>
                <w:sz w:val="10"/>
                <w:szCs w:val="10"/>
                <w:color w:val="auto"/>
              </w:rPr>
            </w:pPr>
          </w:p>
        </w:tc>
        <w:tc>
          <w:tcPr>
            <w:tcW w:w="1400" w:type="dxa"/>
            <w:vAlign w:val="bottom"/>
            <w:gridSpan w:val="8"/>
            <w:vMerge w:val="restart"/>
          </w:tcPr>
          <w:p>
            <w:pPr>
              <w:jc w:val="center"/>
              <w:ind w:left="330"/>
              <w:spacing w:after="0" w:line="194" w:lineRule="exact"/>
              <w:rPr>
                <w:sz w:val="20"/>
                <w:szCs w:val="20"/>
                <w:color w:val="auto"/>
              </w:rPr>
            </w:pP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117,000,000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00" w:type="dxa"/>
            <w:vAlign w:val="bottom"/>
            <w:tcBorders>
              <w:right w:val="single" w:sz="8" w:color="CCCCFF"/>
            </w:tcBorders>
            <w:gridSpan w:val="7"/>
            <w:vMerge w:val="continue"/>
            <w:shd w:val="clear" w:color="auto" w:fill="CCCCFF"/>
          </w:tcPr>
          <w:p>
            <w:pPr>
              <w:spacing w:after="0"/>
              <w:rPr>
                <w:sz w:val="10"/>
                <w:szCs w:val="10"/>
                <w:color w:val="auto"/>
              </w:rPr>
            </w:pPr>
          </w:p>
        </w:tc>
        <w:tc>
          <w:tcPr>
            <w:tcW w:w="120" w:type="dxa"/>
            <w:vAlign w:val="bottom"/>
            <w:tcBorders>
              <w:right w:val="single" w:sz="8" w:color="auto"/>
            </w:tcBorders>
            <w:shd w:val="clear" w:color="auto" w:fill="CCCCFF"/>
          </w:tcPr>
          <w:p>
            <w:pPr>
              <w:spacing w:after="0"/>
              <w:rPr>
                <w:sz w:val="10"/>
                <w:szCs w:val="10"/>
                <w:color w:val="auto"/>
              </w:rPr>
            </w:pPr>
          </w:p>
        </w:tc>
        <w:tc>
          <w:tcPr>
            <w:tcW w:w="1040" w:type="dxa"/>
            <w:vAlign w:val="bottom"/>
            <w:gridSpan w:val="8"/>
            <w:vMerge w:val="continue"/>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1120" w:type="dxa"/>
            <w:vAlign w:val="bottom"/>
            <w:tcBorders>
              <w:right w:val="single" w:sz="8" w:color="CCCCFF"/>
            </w:tcBorders>
            <w:gridSpan w:val="8"/>
            <w:vMerge w:val="continue"/>
            <w:shd w:val="clear" w:color="auto" w:fill="CCCCFF"/>
          </w:tcPr>
          <w:p>
            <w:pPr>
              <w:spacing w:after="0"/>
              <w:rPr>
                <w:sz w:val="10"/>
                <w:szCs w:val="10"/>
                <w:color w:val="auto"/>
              </w:rPr>
            </w:pPr>
          </w:p>
        </w:tc>
        <w:tc>
          <w:tcPr>
            <w:tcW w:w="160" w:type="dxa"/>
            <w:vAlign w:val="bottom"/>
            <w:tcBorders>
              <w:right w:val="single" w:sz="8" w:color="auto"/>
            </w:tcBorders>
            <w:shd w:val="clear" w:color="auto" w:fill="CCCCFF"/>
          </w:tcPr>
          <w:p>
            <w:pPr>
              <w:spacing w:after="0"/>
              <w:rPr>
                <w:sz w:val="10"/>
                <w:szCs w:val="10"/>
                <w:color w:val="auto"/>
              </w:rPr>
            </w:pPr>
          </w:p>
        </w:tc>
        <w:tc>
          <w:tcPr>
            <w:tcW w:w="1140" w:type="dxa"/>
            <w:vAlign w:val="bottom"/>
            <w:gridSpan w:val="8"/>
            <w:vMerge w:val="continue"/>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4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6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tcPr>
          <w:p>
            <w:pPr>
              <w:spacing w:after="0"/>
              <w:rPr>
                <w:sz w:val="4"/>
                <w:szCs w:val="4"/>
                <w:color w:val="auto"/>
              </w:rPr>
            </w:pPr>
          </w:p>
        </w:tc>
        <w:tc>
          <w:tcPr>
            <w:tcW w:w="150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Association</w:t>
            </w:r>
          </w:p>
        </w:tc>
        <w:tc>
          <w:tcPr>
            <w:tcW w:w="1440" w:type="dxa"/>
            <w:vAlign w:val="bottom"/>
            <w:tcBorders>
              <w:top w:val="single" w:sz="8" w:color="FFCCCC"/>
              <w:right w:val="single" w:sz="8" w:color="FFCCCC"/>
            </w:tcBorders>
            <w:gridSpan w:val="3"/>
            <w:shd w:val="clear" w:color="auto" w:fill="FFCCCC"/>
          </w:tcPr>
          <w:p>
            <w:pPr>
              <w:spacing w:after="0"/>
              <w:rPr>
                <w:sz w:val="4"/>
                <w:szCs w:val="4"/>
                <w:color w:val="auto"/>
              </w:rPr>
            </w:pPr>
          </w:p>
        </w:tc>
        <w:tc>
          <w:tcPr>
            <w:tcW w:w="100" w:type="dxa"/>
            <w:vAlign w:val="bottom"/>
            <w:tcBorders>
              <w:top w:val="single" w:sz="8" w:color="FFCCCC"/>
              <w:right w:val="single" w:sz="8" w:color="auto"/>
            </w:tcBorders>
            <w:shd w:val="clear" w:color="auto" w:fill="FFCCCC"/>
          </w:tcPr>
          <w:p>
            <w:pPr>
              <w:spacing w:after="0"/>
              <w:rPr>
                <w:sz w:val="4"/>
                <w:szCs w:val="4"/>
                <w:color w:val="auto"/>
              </w:rPr>
            </w:pPr>
          </w:p>
        </w:tc>
        <w:tc>
          <w:tcPr>
            <w:tcW w:w="1400" w:type="dxa"/>
            <w:vAlign w:val="bottom"/>
            <w:gridSpan w:val="8"/>
            <w:vMerge w:val="continue"/>
          </w:tcPr>
          <w:p>
            <w:pPr>
              <w:spacing w:after="0"/>
              <w:rPr>
                <w:sz w:val="4"/>
                <w:szCs w:val="4"/>
                <w:color w:val="auto"/>
              </w:rPr>
            </w:pPr>
          </w:p>
        </w:tc>
        <w:tc>
          <w:tcPr>
            <w:tcW w:w="440" w:type="dxa"/>
            <w:vAlign w:val="bottom"/>
            <w:tcBorders>
              <w:right w:val="single" w:sz="8" w:color="auto"/>
            </w:tcBorders>
            <w:gridSpan w:val="3"/>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520" w:type="dxa"/>
            <w:vAlign w:val="bottom"/>
            <w:tcBorders>
              <w:top w:val="single" w:sz="8" w:color="0000FF"/>
              <w:right w:val="single" w:sz="8" w:color="CCCCFF"/>
            </w:tcBorders>
            <w:shd w:val="clear" w:color="auto" w:fill="CCCCFF"/>
          </w:tcPr>
          <w:p>
            <w:pPr>
              <w:spacing w:after="0"/>
              <w:rPr>
                <w:sz w:val="4"/>
                <w:szCs w:val="4"/>
                <w:color w:val="auto"/>
              </w:rPr>
            </w:pPr>
          </w:p>
        </w:tc>
        <w:tc>
          <w:tcPr>
            <w:tcW w:w="300" w:type="dxa"/>
            <w:vAlign w:val="bottom"/>
            <w:tcBorders>
              <w:top w:val="single" w:sz="8" w:color="0000FF"/>
              <w:right w:val="single" w:sz="8" w:color="CCCCFF"/>
            </w:tcBorders>
            <w:shd w:val="clear" w:color="auto" w:fill="CCCCFF"/>
          </w:tcPr>
          <w:p>
            <w:pPr>
              <w:spacing w:after="0"/>
              <w:rPr>
                <w:sz w:val="4"/>
                <w:szCs w:val="4"/>
                <w:color w:val="auto"/>
              </w:rPr>
            </w:pPr>
          </w:p>
        </w:tc>
        <w:tc>
          <w:tcPr>
            <w:tcW w:w="12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3"/>
            <w:shd w:val="clear" w:color="auto" w:fill="CCCCFF"/>
          </w:tcPr>
          <w:p>
            <w:pPr>
              <w:spacing w:after="0"/>
              <w:rPr>
                <w:sz w:val="4"/>
                <w:szCs w:val="4"/>
                <w:color w:val="auto"/>
              </w:rPr>
            </w:pPr>
          </w:p>
        </w:tc>
        <w:tc>
          <w:tcPr>
            <w:tcW w:w="900" w:type="dxa"/>
            <w:vAlign w:val="bottom"/>
            <w:tcBorders>
              <w:top w:val="single" w:sz="8" w:color="0000FF"/>
            </w:tcBorders>
            <w:gridSpan w:val="5"/>
            <w:shd w:val="clear" w:color="auto" w:fill="CCCCFF"/>
          </w:tcPr>
          <w:p>
            <w:pPr>
              <w:spacing w:after="0"/>
              <w:rPr>
                <w:sz w:val="4"/>
                <w:szCs w:val="4"/>
                <w:color w:val="auto"/>
              </w:rPr>
            </w:pPr>
          </w:p>
        </w:tc>
        <w:tc>
          <w:tcPr>
            <w:tcW w:w="160" w:type="dxa"/>
            <w:vAlign w:val="bottom"/>
            <w:tcBorders>
              <w:top w:val="single" w:sz="8" w:color="CCCCFF"/>
              <w:right w:val="single" w:sz="8" w:color="auto"/>
            </w:tcBorders>
            <w:gridSpan w:val="3"/>
            <w:shd w:val="clear" w:color="auto" w:fill="CCCCFF"/>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840" w:type="dxa"/>
            <w:vAlign w:val="bottom"/>
            <w:tcBorders>
              <w:top w:val="single" w:sz="8" w:color="0000FF"/>
              <w:left w:val="single" w:sz="8" w:color="CCCCFF"/>
              <w:right w:val="single" w:sz="8" w:color="CCCCFF"/>
            </w:tcBorders>
            <w:gridSpan w:val="3"/>
            <w:shd w:val="clear" w:color="auto" w:fill="CCCCFF"/>
          </w:tcPr>
          <w:p>
            <w:pPr>
              <w:spacing w:after="0"/>
              <w:rPr>
                <w:sz w:val="4"/>
                <w:szCs w:val="4"/>
                <w:color w:val="auto"/>
              </w:rPr>
            </w:pPr>
          </w:p>
        </w:tc>
        <w:tc>
          <w:tcPr>
            <w:tcW w:w="16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2"/>
            <w:shd w:val="clear" w:color="auto" w:fill="CCCCFF"/>
          </w:tcPr>
          <w:p>
            <w:pPr>
              <w:spacing w:after="0"/>
              <w:rPr>
                <w:sz w:val="4"/>
                <w:szCs w:val="4"/>
                <w:color w:val="auto"/>
              </w:rPr>
            </w:pPr>
          </w:p>
        </w:tc>
        <w:tc>
          <w:tcPr>
            <w:tcW w:w="1000" w:type="dxa"/>
            <w:vAlign w:val="bottom"/>
            <w:tcBorders>
              <w:top w:val="single" w:sz="8" w:color="0000FF"/>
            </w:tcBorders>
            <w:gridSpan w:val="6"/>
            <w:shd w:val="clear" w:color="auto" w:fill="CCCCFF"/>
          </w:tcPr>
          <w:p>
            <w:pPr>
              <w:spacing w:after="0"/>
              <w:rPr>
                <w:sz w:val="4"/>
                <w:szCs w:val="4"/>
                <w:color w:val="auto"/>
              </w:rPr>
            </w:pPr>
          </w:p>
        </w:tc>
        <w:tc>
          <w:tcPr>
            <w:tcW w:w="180" w:type="dxa"/>
            <w:vAlign w:val="bottom"/>
            <w:tcBorders>
              <w:top w:val="single" w:sz="8" w:color="CCCCFF"/>
              <w:right w:val="single" w:sz="8" w:color="auto"/>
            </w:tcBorders>
            <w:gridSpan w:val="4"/>
            <w:shd w:val="clear" w:color="auto" w:fill="CCCCFF"/>
          </w:tcPr>
          <w:p>
            <w:pPr>
              <w:spacing w:after="0"/>
              <w:rPr>
                <w:sz w:val="4"/>
                <w:szCs w:val="4"/>
                <w:color w:val="auto"/>
              </w:rPr>
            </w:pPr>
          </w:p>
        </w:tc>
        <w:tc>
          <w:tcPr>
            <w:tcW w:w="1220" w:type="dxa"/>
            <w:vAlign w:val="bottom"/>
            <w:tcBorders>
              <w:top w:val="single" w:sz="8" w:color="CCCCFF"/>
              <w:right w:val="single" w:sz="8" w:color="auto"/>
            </w:tcBorders>
            <w:gridSpan w:val="12"/>
            <w:shd w:val="clear" w:color="auto" w:fill="CCCC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vMerge w:val="restart"/>
          </w:tcPr>
          <w:p>
            <w:pPr>
              <w:spacing w:after="0" w:line="20" w:lineRule="exact"/>
              <w:rPr>
                <w:sz w:val="1"/>
                <w:szCs w:val="1"/>
                <w:color w:val="auto"/>
              </w:rPr>
            </w:pPr>
          </w:p>
        </w:tc>
        <w:tc>
          <w:tcPr>
            <w:tcW w:w="1500" w:type="dxa"/>
            <w:vAlign w:val="bottom"/>
            <w:tcBorders>
              <w:right w:val="single" w:sz="8" w:color="auto"/>
            </w:tcBorders>
            <w:gridSpan w:val="2"/>
            <w:vMerge w:val="continue"/>
          </w:tcPr>
          <w:p>
            <w:pPr>
              <w:spacing w:after="0" w:line="20" w:lineRule="exact"/>
              <w:rPr>
                <w:sz w:val="1"/>
                <w:szCs w:val="1"/>
                <w:color w:val="auto"/>
              </w:rPr>
            </w:pPr>
          </w:p>
        </w:tc>
        <w:tc>
          <w:tcPr>
            <w:tcW w:w="1440" w:type="dxa"/>
            <w:vAlign w:val="bottom"/>
            <w:tcBorders>
              <w:top w:val="single" w:sz="8" w:color="FFCCCC"/>
              <w:bottom w:val="single" w:sz="8" w:color="FFCCCC"/>
              <w:right w:val="single" w:sz="8" w:color="FFCCCC"/>
            </w:tcBorders>
            <w:gridSpan w:val="3"/>
            <w:shd w:val="clear" w:color="auto" w:fill="FFCCCC"/>
          </w:tcPr>
          <w:p>
            <w:pPr>
              <w:spacing w:after="0" w:line="20" w:lineRule="exact"/>
              <w:rPr>
                <w:sz w:val="1"/>
                <w:szCs w:val="1"/>
                <w:color w:val="auto"/>
              </w:rPr>
            </w:pPr>
          </w:p>
        </w:tc>
        <w:tc>
          <w:tcPr>
            <w:tcW w:w="100" w:type="dxa"/>
            <w:vAlign w:val="bottom"/>
            <w:tcBorders>
              <w:top w:val="single" w:sz="8" w:color="FFCCCC"/>
              <w:bottom w:val="single" w:sz="8" w:color="FFCCCC"/>
              <w:right w:val="single" w:sz="8" w:color="auto"/>
            </w:tcBorders>
            <w:shd w:val="clear" w:color="auto" w:fill="FFCCCC"/>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80" w:type="dxa"/>
            <w:vAlign w:val="bottom"/>
            <w:tcBorders>
              <w:top w:val="single" w:sz="8" w:color="0000FF"/>
              <w:bottom w:val="single" w:sz="8" w:color="0000FF"/>
            </w:tcBorders>
            <w:gridSpan w:val="5"/>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52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30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12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200" w:type="dxa"/>
            <w:vAlign w:val="bottom"/>
            <w:tcBorders>
              <w:top w:val="single" w:sz="8" w:color="CCCCFF"/>
              <w:bottom w:val="single" w:sz="8" w:color="CCCCFF"/>
              <w:right w:val="single" w:sz="8" w:color="auto"/>
            </w:tcBorders>
            <w:gridSpan w:val="11"/>
            <w:shd w:val="clear" w:color="auto" w:fill="CCCCFF"/>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840" w:type="dxa"/>
            <w:vAlign w:val="bottom"/>
            <w:tcBorders>
              <w:top w:val="single" w:sz="8" w:color="CCCCFF"/>
              <w:left w:val="single" w:sz="8" w:color="CCCCFF"/>
              <w:bottom w:val="single" w:sz="8" w:color="CCCCFF"/>
              <w:right w:val="single" w:sz="8" w:color="CCCCFF"/>
            </w:tcBorders>
            <w:gridSpan w:val="3"/>
            <w:shd w:val="clear" w:color="auto" w:fill="CCCCFF"/>
          </w:tcPr>
          <w:p>
            <w:pPr>
              <w:spacing w:after="0" w:line="20" w:lineRule="exact"/>
              <w:rPr>
                <w:sz w:val="1"/>
                <w:szCs w:val="1"/>
                <w:color w:val="auto"/>
              </w:rPr>
            </w:pPr>
          </w:p>
        </w:tc>
        <w:tc>
          <w:tcPr>
            <w:tcW w:w="16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3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12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bottom w:val="single" w:sz="8" w:color="auto"/>
            </w:tcBorders>
            <w:vMerge w:val="continue"/>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bottom w:val="single" w:sz="8" w:color="auto"/>
              <w:right w:val="single" w:sz="8" w:color="auto"/>
            </w:tcBorders>
            <w:shd w:val="clear" w:color="auto" w:fill="FFCCCC"/>
          </w:tcPr>
          <w:p>
            <w:pPr>
              <w:spacing w:after="0"/>
              <w:rPr>
                <w:sz w:val="7"/>
                <w:szCs w:val="7"/>
                <w:color w:val="auto"/>
              </w:rPr>
            </w:pPr>
          </w:p>
        </w:tc>
        <w:tc>
          <w:tcPr>
            <w:tcW w:w="1840" w:type="dxa"/>
            <w:vAlign w:val="bottom"/>
            <w:tcBorders>
              <w:bottom w:val="single" w:sz="8" w:color="auto"/>
              <w:right w:val="single" w:sz="8" w:color="auto"/>
            </w:tcBorders>
            <w:gridSpan w:val="11"/>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bottom w:val="single" w:sz="8" w:color="auto"/>
              <w:right w:val="single" w:sz="8" w:color="CCCCFF"/>
            </w:tcBorders>
            <w:shd w:val="clear" w:color="auto" w:fill="CCCCFF"/>
          </w:tcPr>
          <w:p>
            <w:pPr>
              <w:spacing w:after="0"/>
              <w:rPr>
                <w:sz w:val="7"/>
                <w:szCs w:val="7"/>
                <w:color w:val="auto"/>
              </w:rPr>
            </w:pPr>
          </w:p>
        </w:tc>
        <w:tc>
          <w:tcPr>
            <w:tcW w:w="300" w:type="dxa"/>
            <w:vAlign w:val="bottom"/>
            <w:tcBorders>
              <w:bottom w:val="single" w:sz="8" w:color="auto"/>
              <w:right w:val="single" w:sz="8" w:color="CCCCFF"/>
            </w:tcBorders>
            <w:shd w:val="clear" w:color="auto" w:fill="CCCCFF"/>
          </w:tcPr>
          <w:p>
            <w:pPr>
              <w:spacing w:after="0"/>
              <w:rPr>
                <w:sz w:val="7"/>
                <w:szCs w:val="7"/>
                <w:color w:val="auto"/>
              </w:rPr>
            </w:pPr>
          </w:p>
        </w:tc>
        <w:tc>
          <w:tcPr>
            <w:tcW w:w="120" w:type="dxa"/>
            <w:vAlign w:val="bottom"/>
            <w:tcBorders>
              <w:bottom w:val="single" w:sz="8" w:color="auto"/>
              <w:right w:val="single" w:sz="8" w:color="auto"/>
            </w:tcBorders>
            <w:shd w:val="clear" w:color="auto" w:fill="CCCCFF"/>
          </w:tcPr>
          <w:p>
            <w:pPr>
              <w:spacing w:after="0"/>
              <w:rPr>
                <w:sz w:val="7"/>
                <w:szCs w:val="7"/>
                <w:color w:val="auto"/>
              </w:rPr>
            </w:pPr>
          </w:p>
        </w:tc>
        <w:tc>
          <w:tcPr>
            <w:tcW w:w="1200" w:type="dxa"/>
            <w:vAlign w:val="bottom"/>
            <w:tcBorders>
              <w:bottom w:val="single" w:sz="8" w:color="auto"/>
              <w:right w:val="single" w:sz="8" w:color="auto"/>
            </w:tcBorders>
            <w:gridSpan w:val="11"/>
            <w:shd w:val="clear" w:color="auto" w:fill="CCCCFF"/>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bottom w:val="single" w:sz="8" w:color="auto"/>
              <w:right w:val="single" w:sz="8" w:color="auto"/>
            </w:tcBorders>
            <w:shd w:val="clear" w:color="auto" w:fill="CCCCFF"/>
          </w:tcPr>
          <w:p>
            <w:pPr>
              <w:spacing w:after="0"/>
              <w:rPr>
                <w:sz w:val="7"/>
                <w:szCs w:val="7"/>
                <w:color w:val="auto"/>
              </w:rPr>
            </w:pPr>
          </w:p>
        </w:tc>
        <w:tc>
          <w:tcPr>
            <w:tcW w:w="13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12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Bank of America,</w:t>
            </w:r>
          </w:p>
        </w:tc>
        <w:tc>
          <w:tcPr>
            <w:tcW w:w="1440" w:type="dxa"/>
            <w:vAlign w:val="bottom"/>
            <w:tcBorders>
              <w:right w:val="single" w:sz="8" w:color="FFCCCC"/>
            </w:tcBorders>
            <w:gridSpan w:val="3"/>
            <w:shd w:val="clear" w:color="auto" w:fill="FFCCCC"/>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right w:val="single" w:sz="8" w:color="auto"/>
            </w:tcBorders>
            <w:shd w:val="clear" w:color="auto" w:fill="CCCCFF"/>
          </w:tcPr>
          <w:p>
            <w:pPr>
              <w:spacing w:after="0"/>
              <w:rPr>
                <w:sz w:val="18"/>
                <w:szCs w:val="18"/>
                <w:color w:val="auto"/>
              </w:rPr>
            </w:pPr>
          </w:p>
        </w:tc>
        <w:tc>
          <w:tcPr>
            <w:tcW w:w="11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69"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40" w:type="dxa"/>
            <w:vAlign w:val="bottom"/>
            <w:tcBorders>
              <w:top w:val="single" w:sz="8" w:color="CCCCFF"/>
            </w:tcBorders>
            <w:gridSpan w:val="8"/>
            <w:vMerge w:val="continue"/>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Barclays Bank</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right w:val="single" w:sz="8" w:color="auto"/>
            </w:tcBorders>
            <w:shd w:val="clear" w:color="auto" w:fill="CCCCFF"/>
          </w:tcPr>
          <w:p>
            <w:pPr>
              <w:spacing w:after="0"/>
              <w:rPr>
                <w:sz w:val="18"/>
                <w:szCs w:val="18"/>
                <w:color w:val="auto"/>
              </w:rPr>
            </w:pPr>
          </w:p>
        </w:tc>
        <w:tc>
          <w:tcPr>
            <w:tcW w:w="11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PLC</w:t>
            </w: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40" w:type="dxa"/>
            <w:vAlign w:val="bottom"/>
            <w:tcBorders>
              <w:top w:val="single" w:sz="8" w:color="CCCCFF"/>
            </w:tcBorders>
            <w:gridSpan w:val="8"/>
            <w:vMerge w:val="continue"/>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Capital One,</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CCCCFF"/>
            </w:tcBorders>
            <w:shd w:val="clear" w:color="auto" w:fill="CCCCFF"/>
          </w:tcPr>
          <w:p>
            <w:pPr>
              <w:spacing w:after="0"/>
              <w:rPr>
                <w:sz w:val="18"/>
                <w:szCs w:val="18"/>
                <w:color w:val="auto"/>
              </w:rPr>
            </w:pPr>
          </w:p>
        </w:tc>
        <w:tc>
          <w:tcPr>
            <w:tcW w:w="520" w:type="dxa"/>
            <w:vAlign w:val="bottom"/>
            <w:tcBorders>
              <w:right w:val="single" w:sz="8" w:color="CCCCFF"/>
            </w:tcBorders>
            <w:shd w:val="clear" w:color="auto" w:fill="CCCCFF"/>
          </w:tcPr>
          <w:p>
            <w:pPr>
              <w:spacing w:after="0"/>
              <w:rPr>
                <w:sz w:val="18"/>
                <w:szCs w:val="18"/>
                <w:color w:val="auto"/>
              </w:rPr>
            </w:pPr>
          </w:p>
        </w:tc>
        <w:tc>
          <w:tcPr>
            <w:tcW w:w="300" w:type="dxa"/>
            <w:vAlign w:val="bottom"/>
            <w:tcBorders>
              <w:right w:val="single" w:sz="8" w:color="CCCCFF"/>
            </w:tcBorders>
            <w:shd w:val="clear" w:color="auto" w:fill="CCCCFF"/>
          </w:tcPr>
          <w:p>
            <w:pPr>
              <w:spacing w:after="0"/>
              <w:rPr>
                <w:sz w:val="18"/>
                <w:szCs w:val="18"/>
                <w:color w:val="auto"/>
              </w:rPr>
            </w:pPr>
          </w:p>
        </w:tc>
        <w:tc>
          <w:tcPr>
            <w:tcW w:w="12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0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tcBorders>
              <w:right w:val="single" w:sz="8" w:color="CCCCFF"/>
            </w:tcBorders>
            <w:shd w:val="clear" w:color="auto" w:fill="CCCCFF"/>
          </w:tcPr>
          <w:p>
            <w:pPr>
              <w:spacing w:after="0"/>
              <w:rPr>
                <w:sz w:val="18"/>
                <w:szCs w:val="18"/>
                <w:color w:val="auto"/>
              </w:rPr>
            </w:pPr>
          </w:p>
        </w:tc>
        <w:tc>
          <w:tcPr>
            <w:tcW w:w="260" w:type="dxa"/>
            <w:vAlign w:val="bottom"/>
            <w:tcBorders>
              <w:left w:val="single" w:sz="8" w:color="CCCCFF"/>
            </w:tcBorders>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400" w:type="dxa"/>
            <w:vAlign w:val="bottom"/>
            <w:tcBorders>
              <w:right w:val="single" w:sz="8" w:color="CCCCFF"/>
            </w:tcBorders>
            <w:shd w:val="clear" w:color="auto" w:fill="CCCCFF"/>
          </w:tcPr>
          <w:p>
            <w:pPr>
              <w:spacing w:after="0"/>
              <w:rPr>
                <w:sz w:val="18"/>
                <w:szCs w:val="18"/>
                <w:color w:val="auto"/>
              </w:rPr>
            </w:pPr>
          </w:p>
        </w:tc>
        <w:tc>
          <w:tcPr>
            <w:tcW w:w="16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20" w:type="dxa"/>
            <w:vAlign w:val="bottom"/>
            <w:shd w:val="clear" w:color="auto" w:fill="CCCCFF"/>
          </w:tcPr>
          <w:p>
            <w:pPr>
              <w:spacing w:after="0"/>
              <w:rPr>
                <w:sz w:val="18"/>
                <w:szCs w:val="18"/>
                <w:color w:val="auto"/>
              </w:rPr>
            </w:pPr>
          </w:p>
        </w:tc>
        <w:tc>
          <w:tcPr>
            <w:tcW w:w="40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National</w:t>
            </w:r>
          </w:p>
        </w:tc>
        <w:tc>
          <w:tcPr>
            <w:tcW w:w="340" w:type="dxa"/>
            <w:vAlign w:val="bottom"/>
            <w:tcBorders>
              <w:top w:val="single" w:sz="8" w:color="FFCCCC"/>
            </w:tcBorders>
            <w:shd w:val="clear" w:color="auto" w:fill="FFCCCC"/>
          </w:tcPr>
          <w:p>
            <w:pPr>
              <w:spacing w:after="0"/>
              <w:rPr>
                <w:sz w:val="6"/>
                <w:szCs w:val="6"/>
                <w:color w:val="auto"/>
              </w:rPr>
            </w:pPr>
          </w:p>
        </w:tc>
        <w:tc>
          <w:tcPr>
            <w:tcW w:w="840" w:type="dxa"/>
            <w:vAlign w:val="bottom"/>
            <w:tcBorders>
              <w:top w:val="single" w:sz="8" w:color="FFCCCC"/>
            </w:tcBorders>
            <w:shd w:val="clear" w:color="auto" w:fill="FFCCCC"/>
          </w:tcPr>
          <w:p>
            <w:pPr>
              <w:spacing w:after="0"/>
              <w:rPr>
                <w:sz w:val="6"/>
                <w:szCs w:val="6"/>
                <w:color w:val="auto"/>
              </w:rPr>
            </w:pPr>
          </w:p>
        </w:tc>
        <w:tc>
          <w:tcPr>
            <w:tcW w:w="260" w:type="dxa"/>
            <w:vAlign w:val="bottom"/>
            <w:tcBorders>
              <w:top w:val="single" w:sz="8" w:color="FFCCCC"/>
              <w:right w:val="single" w:sz="8" w:color="FFCCCC"/>
            </w:tcBorders>
            <w:shd w:val="clear" w:color="auto" w:fill="FFCCCC"/>
          </w:tcPr>
          <w:p>
            <w:pPr>
              <w:spacing w:after="0"/>
              <w:rPr>
                <w:sz w:val="6"/>
                <w:szCs w:val="6"/>
                <w:color w:val="auto"/>
              </w:rPr>
            </w:pPr>
          </w:p>
        </w:tc>
        <w:tc>
          <w:tcPr>
            <w:tcW w:w="100" w:type="dxa"/>
            <w:vAlign w:val="bottom"/>
            <w:tcBorders>
              <w:top w:val="single" w:sz="8" w:color="FFCCCC"/>
              <w:right w:val="single" w:sz="8" w:color="auto"/>
            </w:tcBorders>
            <w:shd w:val="clear" w:color="auto" w:fill="FFCCCC"/>
          </w:tcPr>
          <w:p>
            <w:pPr>
              <w:spacing w:after="0"/>
              <w:rPr>
                <w:sz w:val="6"/>
                <w:szCs w:val="6"/>
                <w:color w:val="auto"/>
              </w:rPr>
            </w:pPr>
          </w:p>
        </w:tc>
        <w:tc>
          <w:tcPr>
            <w:tcW w:w="340" w:type="dxa"/>
            <w:vAlign w:val="bottom"/>
            <w:gridSpan w:val="2"/>
          </w:tcPr>
          <w:p>
            <w:pPr>
              <w:spacing w:after="0"/>
              <w:rPr>
                <w:sz w:val="6"/>
                <w:szCs w:val="6"/>
                <w:color w:val="auto"/>
              </w:rPr>
            </w:pPr>
          </w:p>
        </w:tc>
        <w:tc>
          <w:tcPr>
            <w:tcW w:w="112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100" w:type="dxa"/>
            <w:vAlign w:val="bottom"/>
            <w:tcBorders>
              <w:top w:val="single" w:sz="8" w:color="CCCCFF"/>
              <w:right w:val="single" w:sz="8" w:color="CCCCFF"/>
            </w:tcBorders>
            <w:gridSpan w:val="7"/>
            <w:vMerge w:val="restart"/>
            <w:shd w:val="clear" w:color="auto" w:fill="CCCCFF"/>
          </w:tcPr>
          <w:p>
            <w:pPr>
              <w:jc w:val="center"/>
              <w:spacing w:after="0" w:line="156" w:lineRule="exact"/>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top w:val="single" w:sz="8" w:color="CCCCFF"/>
              <w:right w:val="single" w:sz="8" w:color="auto"/>
            </w:tcBorders>
            <w:shd w:val="clear" w:color="auto" w:fill="CCCCFF"/>
          </w:tcPr>
          <w:p>
            <w:pPr>
              <w:spacing w:after="0"/>
              <w:rPr>
                <w:sz w:val="6"/>
                <w:szCs w:val="6"/>
                <w:color w:val="auto"/>
              </w:rPr>
            </w:pPr>
          </w:p>
        </w:tc>
        <w:tc>
          <w:tcPr>
            <w:tcW w:w="10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1120" w:type="dxa"/>
            <w:vAlign w:val="bottom"/>
            <w:tcBorders>
              <w:top w:val="single" w:sz="8" w:color="CCCCFF"/>
              <w:right w:val="single" w:sz="8" w:color="CCCCFF"/>
            </w:tcBorders>
            <w:gridSpan w:val="8"/>
            <w:vMerge w:val="restart"/>
            <w:shd w:val="clear" w:color="auto" w:fill="CCCC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top w:val="single" w:sz="8" w:color="CCCCFF"/>
              <w:right w:val="single" w:sz="8" w:color="auto"/>
            </w:tcBorders>
            <w:shd w:val="clear" w:color="auto" w:fill="CCCCFF"/>
          </w:tcPr>
          <w:p>
            <w:pPr>
              <w:spacing w:after="0"/>
              <w:rPr>
                <w:sz w:val="6"/>
                <w:szCs w:val="6"/>
                <w:color w:val="auto"/>
              </w:rPr>
            </w:pPr>
          </w:p>
        </w:tc>
        <w:tc>
          <w:tcPr>
            <w:tcW w:w="11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tcBorders>
              <w:top w:val="single" w:sz="8" w:color="CCCCFF"/>
            </w:tcBorders>
            <w:shd w:val="clear" w:color="auto" w:fill="CCCCFF"/>
          </w:tcPr>
          <w:p>
            <w:pPr>
              <w:spacing w:after="0"/>
              <w:rPr>
                <w:sz w:val="6"/>
                <w:szCs w:val="6"/>
                <w:color w:val="auto"/>
              </w:rPr>
            </w:pP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400" w:type="dxa"/>
            <w:vAlign w:val="bottom"/>
            <w:tcBorders>
              <w:top w:val="single" w:sz="8" w:color="0000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6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340" w:type="dxa"/>
            <w:vAlign w:val="bottom"/>
            <w:shd w:val="clear" w:color="auto" w:fill="FFCCCC"/>
          </w:tcPr>
          <w:p>
            <w:pPr>
              <w:spacing w:after="0"/>
              <w:rPr>
                <w:sz w:val="10"/>
                <w:szCs w:val="10"/>
                <w:color w:val="auto"/>
              </w:rPr>
            </w:pPr>
          </w:p>
        </w:tc>
        <w:tc>
          <w:tcPr>
            <w:tcW w:w="840" w:type="dxa"/>
            <w:vAlign w:val="bottom"/>
            <w:shd w:val="clear" w:color="auto" w:fill="FFCCCC"/>
          </w:tcPr>
          <w:p>
            <w:pPr>
              <w:spacing w:after="0"/>
              <w:rPr>
                <w:sz w:val="10"/>
                <w:szCs w:val="10"/>
                <w:color w:val="auto"/>
              </w:rPr>
            </w:pPr>
          </w:p>
        </w:tc>
        <w:tc>
          <w:tcPr>
            <w:tcW w:w="260" w:type="dxa"/>
            <w:vAlign w:val="bottom"/>
            <w:tcBorders>
              <w:right w:val="single" w:sz="8" w:color="FFCCCC"/>
            </w:tcBorders>
            <w:shd w:val="clear" w:color="auto" w:fill="FFCCCC"/>
          </w:tcPr>
          <w:p>
            <w:pPr>
              <w:spacing w:after="0"/>
              <w:rPr>
                <w:sz w:val="10"/>
                <w:szCs w:val="10"/>
                <w:color w:val="auto"/>
              </w:rPr>
            </w:pPr>
          </w:p>
        </w:tc>
        <w:tc>
          <w:tcPr>
            <w:tcW w:w="100" w:type="dxa"/>
            <w:vAlign w:val="bottom"/>
            <w:tcBorders>
              <w:right w:val="single" w:sz="8" w:color="auto"/>
            </w:tcBorders>
            <w:shd w:val="clear" w:color="auto" w:fill="FFCCCC"/>
          </w:tcPr>
          <w:p>
            <w:pPr>
              <w:spacing w:after="0"/>
              <w:rPr>
                <w:sz w:val="10"/>
                <w:szCs w:val="10"/>
                <w:color w:val="auto"/>
              </w:rPr>
            </w:pPr>
          </w:p>
        </w:tc>
        <w:tc>
          <w:tcPr>
            <w:tcW w:w="1360" w:type="dxa"/>
            <w:vAlign w:val="bottom"/>
            <w:gridSpan w:val="7"/>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00" w:type="dxa"/>
            <w:vAlign w:val="bottom"/>
            <w:tcBorders>
              <w:right w:val="single" w:sz="8" w:color="CCCCFF"/>
            </w:tcBorders>
            <w:gridSpan w:val="7"/>
            <w:vMerge w:val="continue"/>
            <w:shd w:val="clear" w:color="auto" w:fill="CCCCFF"/>
          </w:tcPr>
          <w:p>
            <w:pPr>
              <w:spacing w:after="0"/>
              <w:rPr>
                <w:sz w:val="10"/>
                <w:szCs w:val="10"/>
                <w:color w:val="auto"/>
              </w:rPr>
            </w:pPr>
          </w:p>
        </w:tc>
        <w:tc>
          <w:tcPr>
            <w:tcW w:w="120" w:type="dxa"/>
            <w:vAlign w:val="bottom"/>
            <w:tcBorders>
              <w:right w:val="single" w:sz="8" w:color="auto"/>
            </w:tcBorders>
            <w:shd w:val="clear" w:color="auto" w:fill="CCCCFF"/>
          </w:tcPr>
          <w:p>
            <w:pPr>
              <w:spacing w:after="0"/>
              <w:rPr>
                <w:sz w:val="10"/>
                <w:szCs w:val="10"/>
                <w:color w:val="auto"/>
              </w:rPr>
            </w:pPr>
          </w:p>
        </w:tc>
        <w:tc>
          <w:tcPr>
            <w:tcW w:w="1040" w:type="dxa"/>
            <w:vAlign w:val="bottom"/>
            <w:gridSpan w:val="8"/>
            <w:vMerge w:val="continue"/>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1120" w:type="dxa"/>
            <w:vAlign w:val="bottom"/>
            <w:tcBorders>
              <w:right w:val="single" w:sz="8" w:color="CCCCFF"/>
            </w:tcBorders>
            <w:gridSpan w:val="8"/>
            <w:vMerge w:val="continue"/>
            <w:shd w:val="clear" w:color="auto" w:fill="CCCCFF"/>
          </w:tcPr>
          <w:p>
            <w:pPr>
              <w:spacing w:after="0"/>
              <w:rPr>
                <w:sz w:val="10"/>
                <w:szCs w:val="10"/>
                <w:color w:val="auto"/>
              </w:rPr>
            </w:pPr>
          </w:p>
        </w:tc>
        <w:tc>
          <w:tcPr>
            <w:tcW w:w="160" w:type="dxa"/>
            <w:vAlign w:val="bottom"/>
            <w:tcBorders>
              <w:right w:val="single" w:sz="8" w:color="auto"/>
            </w:tcBorders>
            <w:shd w:val="clear" w:color="auto" w:fill="CCCCFF"/>
          </w:tcPr>
          <w:p>
            <w:pPr>
              <w:spacing w:after="0"/>
              <w:rPr>
                <w:sz w:val="10"/>
                <w:szCs w:val="10"/>
                <w:color w:val="auto"/>
              </w:rPr>
            </w:pPr>
          </w:p>
        </w:tc>
        <w:tc>
          <w:tcPr>
            <w:tcW w:w="1140" w:type="dxa"/>
            <w:vAlign w:val="bottom"/>
            <w:gridSpan w:val="8"/>
            <w:vMerge w:val="continue"/>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4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6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tcPr>
          <w:p>
            <w:pPr>
              <w:spacing w:after="0"/>
              <w:rPr>
                <w:sz w:val="4"/>
                <w:szCs w:val="4"/>
                <w:color w:val="auto"/>
              </w:rPr>
            </w:pPr>
          </w:p>
        </w:tc>
        <w:tc>
          <w:tcPr>
            <w:tcW w:w="150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Association</w:t>
            </w:r>
          </w:p>
        </w:tc>
        <w:tc>
          <w:tcPr>
            <w:tcW w:w="1440" w:type="dxa"/>
            <w:vAlign w:val="bottom"/>
            <w:tcBorders>
              <w:top w:val="single" w:sz="8" w:color="FFCCCC"/>
              <w:right w:val="single" w:sz="8" w:color="FFCCCC"/>
            </w:tcBorders>
            <w:gridSpan w:val="3"/>
            <w:shd w:val="clear" w:color="auto" w:fill="FFCCCC"/>
          </w:tcPr>
          <w:p>
            <w:pPr>
              <w:spacing w:after="0"/>
              <w:rPr>
                <w:sz w:val="4"/>
                <w:szCs w:val="4"/>
                <w:color w:val="auto"/>
              </w:rPr>
            </w:pPr>
          </w:p>
        </w:tc>
        <w:tc>
          <w:tcPr>
            <w:tcW w:w="100" w:type="dxa"/>
            <w:vAlign w:val="bottom"/>
            <w:tcBorders>
              <w:top w:val="single" w:sz="8" w:color="FFCCCC"/>
              <w:right w:val="single" w:sz="8" w:color="auto"/>
            </w:tcBorders>
            <w:shd w:val="clear" w:color="auto" w:fill="FFCCCC"/>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480" w:type="dxa"/>
            <w:vAlign w:val="bottom"/>
            <w:tcBorders>
              <w:right w:val="single" w:sz="8" w:color="auto"/>
            </w:tcBorders>
            <w:gridSpan w:val="4"/>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520" w:type="dxa"/>
            <w:vAlign w:val="bottom"/>
            <w:tcBorders>
              <w:top w:val="single" w:sz="8" w:color="0000FF"/>
              <w:right w:val="single" w:sz="8" w:color="CCCCFF"/>
            </w:tcBorders>
            <w:shd w:val="clear" w:color="auto" w:fill="CCCCFF"/>
          </w:tcPr>
          <w:p>
            <w:pPr>
              <w:spacing w:after="0"/>
              <w:rPr>
                <w:sz w:val="4"/>
                <w:szCs w:val="4"/>
                <w:color w:val="auto"/>
              </w:rPr>
            </w:pPr>
          </w:p>
        </w:tc>
        <w:tc>
          <w:tcPr>
            <w:tcW w:w="300" w:type="dxa"/>
            <w:vAlign w:val="bottom"/>
            <w:tcBorders>
              <w:top w:val="single" w:sz="8" w:color="0000FF"/>
              <w:right w:val="single" w:sz="8" w:color="CCCCFF"/>
            </w:tcBorders>
            <w:shd w:val="clear" w:color="auto" w:fill="CCCCFF"/>
          </w:tcPr>
          <w:p>
            <w:pPr>
              <w:spacing w:after="0"/>
              <w:rPr>
                <w:sz w:val="4"/>
                <w:szCs w:val="4"/>
                <w:color w:val="auto"/>
              </w:rPr>
            </w:pPr>
          </w:p>
        </w:tc>
        <w:tc>
          <w:tcPr>
            <w:tcW w:w="12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3"/>
            <w:shd w:val="clear" w:color="auto" w:fill="CCCCFF"/>
          </w:tcPr>
          <w:p>
            <w:pPr>
              <w:spacing w:after="0"/>
              <w:rPr>
                <w:sz w:val="4"/>
                <w:szCs w:val="4"/>
                <w:color w:val="auto"/>
              </w:rPr>
            </w:pPr>
          </w:p>
        </w:tc>
        <w:tc>
          <w:tcPr>
            <w:tcW w:w="900" w:type="dxa"/>
            <w:vAlign w:val="bottom"/>
            <w:tcBorders>
              <w:top w:val="single" w:sz="8" w:color="0000FF"/>
            </w:tcBorders>
            <w:gridSpan w:val="5"/>
            <w:shd w:val="clear" w:color="auto" w:fill="CCCCFF"/>
          </w:tcPr>
          <w:p>
            <w:pPr>
              <w:spacing w:after="0"/>
              <w:rPr>
                <w:sz w:val="4"/>
                <w:szCs w:val="4"/>
                <w:color w:val="auto"/>
              </w:rPr>
            </w:pPr>
          </w:p>
        </w:tc>
        <w:tc>
          <w:tcPr>
            <w:tcW w:w="160" w:type="dxa"/>
            <w:vAlign w:val="bottom"/>
            <w:tcBorders>
              <w:top w:val="single" w:sz="8" w:color="CCCCFF"/>
              <w:right w:val="single" w:sz="8" w:color="auto"/>
            </w:tcBorders>
            <w:gridSpan w:val="3"/>
            <w:shd w:val="clear" w:color="auto" w:fill="CCCCFF"/>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840" w:type="dxa"/>
            <w:vAlign w:val="bottom"/>
            <w:tcBorders>
              <w:top w:val="single" w:sz="8" w:color="0000FF"/>
              <w:left w:val="single" w:sz="8" w:color="CCCCFF"/>
              <w:right w:val="single" w:sz="8" w:color="CCCCFF"/>
            </w:tcBorders>
            <w:gridSpan w:val="3"/>
            <w:shd w:val="clear" w:color="auto" w:fill="CCCCFF"/>
          </w:tcPr>
          <w:p>
            <w:pPr>
              <w:spacing w:after="0"/>
              <w:rPr>
                <w:sz w:val="4"/>
                <w:szCs w:val="4"/>
                <w:color w:val="auto"/>
              </w:rPr>
            </w:pPr>
          </w:p>
        </w:tc>
        <w:tc>
          <w:tcPr>
            <w:tcW w:w="16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2"/>
            <w:shd w:val="clear" w:color="auto" w:fill="CCCCFF"/>
          </w:tcPr>
          <w:p>
            <w:pPr>
              <w:spacing w:after="0"/>
              <w:rPr>
                <w:sz w:val="4"/>
                <w:szCs w:val="4"/>
                <w:color w:val="auto"/>
              </w:rPr>
            </w:pPr>
          </w:p>
        </w:tc>
        <w:tc>
          <w:tcPr>
            <w:tcW w:w="1000" w:type="dxa"/>
            <w:vAlign w:val="bottom"/>
            <w:tcBorders>
              <w:top w:val="single" w:sz="8" w:color="0000FF"/>
            </w:tcBorders>
            <w:gridSpan w:val="6"/>
            <w:shd w:val="clear" w:color="auto" w:fill="CCCCFF"/>
          </w:tcPr>
          <w:p>
            <w:pPr>
              <w:spacing w:after="0"/>
              <w:rPr>
                <w:sz w:val="4"/>
                <w:szCs w:val="4"/>
                <w:color w:val="auto"/>
              </w:rPr>
            </w:pPr>
          </w:p>
        </w:tc>
        <w:tc>
          <w:tcPr>
            <w:tcW w:w="180" w:type="dxa"/>
            <w:vAlign w:val="bottom"/>
            <w:tcBorders>
              <w:top w:val="single" w:sz="8" w:color="CCCCFF"/>
              <w:right w:val="single" w:sz="8" w:color="auto"/>
            </w:tcBorders>
            <w:gridSpan w:val="4"/>
            <w:shd w:val="clear" w:color="auto" w:fill="CCCCFF"/>
          </w:tcPr>
          <w:p>
            <w:pPr>
              <w:spacing w:after="0"/>
              <w:rPr>
                <w:sz w:val="4"/>
                <w:szCs w:val="4"/>
                <w:color w:val="auto"/>
              </w:rPr>
            </w:pPr>
          </w:p>
        </w:tc>
        <w:tc>
          <w:tcPr>
            <w:tcW w:w="1220" w:type="dxa"/>
            <w:vAlign w:val="bottom"/>
            <w:tcBorders>
              <w:top w:val="single" w:sz="8" w:color="CCCCFF"/>
              <w:right w:val="single" w:sz="8" w:color="auto"/>
            </w:tcBorders>
            <w:gridSpan w:val="12"/>
            <w:shd w:val="clear" w:color="auto" w:fill="CCCC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vMerge w:val="restart"/>
          </w:tcPr>
          <w:p>
            <w:pPr>
              <w:spacing w:after="0" w:line="20" w:lineRule="exact"/>
              <w:rPr>
                <w:sz w:val="1"/>
                <w:szCs w:val="1"/>
                <w:color w:val="auto"/>
              </w:rPr>
            </w:pPr>
          </w:p>
        </w:tc>
        <w:tc>
          <w:tcPr>
            <w:tcW w:w="1500" w:type="dxa"/>
            <w:vAlign w:val="bottom"/>
            <w:tcBorders>
              <w:right w:val="single" w:sz="8" w:color="auto"/>
            </w:tcBorders>
            <w:gridSpan w:val="2"/>
            <w:vMerge w:val="continue"/>
          </w:tcPr>
          <w:p>
            <w:pPr>
              <w:spacing w:after="0" w:line="20" w:lineRule="exact"/>
              <w:rPr>
                <w:sz w:val="1"/>
                <w:szCs w:val="1"/>
                <w:color w:val="auto"/>
              </w:rPr>
            </w:pPr>
          </w:p>
        </w:tc>
        <w:tc>
          <w:tcPr>
            <w:tcW w:w="1440" w:type="dxa"/>
            <w:vAlign w:val="bottom"/>
            <w:tcBorders>
              <w:top w:val="single" w:sz="8" w:color="FFCCCC"/>
              <w:bottom w:val="single" w:sz="8" w:color="FFCCCC"/>
              <w:right w:val="single" w:sz="8" w:color="FFCCCC"/>
            </w:tcBorders>
            <w:gridSpan w:val="3"/>
            <w:shd w:val="clear" w:color="auto" w:fill="FFCCCC"/>
          </w:tcPr>
          <w:p>
            <w:pPr>
              <w:spacing w:after="0" w:line="20" w:lineRule="exact"/>
              <w:rPr>
                <w:sz w:val="1"/>
                <w:szCs w:val="1"/>
                <w:color w:val="auto"/>
              </w:rPr>
            </w:pPr>
          </w:p>
        </w:tc>
        <w:tc>
          <w:tcPr>
            <w:tcW w:w="100" w:type="dxa"/>
            <w:vAlign w:val="bottom"/>
            <w:tcBorders>
              <w:top w:val="single" w:sz="8" w:color="FFCCCC"/>
              <w:bottom w:val="single" w:sz="8" w:color="FFCCCC"/>
              <w:right w:val="single" w:sz="8" w:color="auto"/>
            </w:tcBorders>
            <w:shd w:val="clear" w:color="auto" w:fill="FFCCCC"/>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480" w:type="dxa"/>
            <w:vAlign w:val="bottom"/>
            <w:tcBorders>
              <w:right w:val="single" w:sz="8" w:color="auto"/>
            </w:tcBorders>
            <w:gridSpan w:val="4"/>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52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30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12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200" w:type="dxa"/>
            <w:vAlign w:val="bottom"/>
            <w:tcBorders>
              <w:top w:val="single" w:sz="8" w:color="CCCCFF"/>
              <w:bottom w:val="single" w:sz="8" w:color="CCCCFF"/>
              <w:right w:val="single" w:sz="8" w:color="auto"/>
            </w:tcBorders>
            <w:gridSpan w:val="11"/>
            <w:shd w:val="clear" w:color="auto" w:fill="CCCCFF"/>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840" w:type="dxa"/>
            <w:vAlign w:val="bottom"/>
            <w:tcBorders>
              <w:top w:val="single" w:sz="8" w:color="CCCCFF"/>
              <w:left w:val="single" w:sz="8" w:color="CCCCFF"/>
              <w:bottom w:val="single" w:sz="8" w:color="CCCCFF"/>
              <w:right w:val="single" w:sz="8" w:color="CCCCFF"/>
            </w:tcBorders>
            <w:gridSpan w:val="3"/>
            <w:shd w:val="clear" w:color="auto" w:fill="CCCCFF"/>
          </w:tcPr>
          <w:p>
            <w:pPr>
              <w:spacing w:after="0" w:line="20" w:lineRule="exact"/>
              <w:rPr>
                <w:sz w:val="1"/>
                <w:szCs w:val="1"/>
                <w:color w:val="auto"/>
              </w:rPr>
            </w:pPr>
          </w:p>
        </w:tc>
        <w:tc>
          <w:tcPr>
            <w:tcW w:w="16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3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12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bottom w:val="single" w:sz="8" w:color="auto"/>
            </w:tcBorders>
            <w:vMerge w:val="continue"/>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bottom w:val="single" w:sz="8" w:color="auto"/>
              <w:right w:val="single" w:sz="8" w:color="auto"/>
            </w:tcBorders>
            <w:shd w:val="clear" w:color="auto" w:fill="FFCCCC"/>
          </w:tcPr>
          <w:p>
            <w:pPr>
              <w:spacing w:after="0"/>
              <w:rPr>
                <w:sz w:val="7"/>
                <w:szCs w:val="7"/>
                <w:color w:val="auto"/>
              </w:rPr>
            </w:pPr>
          </w:p>
        </w:tc>
        <w:tc>
          <w:tcPr>
            <w:tcW w:w="1840" w:type="dxa"/>
            <w:vAlign w:val="bottom"/>
            <w:tcBorders>
              <w:bottom w:val="single" w:sz="8" w:color="auto"/>
              <w:right w:val="single" w:sz="8" w:color="auto"/>
            </w:tcBorders>
            <w:gridSpan w:val="11"/>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bottom w:val="single" w:sz="8" w:color="auto"/>
              <w:right w:val="single" w:sz="8" w:color="CCCCFF"/>
            </w:tcBorders>
            <w:shd w:val="clear" w:color="auto" w:fill="CCCCFF"/>
          </w:tcPr>
          <w:p>
            <w:pPr>
              <w:spacing w:after="0"/>
              <w:rPr>
                <w:sz w:val="7"/>
                <w:szCs w:val="7"/>
                <w:color w:val="auto"/>
              </w:rPr>
            </w:pPr>
          </w:p>
        </w:tc>
        <w:tc>
          <w:tcPr>
            <w:tcW w:w="300" w:type="dxa"/>
            <w:vAlign w:val="bottom"/>
            <w:tcBorders>
              <w:bottom w:val="single" w:sz="8" w:color="auto"/>
              <w:right w:val="single" w:sz="8" w:color="CCCCFF"/>
            </w:tcBorders>
            <w:shd w:val="clear" w:color="auto" w:fill="CCCCFF"/>
          </w:tcPr>
          <w:p>
            <w:pPr>
              <w:spacing w:after="0"/>
              <w:rPr>
                <w:sz w:val="7"/>
                <w:szCs w:val="7"/>
                <w:color w:val="auto"/>
              </w:rPr>
            </w:pPr>
          </w:p>
        </w:tc>
        <w:tc>
          <w:tcPr>
            <w:tcW w:w="120" w:type="dxa"/>
            <w:vAlign w:val="bottom"/>
            <w:tcBorders>
              <w:bottom w:val="single" w:sz="8" w:color="auto"/>
              <w:right w:val="single" w:sz="8" w:color="auto"/>
            </w:tcBorders>
            <w:shd w:val="clear" w:color="auto" w:fill="CCCCFF"/>
          </w:tcPr>
          <w:p>
            <w:pPr>
              <w:spacing w:after="0"/>
              <w:rPr>
                <w:sz w:val="7"/>
                <w:szCs w:val="7"/>
                <w:color w:val="auto"/>
              </w:rPr>
            </w:pPr>
          </w:p>
        </w:tc>
        <w:tc>
          <w:tcPr>
            <w:tcW w:w="1200" w:type="dxa"/>
            <w:vAlign w:val="bottom"/>
            <w:tcBorders>
              <w:bottom w:val="single" w:sz="8" w:color="auto"/>
              <w:right w:val="single" w:sz="8" w:color="auto"/>
            </w:tcBorders>
            <w:gridSpan w:val="11"/>
            <w:shd w:val="clear" w:color="auto" w:fill="CCCCFF"/>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bottom w:val="single" w:sz="8" w:color="auto"/>
              <w:right w:val="single" w:sz="8" w:color="auto"/>
            </w:tcBorders>
            <w:shd w:val="clear" w:color="auto" w:fill="CCCCFF"/>
          </w:tcPr>
          <w:p>
            <w:pPr>
              <w:spacing w:after="0"/>
              <w:rPr>
                <w:sz w:val="7"/>
                <w:szCs w:val="7"/>
                <w:color w:val="auto"/>
              </w:rPr>
            </w:pPr>
          </w:p>
        </w:tc>
        <w:tc>
          <w:tcPr>
            <w:tcW w:w="13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12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440" w:type="dxa"/>
            <w:vAlign w:val="bottom"/>
            <w:tcBorders>
              <w:right w:val="single" w:sz="8" w:color="FFCCCC"/>
            </w:tcBorders>
            <w:gridSpan w:val="3"/>
            <w:shd w:val="clear" w:color="auto" w:fill="FFCCCC"/>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right w:val="single" w:sz="8" w:color="auto"/>
            </w:tcBorders>
            <w:shd w:val="clear" w:color="auto" w:fill="CCCCFF"/>
          </w:tcPr>
          <w:p>
            <w:pPr>
              <w:spacing w:after="0"/>
              <w:rPr>
                <w:sz w:val="18"/>
                <w:szCs w:val="18"/>
                <w:color w:val="auto"/>
              </w:rPr>
            </w:pPr>
          </w:p>
        </w:tc>
        <w:tc>
          <w:tcPr>
            <w:tcW w:w="11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69"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40" w:type="dxa"/>
            <w:vAlign w:val="bottom"/>
            <w:tcBorders>
              <w:top w:val="single" w:sz="8" w:color="CCCCFF"/>
            </w:tcBorders>
            <w:gridSpan w:val="8"/>
            <w:vMerge w:val="continue"/>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left w:val="single" w:sz="8" w:color="auto"/>
              <w:bottom w:val="single" w:sz="8" w:color="auto"/>
              <w:right w:val="single" w:sz="8" w:color="auto"/>
            </w:tcBorders>
            <w:gridSpan w:val="3"/>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20" w:type="dxa"/>
            <w:vAlign w:val="bottom"/>
            <w:tcBorders>
              <w:left w:val="single" w:sz="8" w:color="auto"/>
              <w:bottom w:val="single" w:sz="8" w:color="auto"/>
            </w:tcBorders>
            <w:shd w:val="clear" w:color="auto" w:fill="FFCCCC"/>
          </w:tcPr>
          <w:p>
            <w:pPr>
              <w:spacing w:after="0"/>
              <w:rPr>
                <w:sz w:val="20"/>
                <w:szCs w:val="20"/>
                <w:color w:val="auto"/>
              </w:rPr>
            </w:pPr>
          </w:p>
        </w:tc>
        <w:tc>
          <w:tcPr>
            <w:tcW w:w="2680" w:type="dxa"/>
            <w:vAlign w:val="bottom"/>
            <w:tcBorders>
              <w:bottom w:val="single" w:sz="8" w:color="auto"/>
            </w:tcBorders>
            <w:gridSpan w:val="4"/>
            <w:shd w:val="clear" w:color="auto" w:fill="FFCCCC"/>
          </w:tcPr>
          <w:p>
            <w:pPr>
              <w:spacing w:after="0"/>
              <w:rPr>
                <w:sz w:val="20"/>
                <w:szCs w:val="20"/>
                <w:color w:val="auto"/>
              </w:rPr>
            </w:pPr>
            <w:r>
              <w:rPr>
                <w:rFonts w:ascii="Times New Roman" w:cs="Times New Roman" w:eastAsia="Times New Roman" w:hAnsi="Times New Roman"/>
                <w:sz w:val="18"/>
                <w:szCs w:val="18"/>
                <w:color w:val="FF0000"/>
                <w:strike w:val="1"/>
                <w:w w:val="99"/>
              </w:rPr>
              <w:t>Credit Suisse AG, New York Branch</w:t>
            </w:r>
          </w:p>
        </w:tc>
        <w:tc>
          <w:tcPr>
            <w:tcW w:w="260" w:type="dxa"/>
            <w:vAlign w:val="bottom"/>
            <w:tcBorders>
              <w:bottom w:val="single" w:sz="8" w:color="auto"/>
              <w:right w:val="single" w:sz="8" w:color="auto"/>
            </w:tcBorders>
            <w:shd w:val="clear" w:color="auto" w:fill="FFCCCC"/>
          </w:tcPr>
          <w:p>
            <w:pPr>
              <w:spacing w:after="0"/>
              <w:rPr>
                <w:sz w:val="20"/>
                <w:szCs w:val="20"/>
                <w:color w:val="auto"/>
              </w:rPr>
            </w:pPr>
          </w:p>
        </w:tc>
        <w:tc>
          <w:tcPr>
            <w:tcW w:w="100" w:type="dxa"/>
            <w:vAlign w:val="bottom"/>
            <w:tcBorders>
              <w:bottom w:val="single" w:sz="8" w:color="auto"/>
              <w:right w:val="single" w:sz="8" w:color="FFCCCC"/>
            </w:tcBorders>
            <w:shd w:val="clear" w:color="auto" w:fill="FFCCCC"/>
          </w:tcPr>
          <w:p>
            <w:pPr>
              <w:spacing w:after="0"/>
              <w:rPr>
                <w:sz w:val="20"/>
                <w:szCs w:val="20"/>
                <w:color w:val="auto"/>
              </w:rPr>
            </w:pPr>
          </w:p>
        </w:tc>
        <w:tc>
          <w:tcPr>
            <w:tcW w:w="1220" w:type="dxa"/>
            <w:vAlign w:val="bottom"/>
            <w:tcBorders>
              <w:bottom w:val="single" w:sz="8" w:color="auto"/>
              <w:right w:val="single" w:sz="8" w:color="auto"/>
            </w:tcBorders>
            <w:gridSpan w:val="6"/>
            <w:shd w:val="clear" w:color="auto" w:fill="FFCCCC"/>
          </w:tcPr>
          <w:p>
            <w:pPr>
              <w:jc w:val="right"/>
              <w:ind w:right="50"/>
              <w:spacing w:after="0"/>
              <w:rPr>
                <w:sz w:val="20"/>
                <w:szCs w:val="20"/>
                <w:color w:val="auto"/>
              </w:rPr>
            </w:pPr>
            <w:r>
              <w:rPr>
                <w:rFonts w:ascii="Times New Roman" w:cs="Times New Roman" w:eastAsia="Times New Roman" w:hAnsi="Times New Roman"/>
                <w:sz w:val="18"/>
                <w:szCs w:val="18"/>
                <w:color w:val="FF0000"/>
                <w:strike w:val="1"/>
                <w:w w:val="96"/>
              </w:rPr>
              <w:t>6.218750000%</w:t>
            </w:r>
          </w:p>
        </w:tc>
        <w:tc>
          <w:tcPr>
            <w:tcW w:w="140" w:type="dxa"/>
            <w:vAlign w:val="bottom"/>
            <w:tcBorders>
              <w:bottom w:val="single" w:sz="8" w:color="auto"/>
            </w:tcBorders>
            <w:shd w:val="clear" w:color="auto" w:fill="FFCCCC"/>
          </w:tcPr>
          <w:p>
            <w:pPr>
              <w:spacing w:after="0"/>
              <w:rPr>
                <w:sz w:val="20"/>
                <w:szCs w:val="20"/>
                <w:color w:val="auto"/>
              </w:rPr>
            </w:pPr>
          </w:p>
        </w:tc>
        <w:tc>
          <w:tcPr>
            <w:tcW w:w="1280" w:type="dxa"/>
            <w:vAlign w:val="bottom"/>
            <w:tcBorders>
              <w:bottom w:val="single" w:sz="8" w:color="auto"/>
              <w:right w:val="single" w:sz="8" w:color="auto"/>
            </w:tcBorders>
            <w:gridSpan w:val="10"/>
            <w:shd w:val="clear" w:color="auto" w:fill="FFCCCC"/>
          </w:tcPr>
          <w:p>
            <w:pPr>
              <w:jc w:val="right"/>
              <w:ind w:right="58"/>
              <w:spacing w:after="0"/>
              <w:rPr>
                <w:sz w:val="20"/>
                <w:szCs w:val="20"/>
                <w:color w:val="auto"/>
              </w:rPr>
            </w:pPr>
            <w:r>
              <w:rPr>
                <w:rFonts w:ascii="Times New Roman" w:cs="Times New Roman" w:eastAsia="Times New Roman" w:hAnsi="Times New Roman"/>
                <w:sz w:val="18"/>
                <w:szCs w:val="18"/>
                <w:color w:val="FF0000"/>
                <w:strike w:val="1"/>
                <w:w w:val="99"/>
              </w:rPr>
              <w:t>$99,500,000.00</w:t>
            </w:r>
          </w:p>
        </w:tc>
        <w:tc>
          <w:tcPr>
            <w:tcW w:w="300" w:type="dxa"/>
            <w:vAlign w:val="bottom"/>
            <w:tcBorders>
              <w:bottom w:val="single" w:sz="8" w:color="auto"/>
              <w:right w:val="single" w:sz="8" w:color="C0C0C0"/>
            </w:tcBorders>
            <w:shd w:val="clear" w:color="auto" w:fill="C0C0C0"/>
          </w:tcPr>
          <w:p>
            <w:pPr>
              <w:spacing w:after="0"/>
              <w:rPr>
                <w:sz w:val="20"/>
                <w:szCs w:val="20"/>
                <w:color w:val="auto"/>
              </w:rPr>
            </w:pPr>
          </w:p>
        </w:tc>
        <w:tc>
          <w:tcPr>
            <w:tcW w:w="120" w:type="dxa"/>
            <w:vAlign w:val="bottom"/>
            <w:tcBorders>
              <w:bottom w:val="single" w:sz="8" w:color="auto"/>
              <w:right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20" w:type="dxa"/>
            <w:vAlign w:val="bottom"/>
            <w:tcBorders>
              <w:bottom w:val="single" w:sz="8" w:color="C0C0C0"/>
            </w:tcBorders>
            <w:shd w:val="clear" w:color="auto" w:fill="C0C0C0"/>
          </w:tcPr>
          <w:p>
            <w:pPr>
              <w:spacing w:after="0"/>
              <w:rPr>
                <w:sz w:val="20"/>
                <w:szCs w:val="20"/>
                <w:color w:val="auto"/>
              </w:rPr>
            </w:pPr>
          </w:p>
        </w:tc>
        <w:tc>
          <w:tcPr>
            <w:tcW w:w="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40" w:type="dxa"/>
            <w:vAlign w:val="bottom"/>
            <w:tcBorders>
              <w:bottom w:val="single" w:sz="8" w:color="C0C0C0"/>
            </w:tcBorders>
            <w:shd w:val="clear" w:color="auto" w:fill="C0C0C0"/>
          </w:tcPr>
          <w:p>
            <w:pPr>
              <w:spacing w:after="0"/>
              <w:rPr>
                <w:sz w:val="20"/>
                <w:szCs w:val="20"/>
                <w:color w:val="auto"/>
              </w:rPr>
            </w:pPr>
          </w:p>
        </w:tc>
        <w:tc>
          <w:tcPr>
            <w:tcW w:w="2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right w:val="single" w:sz="8" w:color="C0C0C0"/>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20" w:type="dxa"/>
            <w:vAlign w:val="bottom"/>
            <w:tcBorders>
              <w:bottom w:val="single" w:sz="8" w:color="auto"/>
            </w:tcBorders>
            <w:shd w:val="clear" w:color="auto" w:fill="C0C0C0"/>
          </w:tcPr>
          <w:p>
            <w:pPr>
              <w:spacing w:after="0"/>
              <w:rPr>
                <w:sz w:val="20"/>
                <w:szCs w:val="20"/>
                <w:color w:val="auto"/>
              </w:rPr>
            </w:pPr>
          </w:p>
        </w:tc>
        <w:tc>
          <w:tcPr>
            <w:tcW w:w="20" w:type="dxa"/>
            <w:vAlign w:val="bottom"/>
            <w:tcBorders>
              <w:bottom w:val="single" w:sz="8" w:color="auto"/>
            </w:tcBorders>
            <w:shd w:val="clear" w:color="auto" w:fill="C0C0C0"/>
          </w:tcPr>
          <w:p>
            <w:pPr>
              <w:spacing w:after="0"/>
              <w:rPr>
                <w:sz w:val="20"/>
                <w:szCs w:val="20"/>
                <w:color w:val="auto"/>
              </w:rPr>
            </w:pPr>
          </w:p>
        </w:tc>
        <w:tc>
          <w:tcPr>
            <w:tcW w:w="60" w:type="dxa"/>
            <w:vAlign w:val="bottom"/>
            <w:tcBorders>
              <w:bottom w:val="single" w:sz="8" w:color="auto"/>
              <w:right w:val="single" w:sz="8" w:color="C0C0C0"/>
            </w:tcBorders>
            <w:shd w:val="clear" w:color="auto" w:fill="C0C0C0"/>
          </w:tcPr>
          <w:p>
            <w:pPr>
              <w:spacing w:after="0"/>
              <w:rPr>
                <w:sz w:val="20"/>
                <w:szCs w:val="20"/>
                <w:color w:val="auto"/>
              </w:rPr>
            </w:pPr>
          </w:p>
        </w:tc>
        <w:tc>
          <w:tcPr>
            <w:tcW w:w="260" w:type="dxa"/>
            <w:vAlign w:val="bottom"/>
            <w:tcBorders>
              <w:left w:val="single" w:sz="8" w:color="C0C0C0"/>
              <w:bottom w:val="single" w:sz="8" w:color="auto"/>
            </w:tcBorders>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right w:val="single" w:sz="8" w:color="C0C0C0"/>
            </w:tcBorders>
            <w:shd w:val="clear" w:color="auto" w:fill="C0C0C0"/>
          </w:tcPr>
          <w:p>
            <w:pPr>
              <w:spacing w:after="0"/>
              <w:rPr>
                <w:sz w:val="20"/>
                <w:szCs w:val="20"/>
                <w:color w:val="auto"/>
              </w:rPr>
            </w:pPr>
          </w:p>
        </w:tc>
        <w:tc>
          <w:tcPr>
            <w:tcW w:w="160" w:type="dxa"/>
            <w:vAlign w:val="bottom"/>
            <w:tcBorders>
              <w:bottom w:val="single" w:sz="8" w:color="auto"/>
              <w:right w:val="single" w:sz="8" w:color="C0C0C0"/>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60" w:type="dxa"/>
            <w:vAlign w:val="bottom"/>
            <w:tcBorders>
              <w:bottom w:val="single" w:sz="8" w:color="auto"/>
            </w:tcBorders>
            <w:shd w:val="clear" w:color="auto" w:fill="C0C0C0"/>
          </w:tcPr>
          <w:p>
            <w:pPr>
              <w:spacing w:after="0"/>
              <w:rPr>
                <w:sz w:val="20"/>
                <w:szCs w:val="20"/>
                <w:color w:val="auto"/>
              </w:rPr>
            </w:pPr>
          </w:p>
        </w:tc>
        <w:tc>
          <w:tcPr>
            <w:tcW w:w="20" w:type="dxa"/>
            <w:vAlign w:val="bottom"/>
            <w:tcBorders>
              <w:bottom w:val="single" w:sz="8" w:color="auto"/>
            </w:tcBorders>
            <w:shd w:val="clear" w:color="auto" w:fill="C0C0C0"/>
          </w:tcPr>
          <w:p>
            <w:pPr>
              <w:spacing w:after="0"/>
              <w:rPr>
                <w:sz w:val="20"/>
                <w:szCs w:val="20"/>
                <w:color w:val="auto"/>
              </w:rPr>
            </w:pPr>
          </w:p>
        </w:tc>
        <w:tc>
          <w:tcPr>
            <w:tcW w:w="40" w:type="dxa"/>
            <w:vAlign w:val="bottom"/>
            <w:tcBorders>
              <w:bottom w:val="single" w:sz="8" w:color="auto"/>
            </w:tcBorders>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40" w:type="dxa"/>
            <w:vAlign w:val="bottom"/>
            <w:tcBorders>
              <w:bottom w:val="single" w:sz="8" w:color="auto"/>
            </w:tcBorders>
            <w:shd w:val="clear" w:color="auto" w:fill="C0C0C0"/>
          </w:tcPr>
          <w:p>
            <w:pPr>
              <w:spacing w:after="0"/>
              <w:rPr>
                <w:sz w:val="20"/>
                <w:szCs w:val="20"/>
                <w:color w:val="auto"/>
              </w:rPr>
            </w:pPr>
          </w:p>
        </w:tc>
        <w:tc>
          <w:tcPr>
            <w:tcW w:w="20" w:type="dxa"/>
            <w:vAlign w:val="bottom"/>
            <w:tcBorders>
              <w:bottom w:val="single" w:sz="8" w:color="auto"/>
            </w:tcBorders>
            <w:shd w:val="clear" w:color="auto" w:fill="C0C0C0"/>
          </w:tcPr>
          <w:p>
            <w:pPr>
              <w:spacing w:after="0"/>
              <w:rPr>
                <w:sz w:val="20"/>
                <w:szCs w:val="20"/>
                <w:color w:val="auto"/>
              </w:rPr>
            </w:pPr>
          </w:p>
        </w:tc>
        <w:tc>
          <w:tcPr>
            <w:tcW w:w="40" w:type="dxa"/>
            <w:vAlign w:val="bottom"/>
            <w:tcBorders>
              <w:bottom w:val="single" w:sz="8" w:color="auto"/>
            </w:tcBorders>
            <w:shd w:val="clear" w:color="auto" w:fill="C0C0C0"/>
          </w:tcPr>
          <w:p>
            <w:pPr>
              <w:spacing w:after="0"/>
              <w:rPr>
                <w:sz w:val="20"/>
                <w:szCs w:val="20"/>
                <w:color w:val="auto"/>
              </w:rPr>
            </w:pPr>
          </w:p>
        </w:tc>
        <w:tc>
          <w:tcPr>
            <w:tcW w:w="2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right w:val="single" w:sz="8" w:color="C0C0C0"/>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7"/>
                <w:szCs w:val="17"/>
                <w:color w:val="auto"/>
              </w:rPr>
              <w:t>Goldman Sachs</w:t>
            </w:r>
          </w:p>
        </w:tc>
        <w:tc>
          <w:tcPr>
            <w:tcW w:w="1440" w:type="dxa"/>
            <w:vAlign w:val="bottom"/>
            <w:tcBorders>
              <w:top w:val="single" w:sz="8" w:color="auto"/>
              <w:right w:val="single" w:sz="8" w:color="FFCCCC"/>
            </w:tcBorders>
            <w:gridSpan w:val="3"/>
            <w:shd w:val="clear" w:color="auto" w:fill="FFCCCC"/>
          </w:tcPr>
          <w:p>
            <w:pPr>
              <w:jc w:val="center"/>
              <w:spacing w:after="0" w:line="149" w:lineRule="exact"/>
              <w:rPr>
                <w:sz w:val="20"/>
                <w:szCs w:val="20"/>
                <w:color w:val="auto"/>
              </w:rPr>
            </w:pPr>
            <w:r>
              <w:rPr>
                <w:rFonts w:ascii="Times New Roman" w:cs="Times New Roman" w:eastAsia="Times New Roman" w:hAnsi="Times New Roman"/>
                <w:sz w:val="17"/>
                <w:szCs w:val="17"/>
                <w:color w:val="FF0000"/>
                <w:strike w:val="1"/>
              </w:rPr>
              <w:t>6.218750000%</w:t>
            </w:r>
          </w:p>
        </w:tc>
        <w:tc>
          <w:tcPr>
            <w:tcW w:w="100" w:type="dxa"/>
            <w:vAlign w:val="bottom"/>
            <w:tcBorders>
              <w:top w:val="single" w:sz="8" w:color="auto"/>
              <w:right w:val="single" w:sz="8" w:color="auto"/>
            </w:tcBorders>
            <w:shd w:val="clear" w:color="auto" w:fill="FFCCCC"/>
          </w:tcPr>
          <w:p>
            <w:pPr>
              <w:spacing w:after="0"/>
              <w:rPr>
                <w:sz w:val="16"/>
                <w:szCs w:val="16"/>
                <w:color w:val="auto"/>
              </w:rPr>
            </w:pPr>
          </w:p>
        </w:tc>
        <w:tc>
          <w:tcPr>
            <w:tcW w:w="340" w:type="dxa"/>
            <w:vAlign w:val="bottom"/>
            <w:tcBorders>
              <w:top w:val="single" w:sz="8" w:color="auto"/>
            </w:tcBorders>
            <w:gridSpan w:val="2"/>
          </w:tcPr>
          <w:p>
            <w:pPr>
              <w:spacing w:after="0"/>
              <w:rPr>
                <w:sz w:val="16"/>
                <w:szCs w:val="16"/>
                <w:color w:val="auto"/>
              </w:rPr>
            </w:pPr>
          </w:p>
        </w:tc>
        <w:tc>
          <w:tcPr>
            <w:tcW w:w="1120" w:type="dxa"/>
            <w:vAlign w:val="bottom"/>
            <w:tcBorders>
              <w:top w:val="single" w:sz="8" w:color="auto"/>
            </w:tcBorders>
            <w:gridSpan w:val="7"/>
          </w:tcPr>
          <w:p>
            <w:pPr>
              <w:jc w:val="center"/>
              <w:spacing w:after="0" w:line="149" w:lineRule="exact"/>
              <w:rPr>
                <w:sz w:val="20"/>
                <w:szCs w:val="20"/>
                <w:color w:val="auto"/>
              </w:rPr>
            </w:pPr>
            <w:r>
              <w:rPr>
                <w:rFonts w:ascii="Times New Roman" w:cs="Times New Roman" w:eastAsia="Times New Roman" w:hAnsi="Times New Roman"/>
                <w:sz w:val="17"/>
                <w:szCs w:val="17"/>
                <w:color w:val="FF0000"/>
                <w:strike w:val="1"/>
              </w:rPr>
              <w:t>$99,500,000.00</w:t>
            </w: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top w:val="single" w:sz="8" w:color="auto"/>
              <w:right w:val="single" w:sz="8" w:color="auto"/>
            </w:tcBorders>
            <w:shd w:val="clear" w:color="auto" w:fill="CCCCFF"/>
          </w:tcPr>
          <w:p>
            <w:pPr>
              <w:spacing w:after="0"/>
              <w:rPr>
                <w:sz w:val="16"/>
                <w:szCs w:val="16"/>
                <w:color w:val="auto"/>
              </w:rPr>
            </w:pPr>
          </w:p>
        </w:tc>
        <w:tc>
          <w:tcPr>
            <w:tcW w:w="1040" w:type="dxa"/>
            <w:vAlign w:val="bottom"/>
            <w:tcBorders>
              <w:top w:val="single" w:sz="8" w:color="CCCCFF"/>
            </w:tcBorders>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tcBorders>
              <w:top w:val="single" w:sz="8" w:color="CCCCFF"/>
            </w:tcBorders>
            <w:shd w:val="clear" w:color="auto" w:fill="CCCCFF"/>
          </w:tcPr>
          <w:p>
            <w:pPr>
              <w:spacing w:after="0"/>
              <w:rPr>
                <w:sz w:val="16"/>
                <w:szCs w:val="16"/>
                <w:color w:val="auto"/>
              </w:rPr>
            </w:pPr>
          </w:p>
        </w:tc>
        <w:tc>
          <w:tcPr>
            <w:tcW w:w="20" w:type="dxa"/>
            <w:vAlign w:val="bottom"/>
            <w:tcBorders>
              <w:top w:val="single" w:sz="8" w:color="CCCCFF"/>
            </w:tcBorders>
            <w:shd w:val="clear" w:color="auto" w:fill="CCCCFF"/>
          </w:tcPr>
          <w:p>
            <w:pPr>
              <w:spacing w:after="0"/>
              <w:rPr>
                <w:sz w:val="16"/>
                <w:szCs w:val="16"/>
                <w:color w:val="auto"/>
              </w:rPr>
            </w:pPr>
          </w:p>
        </w:tc>
        <w:tc>
          <w:tcPr>
            <w:tcW w:w="100" w:type="dxa"/>
            <w:vAlign w:val="bottom"/>
            <w:tcBorders>
              <w:top w:val="single" w:sz="8" w:color="CCCCFF"/>
              <w:right w:val="single" w:sz="8" w:color="auto"/>
            </w:tcBorders>
            <w:shd w:val="clear" w:color="auto" w:fill="CCCCFF"/>
          </w:tcPr>
          <w:p>
            <w:pPr>
              <w:spacing w:after="0"/>
              <w:rPr>
                <w:sz w:val="16"/>
                <w:szCs w:val="16"/>
                <w:color w:val="auto"/>
              </w:rPr>
            </w:pPr>
          </w:p>
        </w:tc>
        <w:tc>
          <w:tcPr>
            <w:tcW w:w="1120" w:type="dxa"/>
            <w:vAlign w:val="bottom"/>
            <w:tcBorders>
              <w:top w:val="single" w:sz="8" w:color="auto"/>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top w:val="single" w:sz="8" w:color="auto"/>
              <w:right w:val="single" w:sz="8" w:color="auto"/>
            </w:tcBorders>
            <w:shd w:val="clear" w:color="auto" w:fill="CCCCFF"/>
          </w:tcPr>
          <w:p>
            <w:pPr>
              <w:spacing w:after="0"/>
              <w:rPr>
                <w:sz w:val="16"/>
                <w:szCs w:val="16"/>
                <w:color w:val="auto"/>
              </w:rPr>
            </w:pPr>
          </w:p>
        </w:tc>
        <w:tc>
          <w:tcPr>
            <w:tcW w:w="1140" w:type="dxa"/>
            <w:vAlign w:val="bottom"/>
            <w:tcBorders>
              <w:top w:val="single" w:sz="8" w:color="auto"/>
            </w:tcBorders>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tcBorders>
              <w:top w:val="single" w:sz="8" w:color="auto"/>
            </w:tcBorders>
            <w:shd w:val="clear" w:color="auto" w:fill="CCCCFF"/>
          </w:tcPr>
          <w:p>
            <w:pPr>
              <w:spacing w:after="0"/>
              <w:rPr>
                <w:sz w:val="16"/>
                <w:szCs w:val="16"/>
                <w:color w:val="auto"/>
              </w:rPr>
            </w:pPr>
          </w:p>
        </w:tc>
        <w:tc>
          <w:tcPr>
            <w:tcW w:w="40" w:type="dxa"/>
            <w:vAlign w:val="bottom"/>
            <w:tcBorders>
              <w:top w:val="single" w:sz="8" w:color="auto"/>
            </w:tcBorders>
            <w:shd w:val="clear" w:color="auto" w:fill="CCCCFF"/>
          </w:tcPr>
          <w:p>
            <w:pPr>
              <w:spacing w:after="0"/>
              <w:rPr>
                <w:sz w:val="16"/>
                <w:szCs w:val="16"/>
                <w:color w:val="auto"/>
              </w:rPr>
            </w:pPr>
          </w:p>
        </w:tc>
        <w:tc>
          <w:tcPr>
            <w:tcW w:w="20" w:type="dxa"/>
            <w:vAlign w:val="bottom"/>
            <w:tcBorders>
              <w:top w:val="single" w:sz="8" w:color="auto"/>
            </w:tcBorders>
            <w:shd w:val="clear" w:color="auto" w:fill="CCCCFF"/>
          </w:tcPr>
          <w:p>
            <w:pPr>
              <w:spacing w:after="0"/>
              <w:rPr>
                <w:sz w:val="16"/>
                <w:szCs w:val="16"/>
                <w:color w:val="auto"/>
              </w:rPr>
            </w:pPr>
          </w:p>
        </w:tc>
        <w:tc>
          <w:tcPr>
            <w:tcW w:w="100" w:type="dxa"/>
            <w:vAlign w:val="bottom"/>
            <w:tcBorders>
              <w:top w:val="single" w:sz="8" w:color="auto"/>
              <w:right w:val="single" w:sz="8" w:color="auto"/>
            </w:tcBorders>
            <w:shd w:val="clear" w:color="auto" w:fill="CCCCFF"/>
          </w:tcPr>
          <w:p>
            <w:pPr>
              <w:spacing w:after="0"/>
              <w:rPr>
                <w:sz w:val="16"/>
                <w:szCs w:val="16"/>
                <w:color w:val="auto"/>
              </w:rPr>
            </w:pPr>
          </w:p>
        </w:tc>
        <w:tc>
          <w:tcPr>
            <w:tcW w:w="80" w:type="dxa"/>
            <w:vAlign w:val="bottom"/>
            <w:tcBorders>
              <w:top w:val="single" w:sz="8" w:color="auto"/>
            </w:tcBorders>
            <w:shd w:val="clear" w:color="auto" w:fill="CCCCFF"/>
          </w:tcPr>
          <w:p>
            <w:pPr>
              <w:spacing w:after="0"/>
              <w:rPr>
                <w:sz w:val="16"/>
                <w:szCs w:val="16"/>
                <w:color w:val="auto"/>
              </w:rPr>
            </w:pPr>
          </w:p>
        </w:tc>
        <w:tc>
          <w:tcPr>
            <w:tcW w:w="840" w:type="dxa"/>
            <w:vAlign w:val="bottom"/>
            <w:tcBorders>
              <w:top w:val="single" w:sz="8" w:color="auto"/>
            </w:tcBorders>
            <w:gridSpan w:val="6"/>
            <w:shd w:val="clear" w:color="auto" w:fill="CCCCFF"/>
          </w:tcPr>
          <w:p>
            <w:pPr>
              <w:jc w:val="center"/>
              <w:ind w:left="113"/>
              <w:spacing w:after="0" w:line="149" w:lineRule="exact"/>
              <w:rPr>
                <w:sz w:val="20"/>
                <w:szCs w:val="20"/>
                <w:color w:val="auto"/>
              </w:rPr>
            </w:pPr>
            <w:r>
              <w:rPr>
                <w:rFonts w:ascii="Times New Roman" w:cs="Times New Roman" w:eastAsia="Times New Roman" w:hAnsi="Times New Roman"/>
                <w:sz w:val="17"/>
                <w:szCs w:val="17"/>
                <w:color w:val="0000FF"/>
              </w:rPr>
              <w:t>6.3680%</w:t>
            </w:r>
          </w:p>
        </w:tc>
        <w:tc>
          <w:tcPr>
            <w:tcW w:w="100" w:type="dxa"/>
            <w:vAlign w:val="bottom"/>
            <w:tcBorders>
              <w:top w:val="single" w:sz="8" w:color="auto"/>
            </w:tcBorders>
            <w:shd w:val="clear" w:color="auto" w:fill="CCCCFF"/>
          </w:tcPr>
          <w:p>
            <w:pPr>
              <w:spacing w:after="0"/>
              <w:rPr>
                <w:sz w:val="16"/>
                <w:szCs w:val="16"/>
                <w:color w:val="auto"/>
              </w:rPr>
            </w:pPr>
          </w:p>
        </w:tc>
        <w:tc>
          <w:tcPr>
            <w:tcW w:w="20" w:type="dxa"/>
            <w:vAlign w:val="bottom"/>
            <w:tcBorders>
              <w:top w:val="single" w:sz="8" w:color="auto"/>
            </w:tcBorders>
            <w:shd w:val="clear" w:color="auto" w:fill="CCCCFF"/>
          </w:tcPr>
          <w:p>
            <w:pPr>
              <w:spacing w:after="0"/>
              <w:rPr>
                <w:sz w:val="16"/>
                <w:szCs w:val="16"/>
                <w:color w:val="auto"/>
              </w:rPr>
            </w:pPr>
          </w:p>
        </w:tc>
        <w:tc>
          <w:tcPr>
            <w:tcW w:w="60" w:type="dxa"/>
            <w:vAlign w:val="bottom"/>
            <w:tcBorders>
              <w:top w:val="single" w:sz="8" w:color="auto"/>
            </w:tcBorders>
            <w:shd w:val="clear" w:color="auto" w:fill="CCCCFF"/>
          </w:tcPr>
          <w:p>
            <w:pPr>
              <w:spacing w:after="0"/>
              <w:rPr>
                <w:sz w:val="16"/>
                <w:szCs w:val="16"/>
                <w:color w:val="auto"/>
              </w:rPr>
            </w:pPr>
          </w:p>
        </w:tc>
        <w:tc>
          <w:tcPr>
            <w:tcW w:w="20" w:type="dxa"/>
            <w:vAlign w:val="bottom"/>
            <w:tcBorders>
              <w:top w:val="single" w:sz="8" w:color="auto"/>
            </w:tcBorders>
            <w:shd w:val="clear" w:color="auto" w:fill="CCCCFF"/>
          </w:tcPr>
          <w:p>
            <w:pPr>
              <w:spacing w:after="0"/>
              <w:rPr>
                <w:sz w:val="16"/>
                <w:szCs w:val="16"/>
                <w:color w:val="auto"/>
              </w:rPr>
            </w:pPr>
          </w:p>
        </w:tc>
        <w:tc>
          <w:tcPr>
            <w:tcW w:w="100" w:type="dxa"/>
            <w:vAlign w:val="bottom"/>
            <w:tcBorders>
              <w:top w:val="single" w:sz="8" w:color="auto"/>
              <w:right w:val="single" w:sz="8" w:color="auto"/>
            </w:tcBorders>
            <w:shd w:val="clear" w:color="auto" w:fill="CCCCFF"/>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20" w:type="dxa"/>
            <w:vAlign w:val="bottom"/>
            <w:tcBorders>
              <w:left w:val="single" w:sz="8" w:color="auto"/>
            </w:tcBorders>
          </w:tcPr>
          <w:p>
            <w:pPr>
              <w:spacing w:after="0"/>
              <w:rPr>
                <w:sz w:val="8"/>
                <w:szCs w:val="8"/>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Bank USA</w:t>
            </w:r>
          </w:p>
        </w:tc>
        <w:tc>
          <w:tcPr>
            <w:tcW w:w="340" w:type="dxa"/>
            <w:vAlign w:val="bottom"/>
            <w:tcBorders>
              <w:top w:val="single" w:sz="8" w:color="FFCCCC"/>
            </w:tcBorders>
            <w:shd w:val="clear" w:color="auto" w:fill="FFCCCC"/>
          </w:tcPr>
          <w:p>
            <w:pPr>
              <w:spacing w:after="0"/>
              <w:rPr>
                <w:sz w:val="8"/>
                <w:szCs w:val="8"/>
                <w:color w:val="auto"/>
              </w:rPr>
            </w:pPr>
          </w:p>
        </w:tc>
        <w:tc>
          <w:tcPr>
            <w:tcW w:w="840" w:type="dxa"/>
            <w:vAlign w:val="bottom"/>
            <w:tcBorders>
              <w:top w:val="single" w:sz="8" w:color="FFCCCC"/>
            </w:tcBorders>
            <w:shd w:val="clear" w:color="auto" w:fill="FFCCCC"/>
          </w:tcPr>
          <w:p>
            <w:pPr>
              <w:spacing w:after="0"/>
              <w:rPr>
                <w:sz w:val="8"/>
                <w:szCs w:val="8"/>
                <w:color w:val="auto"/>
              </w:rPr>
            </w:pPr>
          </w:p>
        </w:tc>
        <w:tc>
          <w:tcPr>
            <w:tcW w:w="260" w:type="dxa"/>
            <w:vAlign w:val="bottom"/>
            <w:tcBorders>
              <w:top w:val="single" w:sz="8" w:color="FFCCCC"/>
              <w:right w:val="single" w:sz="8" w:color="FFCCCC"/>
            </w:tcBorders>
            <w:shd w:val="clear" w:color="auto" w:fill="FFCCCC"/>
          </w:tcPr>
          <w:p>
            <w:pPr>
              <w:spacing w:after="0"/>
              <w:rPr>
                <w:sz w:val="8"/>
                <w:szCs w:val="8"/>
                <w:color w:val="auto"/>
              </w:rPr>
            </w:pPr>
          </w:p>
        </w:tc>
        <w:tc>
          <w:tcPr>
            <w:tcW w:w="100" w:type="dxa"/>
            <w:vAlign w:val="bottom"/>
            <w:tcBorders>
              <w:top w:val="single" w:sz="8" w:color="FFCCCC"/>
              <w:right w:val="single" w:sz="8" w:color="auto"/>
            </w:tcBorders>
            <w:shd w:val="clear" w:color="auto" w:fill="FFCCCC"/>
          </w:tcPr>
          <w:p>
            <w:pPr>
              <w:spacing w:after="0"/>
              <w:rPr>
                <w:sz w:val="8"/>
                <w:szCs w:val="8"/>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00" w:type="dxa"/>
            <w:vAlign w:val="bottom"/>
            <w:tcBorders>
              <w:top w:val="single" w:sz="8" w:color="auto"/>
              <w:right w:val="single" w:sz="8" w:color="CCCCFF"/>
            </w:tcBorders>
            <w:gridSpan w:val="7"/>
            <w:vMerge w:val="continue"/>
            <w:shd w:val="clear" w:color="auto" w:fill="CCCCFF"/>
          </w:tcPr>
          <w:p>
            <w:pPr>
              <w:spacing w:after="0"/>
              <w:rPr>
                <w:sz w:val="8"/>
                <w:szCs w:val="8"/>
                <w:color w:val="auto"/>
              </w:rPr>
            </w:pPr>
          </w:p>
        </w:tc>
        <w:tc>
          <w:tcPr>
            <w:tcW w:w="120" w:type="dxa"/>
            <w:vAlign w:val="bottom"/>
            <w:tcBorders>
              <w:top w:val="single" w:sz="8" w:color="CCCCFF"/>
              <w:right w:val="single" w:sz="8" w:color="auto"/>
            </w:tcBorders>
            <w:shd w:val="clear" w:color="auto" w:fill="CCCCFF"/>
          </w:tcPr>
          <w:p>
            <w:pPr>
              <w:spacing w:after="0"/>
              <w:rPr>
                <w:sz w:val="8"/>
                <w:szCs w:val="8"/>
                <w:color w:val="auto"/>
              </w:rPr>
            </w:pPr>
          </w:p>
        </w:tc>
        <w:tc>
          <w:tcPr>
            <w:tcW w:w="1040" w:type="dxa"/>
            <w:vAlign w:val="bottom"/>
            <w:tcBorders>
              <w:top w:val="single" w:sz="8" w:color="CCCCFF"/>
            </w:tcBorders>
            <w:gridSpan w:val="8"/>
            <w:vMerge w:val="continue"/>
            <w:shd w:val="clear" w:color="auto" w:fill="CCCCFF"/>
          </w:tcPr>
          <w:p>
            <w:pPr>
              <w:spacing w:after="0"/>
              <w:rPr>
                <w:sz w:val="8"/>
                <w:szCs w:val="8"/>
                <w:color w:val="auto"/>
              </w:rPr>
            </w:pPr>
          </w:p>
        </w:tc>
        <w:tc>
          <w:tcPr>
            <w:tcW w:w="40" w:type="dxa"/>
            <w:vAlign w:val="bottom"/>
            <w:tcBorders>
              <w:top w:val="single" w:sz="8" w:color="CCCCFF"/>
            </w:tcBorders>
            <w:shd w:val="clear" w:color="auto" w:fill="CCCCFF"/>
          </w:tcPr>
          <w:p>
            <w:pPr>
              <w:spacing w:after="0"/>
              <w:rPr>
                <w:sz w:val="8"/>
                <w:szCs w:val="8"/>
                <w:color w:val="auto"/>
              </w:rPr>
            </w:pPr>
          </w:p>
        </w:tc>
        <w:tc>
          <w:tcPr>
            <w:tcW w:w="20" w:type="dxa"/>
            <w:vAlign w:val="bottom"/>
            <w:tcBorders>
              <w:top w:val="single" w:sz="8" w:color="CCCCFF"/>
            </w:tcBorders>
            <w:shd w:val="clear" w:color="auto" w:fill="CCCCFF"/>
          </w:tcPr>
          <w:p>
            <w:pPr>
              <w:spacing w:after="0"/>
              <w:rPr>
                <w:sz w:val="8"/>
                <w:szCs w:val="8"/>
                <w:color w:val="auto"/>
              </w:rPr>
            </w:pPr>
          </w:p>
        </w:tc>
        <w:tc>
          <w:tcPr>
            <w:tcW w:w="100" w:type="dxa"/>
            <w:vAlign w:val="bottom"/>
            <w:tcBorders>
              <w:top w:val="single" w:sz="8" w:color="CCCCFF"/>
              <w:right w:val="single" w:sz="8" w:color="auto"/>
            </w:tcBorders>
            <w:shd w:val="clear" w:color="auto" w:fill="CCCCFF"/>
          </w:tcPr>
          <w:p>
            <w:pPr>
              <w:spacing w:after="0"/>
              <w:rPr>
                <w:sz w:val="8"/>
                <w:szCs w:val="8"/>
                <w:color w:val="auto"/>
              </w:rPr>
            </w:pPr>
          </w:p>
        </w:tc>
        <w:tc>
          <w:tcPr>
            <w:tcW w:w="1120" w:type="dxa"/>
            <w:vAlign w:val="bottom"/>
            <w:tcBorders>
              <w:top w:val="single" w:sz="8" w:color="auto"/>
              <w:right w:val="single" w:sz="8" w:color="CCCCFF"/>
            </w:tcBorders>
            <w:gridSpan w:val="8"/>
            <w:vMerge w:val="continue"/>
            <w:shd w:val="clear" w:color="auto" w:fill="CCCCFF"/>
          </w:tcPr>
          <w:p>
            <w:pPr>
              <w:spacing w:after="0"/>
              <w:rPr>
                <w:sz w:val="8"/>
                <w:szCs w:val="8"/>
                <w:color w:val="auto"/>
              </w:rPr>
            </w:pPr>
          </w:p>
        </w:tc>
        <w:tc>
          <w:tcPr>
            <w:tcW w:w="160" w:type="dxa"/>
            <w:vAlign w:val="bottom"/>
            <w:tcBorders>
              <w:top w:val="single" w:sz="8" w:color="CCCCFF"/>
              <w:right w:val="single" w:sz="8" w:color="auto"/>
            </w:tcBorders>
            <w:shd w:val="clear" w:color="auto" w:fill="CCCCFF"/>
          </w:tcPr>
          <w:p>
            <w:pPr>
              <w:spacing w:after="0"/>
              <w:rPr>
                <w:sz w:val="8"/>
                <w:szCs w:val="8"/>
                <w:color w:val="auto"/>
              </w:rPr>
            </w:pPr>
          </w:p>
        </w:tc>
        <w:tc>
          <w:tcPr>
            <w:tcW w:w="1140" w:type="dxa"/>
            <w:vAlign w:val="bottom"/>
            <w:tcBorders>
              <w:top w:val="single" w:sz="8" w:color="auto"/>
            </w:tcBorders>
            <w:gridSpan w:val="8"/>
            <w:vMerge w:val="continue"/>
            <w:shd w:val="clear" w:color="auto" w:fill="CCCCFF"/>
          </w:tcPr>
          <w:p>
            <w:pPr>
              <w:spacing w:after="0"/>
              <w:rPr>
                <w:sz w:val="8"/>
                <w:szCs w:val="8"/>
                <w:color w:val="auto"/>
              </w:rPr>
            </w:pPr>
          </w:p>
        </w:tc>
        <w:tc>
          <w:tcPr>
            <w:tcW w:w="20" w:type="dxa"/>
            <w:vAlign w:val="bottom"/>
            <w:tcBorders>
              <w:top w:val="single" w:sz="8" w:color="CCCCFF"/>
            </w:tcBorders>
            <w:shd w:val="clear" w:color="auto" w:fill="CCCCFF"/>
          </w:tcPr>
          <w:p>
            <w:pPr>
              <w:spacing w:after="0"/>
              <w:rPr>
                <w:sz w:val="8"/>
                <w:szCs w:val="8"/>
                <w:color w:val="auto"/>
              </w:rPr>
            </w:pPr>
          </w:p>
        </w:tc>
        <w:tc>
          <w:tcPr>
            <w:tcW w:w="40" w:type="dxa"/>
            <w:vAlign w:val="bottom"/>
            <w:tcBorders>
              <w:top w:val="single" w:sz="8" w:color="CCCCFF"/>
            </w:tcBorders>
            <w:shd w:val="clear" w:color="auto" w:fill="CCCCFF"/>
          </w:tcPr>
          <w:p>
            <w:pPr>
              <w:spacing w:after="0"/>
              <w:rPr>
                <w:sz w:val="8"/>
                <w:szCs w:val="8"/>
                <w:color w:val="auto"/>
              </w:rPr>
            </w:pPr>
          </w:p>
        </w:tc>
        <w:tc>
          <w:tcPr>
            <w:tcW w:w="20" w:type="dxa"/>
            <w:vAlign w:val="bottom"/>
            <w:tcBorders>
              <w:top w:val="single" w:sz="8" w:color="CCCCFF"/>
            </w:tcBorders>
            <w:shd w:val="clear" w:color="auto" w:fill="CCCCFF"/>
          </w:tcPr>
          <w:p>
            <w:pPr>
              <w:spacing w:after="0"/>
              <w:rPr>
                <w:sz w:val="8"/>
                <w:szCs w:val="8"/>
                <w:color w:val="auto"/>
              </w:rPr>
            </w:pPr>
          </w:p>
        </w:tc>
        <w:tc>
          <w:tcPr>
            <w:tcW w:w="100" w:type="dxa"/>
            <w:vAlign w:val="bottom"/>
            <w:tcBorders>
              <w:top w:val="single" w:sz="8" w:color="CCCCFF"/>
              <w:right w:val="single" w:sz="8" w:color="auto"/>
            </w:tcBorders>
            <w:shd w:val="clear" w:color="auto" w:fill="CCCCFF"/>
          </w:tcPr>
          <w:p>
            <w:pPr>
              <w:spacing w:after="0"/>
              <w:rPr>
                <w:sz w:val="8"/>
                <w:szCs w:val="8"/>
                <w:color w:val="auto"/>
              </w:rPr>
            </w:pPr>
          </w:p>
        </w:tc>
        <w:tc>
          <w:tcPr>
            <w:tcW w:w="80" w:type="dxa"/>
            <w:vAlign w:val="bottom"/>
            <w:tcBorders>
              <w:top w:val="single" w:sz="8" w:color="CCCCFF"/>
            </w:tcBorders>
            <w:shd w:val="clear" w:color="auto" w:fill="CCCCFF"/>
          </w:tcPr>
          <w:p>
            <w:pPr>
              <w:spacing w:after="0"/>
              <w:rPr>
                <w:sz w:val="8"/>
                <w:szCs w:val="8"/>
                <w:color w:val="auto"/>
              </w:rPr>
            </w:pPr>
          </w:p>
        </w:tc>
        <w:tc>
          <w:tcPr>
            <w:tcW w:w="80" w:type="dxa"/>
            <w:vAlign w:val="bottom"/>
            <w:tcBorders>
              <w:top w:val="single" w:sz="8" w:color="CCCCFF"/>
            </w:tcBorders>
            <w:shd w:val="clear" w:color="auto" w:fill="CCCCFF"/>
          </w:tcPr>
          <w:p>
            <w:pPr>
              <w:spacing w:after="0"/>
              <w:rPr>
                <w:sz w:val="8"/>
                <w:szCs w:val="8"/>
                <w:color w:val="auto"/>
              </w:rPr>
            </w:pPr>
          </w:p>
        </w:tc>
        <w:tc>
          <w:tcPr>
            <w:tcW w:w="20" w:type="dxa"/>
            <w:vAlign w:val="bottom"/>
            <w:tcBorders>
              <w:top w:val="single" w:sz="8" w:color="CCCCFF"/>
            </w:tcBorders>
            <w:shd w:val="clear" w:color="auto" w:fill="CCCCFF"/>
          </w:tcPr>
          <w:p>
            <w:pPr>
              <w:spacing w:after="0"/>
              <w:rPr>
                <w:sz w:val="8"/>
                <w:szCs w:val="8"/>
                <w:color w:val="auto"/>
              </w:rPr>
            </w:pPr>
          </w:p>
        </w:tc>
        <w:tc>
          <w:tcPr>
            <w:tcW w:w="100" w:type="dxa"/>
            <w:vAlign w:val="bottom"/>
            <w:tcBorders>
              <w:top w:val="single" w:sz="8" w:color="CCCCFF"/>
            </w:tcBorders>
            <w:shd w:val="clear" w:color="auto" w:fill="CCCCFF"/>
          </w:tcPr>
          <w:p>
            <w:pPr>
              <w:spacing w:after="0"/>
              <w:rPr>
                <w:sz w:val="8"/>
                <w:szCs w:val="8"/>
                <w:color w:val="auto"/>
              </w:rPr>
            </w:pPr>
          </w:p>
        </w:tc>
        <w:tc>
          <w:tcPr>
            <w:tcW w:w="120" w:type="dxa"/>
            <w:vAlign w:val="bottom"/>
            <w:tcBorders>
              <w:top w:val="single" w:sz="8" w:color="0000FF"/>
            </w:tcBorders>
            <w:shd w:val="clear" w:color="auto" w:fill="CCCCFF"/>
          </w:tcPr>
          <w:p>
            <w:pPr>
              <w:spacing w:after="0"/>
              <w:rPr>
                <w:sz w:val="8"/>
                <w:szCs w:val="8"/>
                <w:color w:val="auto"/>
              </w:rPr>
            </w:pPr>
          </w:p>
        </w:tc>
        <w:tc>
          <w:tcPr>
            <w:tcW w:w="400" w:type="dxa"/>
            <w:vAlign w:val="bottom"/>
            <w:tcBorders>
              <w:top w:val="single" w:sz="8" w:color="0000FF"/>
            </w:tcBorders>
            <w:shd w:val="clear" w:color="auto" w:fill="CCCCFF"/>
          </w:tcPr>
          <w:p>
            <w:pPr>
              <w:spacing w:after="0"/>
              <w:rPr>
                <w:sz w:val="8"/>
                <w:szCs w:val="8"/>
                <w:color w:val="auto"/>
              </w:rPr>
            </w:pPr>
          </w:p>
        </w:tc>
        <w:tc>
          <w:tcPr>
            <w:tcW w:w="120" w:type="dxa"/>
            <w:vAlign w:val="bottom"/>
            <w:tcBorders>
              <w:top w:val="single" w:sz="8" w:color="0000FF"/>
            </w:tcBorders>
            <w:shd w:val="clear" w:color="auto" w:fill="CCCCFF"/>
          </w:tcPr>
          <w:p>
            <w:pPr>
              <w:spacing w:after="0"/>
              <w:rPr>
                <w:sz w:val="8"/>
                <w:szCs w:val="8"/>
                <w:color w:val="auto"/>
              </w:rPr>
            </w:pPr>
          </w:p>
        </w:tc>
        <w:tc>
          <w:tcPr>
            <w:tcW w:w="100" w:type="dxa"/>
            <w:vAlign w:val="bottom"/>
            <w:tcBorders>
              <w:top w:val="single" w:sz="8" w:color="CCCCFF"/>
            </w:tcBorders>
            <w:shd w:val="clear" w:color="auto" w:fill="CCCCFF"/>
          </w:tcPr>
          <w:p>
            <w:pPr>
              <w:spacing w:after="0"/>
              <w:rPr>
                <w:sz w:val="8"/>
                <w:szCs w:val="8"/>
                <w:color w:val="auto"/>
              </w:rPr>
            </w:pPr>
          </w:p>
        </w:tc>
        <w:tc>
          <w:tcPr>
            <w:tcW w:w="20" w:type="dxa"/>
            <w:vAlign w:val="bottom"/>
            <w:tcBorders>
              <w:top w:val="single" w:sz="8" w:color="CCCCFF"/>
            </w:tcBorders>
            <w:shd w:val="clear" w:color="auto" w:fill="CCCCFF"/>
          </w:tcPr>
          <w:p>
            <w:pPr>
              <w:spacing w:after="0"/>
              <w:rPr>
                <w:sz w:val="8"/>
                <w:szCs w:val="8"/>
                <w:color w:val="auto"/>
              </w:rPr>
            </w:pPr>
          </w:p>
        </w:tc>
        <w:tc>
          <w:tcPr>
            <w:tcW w:w="60" w:type="dxa"/>
            <w:vAlign w:val="bottom"/>
            <w:tcBorders>
              <w:top w:val="single" w:sz="8" w:color="CCCCFF"/>
            </w:tcBorders>
            <w:shd w:val="clear" w:color="auto" w:fill="CCCCFF"/>
          </w:tcPr>
          <w:p>
            <w:pPr>
              <w:spacing w:after="0"/>
              <w:rPr>
                <w:sz w:val="8"/>
                <w:szCs w:val="8"/>
                <w:color w:val="auto"/>
              </w:rPr>
            </w:pPr>
          </w:p>
        </w:tc>
        <w:tc>
          <w:tcPr>
            <w:tcW w:w="20" w:type="dxa"/>
            <w:vAlign w:val="bottom"/>
            <w:tcBorders>
              <w:top w:val="single" w:sz="8" w:color="CCCCFF"/>
            </w:tcBorders>
            <w:shd w:val="clear" w:color="auto" w:fill="CCCCFF"/>
          </w:tcPr>
          <w:p>
            <w:pPr>
              <w:spacing w:after="0"/>
              <w:rPr>
                <w:sz w:val="8"/>
                <w:szCs w:val="8"/>
                <w:color w:val="auto"/>
              </w:rPr>
            </w:pPr>
          </w:p>
        </w:tc>
        <w:tc>
          <w:tcPr>
            <w:tcW w:w="100" w:type="dxa"/>
            <w:vAlign w:val="bottom"/>
            <w:tcBorders>
              <w:top w:val="single" w:sz="8" w:color="CCCCFF"/>
              <w:right w:val="single" w:sz="8" w:color="auto"/>
            </w:tcBorders>
            <w:shd w:val="clear" w:color="auto" w:fill="CCCC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JPMorgan Chase</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right w:val="single" w:sz="8" w:color="auto"/>
            </w:tcBorders>
            <w:shd w:val="clear" w:color="auto" w:fill="CCCCFF"/>
          </w:tcPr>
          <w:p>
            <w:pPr>
              <w:spacing w:after="0"/>
              <w:rPr>
                <w:sz w:val="18"/>
                <w:szCs w:val="18"/>
                <w:color w:val="auto"/>
              </w:rPr>
            </w:pPr>
          </w:p>
        </w:tc>
        <w:tc>
          <w:tcPr>
            <w:tcW w:w="11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Bank, N.A.</w:t>
            </w: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40" w:type="dxa"/>
            <w:vAlign w:val="bottom"/>
            <w:tcBorders>
              <w:top w:val="single" w:sz="8" w:color="CCCCFF"/>
            </w:tcBorders>
            <w:gridSpan w:val="8"/>
            <w:vMerge w:val="continue"/>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Morgan Stanley</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right w:val="single" w:sz="8" w:color="auto"/>
            </w:tcBorders>
            <w:shd w:val="clear" w:color="auto" w:fill="CCCCFF"/>
          </w:tcPr>
          <w:p>
            <w:pPr>
              <w:spacing w:after="0"/>
              <w:rPr>
                <w:sz w:val="18"/>
                <w:szCs w:val="18"/>
                <w:color w:val="auto"/>
              </w:rPr>
            </w:pPr>
          </w:p>
        </w:tc>
        <w:tc>
          <w:tcPr>
            <w:tcW w:w="11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Bank, N.A.</w:t>
            </w: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40" w:type="dxa"/>
            <w:vAlign w:val="bottom"/>
            <w:tcBorders>
              <w:top w:val="single" w:sz="8" w:color="CCCCFF"/>
            </w:tcBorders>
            <w:gridSpan w:val="8"/>
            <w:vMerge w:val="continue"/>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PNC Bank,</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CCCCFF"/>
            </w:tcBorders>
            <w:shd w:val="clear" w:color="auto" w:fill="CCCCFF"/>
          </w:tcPr>
          <w:p>
            <w:pPr>
              <w:spacing w:after="0"/>
              <w:rPr>
                <w:sz w:val="18"/>
                <w:szCs w:val="18"/>
                <w:color w:val="auto"/>
              </w:rPr>
            </w:pPr>
          </w:p>
        </w:tc>
        <w:tc>
          <w:tcPr>
            <w:tcW w:w="520" w:type="dxa"/>
            <w:vAlign w:val="bottom"/>
            <w:tcBorders>
              <w:right w:val="single" w:sz="8" w:color="CCCCFF"/>
            </w:tcBorders>
            <w:shd w:val="clear" w:color="auto" w:fill="CCCCFF"/>
          </w:tcPr>
          <w:p>
            <w:pPr>
              <w:spacing w:after="0"/>
              <w:rPr>
                <w:sz w:val="18"/>
                <w:szCs w:val="18"/>
                <w:color w:val="auto"/>
              </w:rPr>
            </w:pPr>
          </w:p>
        </w:tc>
        <w:tc>
          <w:tcPr>
            <w:tcW w:w="300" w:type="dxa"/>
            <w:vAlign w:val="bottom"/>
            <w:tcBorders>
              <w:right w:val="single" w:sz="8" w:color="CCCCFF"/>
            </w:tcBorders>
            <w:shd w:val="clear" w:color="auto" w:fill="CCCCFF"/>
          </w:tcPr>
          <w:p>
            <w:pPr>
              <w:spacing w:after="0"/>
              <w:rPr>
                <w:sz w:val="18"/>
                <w:szCs w:val="18"/>
                <w:color w:val="auto"/>
              </w:rPr>
            </w:pPr>
          </w:p>
        </w:tc>
        <w:tc>
          <w:tcPr>
            <w:tcW w:w="12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0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tcBorders>
              <w:right w:val="single" w:sz="8" w:color="CCCCFF"/>
            </w:tcBorders>
            <w:shd w:val="clear" w:color="auto" w:fill="CCCCFF"/>
          </w:tcPr>
          <w:p>
            <w:pPr>
              <w:spacing w:after="0"/>
              <w:rPr>
                <w:sz w:val="18"/>
                <w:szCs w:val="18"/>
                <w:color w:val="auto"/>
              </w:rPr>
            </w:pPr>
          </w:p>
        </w:tc>
        <w:tc>
          <w:tcPr>
            <w:tcW w:w="260" w:type="dxa"/>
            <w:vAlign w:val="bottom"/>
            <w:tcBorders>
              <w:left w:val="single" w:sz="8" w:color="CCCCFF"/>
            </w:tcBorders>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400" w:type="dxa"/>
            <w:vAlign w:val="bottom"/>
            <w:tcBorders>
              <w:right w:val="single" w:sz="8" w:color="CCCCFF"/>
            </w:tcBorders>
            <w:shd w:val="clear" w:color="auto" w:fill="CCCCFF"/>
          </w:tcPr>
          <w:p>
            <w:pPr>
              <w:spacing w:after="0"/>
              <w:rPr>
                <w:sz w:val="18"/>
                <w:szCs w:val="18"/>
                <w:color w:val="auto"/>
              </w:rPr>
            </w:pPr>
          </w:p>
        </w:tc>
        <w:tc>
          <w:tcPr>
            <w:tcW w:w="16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20" w:type="dxa"/>
            <w:vAlign w:val="bottom"/>
            <w:shd w:val="clear" w:color="auto" w:fill="CCCCFF"/>
          </w:tcPr>
          <w:p>
            <w:pPr>
              <w:spacing w:after="0"/>
              <w:rPr>
                <w:sz w:val="18"/>
                <w:szCs w:val="18"/>
                <w:color w:val="auto"/>
              </w:rPr>
            </w:pPr>
          </w:p>
        </w:tc>
        <w:tc>
          <w:tcPr>
            <w:tcW w:w="40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National</w:t>
            </w:r>
          </w:p>
        </w:tc>
        <w:tc>
          <w:tcPr>
            <w:tcW w:w="340" w:type="dxa"/>
            <w:vAlign w:val="bottom"/>
            <w:tcBorders>
              <w:top w:val="single" w:sz="8" w:color="FFCCCC"/>
            </w:tcBorders>
            <w:shd w:val="clear" w:color="auto" w:fill="FFCCCC"/>
          </w:tcPr>
          <w:p>
            <w:pPr>
              <w:spacing w:after="0"/>
              <w:rPr>
                <w:sz w:val="6"/>
                <w:szCs w:val="6"/>
                <w:color w:val="auto"/>
              </w:rPr>
            </w:pPr>
          </w:p>
        </w:tc>
        <w:tc>
          <w:tcPr>
            <w:tcW w:w="840" w:type="dxa"/>
            <w:vAlign w:val="bottom"/>
            <w:tcBorders>
              <w:top w:val="single" w:sz="8" w:color="FFCCCC"/>
            </w:tcBorders>
            <w:shd w:val="clear" w:color="auto" w:fill="FFCCCC"/>
          </w:tcPr>
          <w:p>
            <w:pPr>
              <w:spacing w:after="0"/>
              <w:rPr>
                <w:sz w:val="6"/>
                <w:szCs w:val="6"/>
                <w:color w:val="auto"/>
              </w:rPr>
            </w:pPr>
          </w:p>
        </w:tc>
        <w:tc>
          <w:tcPr>
            <w:tcW w:w="260" w:type="dxa"/>
            <w:vAlign w:val="bottom"/>
            <w:tcBorders>
              <w:top w:val="single" w:sz="8" w:color="FFCCCC"/>
              <w:right w:val="single" w:sz="8" w:color="FFCCCC"/>
            </w:tcBorders>
            <w:shd w:val="clear" w:color="auto" w:fill="FFCCCC"/>
          </w:tcPr>
          <w:p>
            <w:pPr>
              <w:spacing w:after="0"/>
              <w:rPr>
                <w:sz w:val="6"/>
                <w:szCs w:val="6"/>
                <w:color w:val="auto"/>
              </w:rPr>
            </w:pPr>
          </w:p>
        </w:tc>
        <w:tc>
          <w:tcPr>
            <w:tcW w:w="100" w:type="dxa"/>
            <w:vAlign w:val="bottom"/>
            <w:tcBorders>
              <w:top w:val="single" w:sz="8" w:color="FFCCCC"/>
              <w:right w:val="single" w:sz="8" w:color="auto"/>
            </w:tcBorders>
            <w:shd w:val="clear" w:color="auto" w:fill="FFCCCC"/>
          </w:tcPr>
          <w:p>
            <w:pPr>
              <w:spacing w:after="0"/>
              <w:rPr>
                <w:sz w:val="6"/>
                <w:szCs w:val="6"/>
                <w:color w:val="auto"/>
              </w:rPr>
            </w:pPr>
          </w:p>
        </w:tc>
        <w:tc>
          <w:tcPr>
            <w:tcW w:w="340" w:type="dxa"/>
            <w:vAlign w:val="bottom"/>
            <w:gridSpan w:val="2"/>
          </w:tcPr>
          <w:p>
            <w:pPr>
              <w:spacing w:after="0"/>
              <w:rPr>
                <w:sz w:val="6"/>
                <w:szCs w:val="6"/>
                <w:color w:val="auto"/>
              </w:rPr>
            </w:pPr>
          </w:p>
        </w:tc>
        <w:tc>
          <w:tcPr>
            <w:tcW w:w="112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100" w:type="dxa"/>
            <w:vAlign w:val="bottom"/>
            <w:tcBorders>
              <w:top w:val="single" w:sz="8" w:color="CCCCFF"/>
              <w:right w:val="single" w:sz="8" w:color="CCCCFF"/>
            </w:tcBorders>
            <w:gridSpan w:val="7"/>
            <w:vMerge w:val="restart"/>
            <w:shd w:val="clear" w:color="auto" w:fill="CCCCFF"/>
          </w:tcPr>
          <w:p>
            <w:pPr>
              <w:jc w:val="center"/>
              <w:spacing w:after="0" w:line="156" w:lineRule="exact"/>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top w:val="single" w:sz="8" w:color="CCCCFF"/>
              <w:right w:val="single" w:sz="8" w:color="auto"/>
            </w:tcBorders>
            <w:shd w:val="clear" w:color="auto" w:fill="CCCCFF"/>
          </w:tcPr>
          <w:p>
            <w:pPr>
              <w:spacing w:after="0"/>
              <w:rPr>
                <w:sz w:val="6"/>
                <w:szCs w:val="6"/>
                <w:color w:val="auto"/>
              </w:rPr>
            </w:pPr>
          </w:p>
        </w:tc>
        <w:tc>
          <w:tcPr>
            <w:tcW w:w="10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1120" w:type="dxa"/>
            <w:vAlign w:val="bottom"/>
            <w:tcBorders>
              <w:top w:val="single" w:sz="8" w:color="CCCCFF"/>
              <w:right w:val="single" w:sz="8" w:color="CCCCFF"/>
            </w:tcBorders>
            <w:gridSpan w:val="8"/>
            <w:vMerge w:val="restart"/>
            <w:shd w:val="clear" w:color="auto" w:fill="CCCC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top w:val="single" w:sz="8" w:color="CCCCFF"/>
              <w:right w:val="single" w:sz="8" w:color="auto"/>
            </w:tcBorders>
            <w:shd w:val="clear" w:color="auto" w:fill="CCCCFF"/>
          </w:tcPr>
          <w:p>
            <w:pPr>
              <w:spacing w:after="0"/>
              <w:rPr>
                <w:sz w:val="6"/>
                <w:szCs w:val="6"/>
                <w:color w:val="auto"/>
              </w:rPr>
            </w:pPr>
          </w:p>
        </w:tc>
        <w:tc>
          <w:tcPr>
            <w:tcW w:w="11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tcBorders>
              <w:top w:val="single" w:sz="8" w:color="CCCCFF"/>
            </w:tcBorders>
            <w:shd w:val="clear" w:color="auto" w:fill="CCCCFF"/>
          </w:tcPr>
          <w:p>
            <w:pPr>
              <w:spacing w:after="0"/>
              <w:rPr>
                <w:sz w:val="6"/>
                <w:szCs w:val="6"/>
                <w:color w:val="auto"/>
              </w:rPr>
            </w:pP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400" w:type="dxa"/>
            <w:vAlign w:val="bottom"/>
            <w:tcBorders>
              <w:top w:val="single" w:sz="8" w:color="0000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6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340" w:type="dxa"/>
            <w:vAlign w:val="bottom"/>
            <w:shd w:val="clear" w:color="auto" w:fill="FFCCCC"/>
          </w:tcPr>
          <w:p>
            <w:pPr>
              <w:spacing w:after="0"/>
              <w:rPr>
                <w:sz w:val="10"/>
                <w:szCs w:val="10"/>
                <w:color w:val="auto"/>
              </w:rPr>
            </w:pPr>
          </w:p>
        </w:tc>
        <w:tc>
          <w:tcPr>
            <w:tcW w:w="840" w:type="dxa"/>
            <w:vAlign w:val="bottom"/>
            <w:shd w:val="clear" w:color="auto" w:fill="FFCCCC"/>
          </w:tcPr>
          <w:p>
            <w:pPr>
              <w:spacing w:after="0"/>
              <w:rPr>
                <w:sz w:val="10"/>
                <w:szCs w:val="10"/>
                <w:color w:val="auto"/>
              </w:rPr>
            </w:pPr>
          </w:p>
        </w:tc>
        <w:tc>
          <w:tcPr>
            <w:tcW w:w="260" w:type="dxa"/>
            <w:vAlign w:val="bottom"/>
            <w:tcBorders>
              <w:right w:val="single" w:sz="8" w:color="FFCCCC"/>
            </w:tcBorders>
            <w:shd w:val="clear" w:color="auto" w:fill="FFCCCC"/>
          </w:tcPr>
          <w:p>
            <w:pPr>
              <w:spacing w:after="0"/>
              <w:rPr>
                <w:sz w:val="10"/>
                <w:szCs w:val="10"/>
                <w:color w:val="auto"/>
              </w:rPr>
            </w:pPr>
          </w:p>
        </w:tc>
        <w:tc>
          <w:tcPr>
            <w:tcW w:w="100" w:type="dxa"/>
            <w:vAlign w:val="bottom"/>
            <w:tcBorders>
              <w:right w:val="single" w:sz="8" w:color="auto"/>
            </w:tcBorders>
            <w:shd w:val="clear" w:color="auto" w:fill="FFCCCC"/>
          </w:tcPr>
          <w:p>
            <w:pPr>
              <w:spacing w:after="0"/>
              <w:rPr>
                <w:sz w:val="10"/>
                <w:szCs w:val="10"/>
                <w:color w:val="auto"/>
              </w:rPr>
            </w:pPr>
          </w:p>
        </w:tc>
        <w:tc>
          <w:tcPr>
            <w:tcW w:w="1360" w:type="dxa"/>
            <w:vAlign w:val="bottom"/>
            <w:gridSpan w:val="7"/>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00" w:type="dxa"/>
            <w:vAlign w:val="bottom"/>
            <w:tcBorders>
              <w:right w:val="single" w:sz="8" w:color="CCCCFF"/>
            </w:tcBorders>
            <w:gridSpan w:val="7"/>
            <w:vMerge w:val="continue"/>
            <w:shd w:val="clear" w:color="auto" w:fill="CCCCFF"/>
          </w:tcPr>
          <w:p>
            <w:pPr>
              <w:spacing w:after="0"/>
              <w:rPr>
                <w:sz w:val="10"/>
                <w:szCs w:val="10"/>
                <w:color w:val="auto"/>
              </w:rPr>
            </w:pPr>
          </w:p>
        </w:tc>
        <w:tc>
          <w:tcPr>
            <w:tcW w:w="120" w:type="dxa"/>
            <w:vAlign w:val="bottom"/>
            <w:tcBorders>
              <w:right w:val="single" w:sz="8" w:color="auto"/>
            </w:tcBorders>
            <w:shd w:val="clear" w:color="auto" w:fill="CCCCFF"/>
          </w:tcPr>
          <w:p>
            <w:pPr>
              <w:spacing w:after="0"/>
              <w:rPr>
                <w:sz w:val="10"/>
                <w:szCs w:val="10"/>
                <w:color w:val="auto"/>
              </w:rPr>
            </w:pPr>
          </w:p>
        </w:tc>
        <w:tc>
          <w:tcPr>
            <w:tcW w:w="1040" w:type="dxa"/>
            <w:vAlign w:val="bottom"/>
            <w:gridSpan w:val="8"/>
            <w:vMerge w:val="continue"/>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1120" w:type="dxa"/>
            <w:vAlign w:val="bottom"/>
            <w:tcBorders>
              <w:right w:val="single" w:sz="8" w:color="CCCCFF"/>
            </w:tcBorders>
            <w:gridSpan w:val="8"/>
            <w:vMerge w:val="continue"/>
            <w:shd w:val="clear" w:color="auto" w:fill="CCCCFF"/>
          </w:tcPr>
          <w:p>
            <w:pPr>
              <w:spacing w:after="0"/>
              <w:rPr>
                <w:sz w:val="10"/>
                <w:szCs w:val="10"/>
                <w:color w:val="auto"/>
              </w:rPr>
            </w:pPr>
          </w:p>
        </w:tc>
        <w:tc>
          <w:tcPr>
            <w:tcW w:w="160" w:type="dxa"/>
            <w:vAlign w:val="bottom"/>
            <w:tcBorders>
              <w:right w:val="single" w:sz="8" w:color="auto"/>
            </w:tcBorders>
            <w:shd w:val="clear" w:color="auto" w:fill="CCCCFF"/>
          </w:tcPr>
          <w:p>
            <w:pPr>
              <w:spacing w:after="0"/>
              <w:rPr>
                <w:sz w:val="10"/>
                <w:szCs w:val="10"/>
                <w:color w:val="auto"/>
              </w:rPr>
            </w:pPr>
          </w:p>
        </w:tc>
        <w:tc>
          <w:tcPr>
            <w:tcW w:w="1140" w:type="dxa"/>
            <w:vAlign w:val="bottom"/>
            <w:gridSpan w:val="8"/>
            <w:vMerge w:val="continue"/>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4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6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tcPr>
          <w:p>
            <w:pPr>
              <w:spacing w:after="0"/>
              <w:rPr>
                <w:sz w:val="4"/>
                <w:szCs w:val="4"/>
                <w:color w:val="auto"/>
              </w:rPr>
            </w:pPr>
          </w:p>
        </w:tc>
        <w:tc>
          <w:tcPr>
            <w:tcW w:w="150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Association</w:t>
            </w:r>
          </w:p>
        </w:tc>
        <w:tc>
          <w:tcPr>
            <w:tcW w:w="1440" w:type="dxa"/>
            <w:vAlign w:val="bottom"/>
            <w:tcBorders>
              <w:top w:val="single" w:sz="8" w:color="FFCCCC"/>
              <w:right w:val="single" w:sz="8" w:color="FFCCCC"/>
            </w:tcBorders>
            <w:gridSpan w:val="3"/>
            <w:shd w:val="clear" w:color="auto" w:fill="FFCCCC"/>
          </w:tcPr>
          <w:p>
            <w:pPr>
              <w:spacing w:after="0"/>
              <w:rPr>
                <w:sz w:val="4"/>
                <w:szCs w:val="4"/>
                <w:color w:val="auto"/>
              </w:rPr>
            </w:pPr>
          </w:p>
        </w:tc>
        <w:tc>
          <w:tcPr>
            <w:tcW w:w="100" w:type="dxa"/>
            <w:vAlign w:val="bottom"/>
            <w:tcBorders>
              <w:top w:val="single" w:sz="8" w:color="FFCCCC"/>
              <w:right w:val="single" w:sz="8" w:color="auto"/>
            </w:tcBorders>
            <w:shd w:val="clear" w:color="auto" w:fill="FFCCCC"/>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480" w:type="dxa"/>
            <w:vAlign w:val="bottom"/>
            <w:tcBorders>
              <w:right w:val="single" w:sz="8" w:color="auto"/>
            </w:tcBorders>
            <w:gridSpan w:val="4"/>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520" w:type="dxa"/>
            <w:vAlign w:val="bottom"/>
            <w:tcBorders>
              <w:top w:val="single" w:sz="8" w:color="0000FF"/>
              <w:right w:val="single" w:sz="8" w:color="CCCCFF"/>
            </w:tcBorders>
            <w:shd w:val="clear" w:color="auto" w:fill="CCCCFF"/>
          </w:tcPr>
          <w:p>
            <w:pPr>
              <w:spacing w:after="0"/>
              <w:rPr>
                <w:sz w:val="4"/>
                <w:szCs w:val="4"/>
                <w:color w:val="auto"/>
              </w:rPr>
            </w:pPr>
          </w:p>
        </w:tc>
        <w:tc>
          <w:tcPr>
            <w:tcW w:w="300" w:type="dxa"/>
            <w:vAlign w:val="bottom"/>
            <w:tcBorders>
              <w:top w:val="single" w:sz="8" w:color="0000FF"/>
              <w:right w:val="single" w:sz="8" w:color="CCCCFF"/>
            </w:tcBorders>
            <w:shd w:val="clear" w:color="auto" w:fill="CCCCFF"/>
          </w:tcPr>
          <w:p>
            <w:pPr>
              <w:spacing w:after="0"/>
              <w:rPr>
                <w:sz w:val="4"/>
                <w:szCs w:val="4"/>
                <w:color w:val="auto"/>
              </w:rPr>
            </w:pPr>
          </w:p>
        </w:tc>
        <w:tc>
          <w:tcPr>
            <w:tcW w:w="12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3"/>
            <w:shd w:val="clear" w:color="auto" w:fill="CCCCFF"/>
          </w:tcPr>
          <w:p>
            <w:pPr>
              <w:spacing w:after="0"/>
              <w:rPr>
                <w:sz w:val="4"/>
                <w:szCs w:val="4"/>
                <w:color w:val="auto"/>
              </w:rPr>
            </w:pPr>
          </w:p>
        </w:tc>
        <w:tc>
          <w:tcPr>
            <w:tcW w:w="900" w:type="dxa"/>
            <w:vAlign w:val="bottom"/>
            <w:tcBorders>
              <w:top w:val="single" w:sz="8" w:color="0000FF"/>
            </w:tcBorders>
            <w:gridSpan w:val="5"/>
            <w:shd w:val="clear" w:color="auto" w:fill="CCCCFF"/>
          </w:tcPr>
          <w:p>
            <w:pPr>
              <w:spacing w:after="0"/>
              <w:rPr>
                <w:sz w:val="4"/>
                <w:szCs w:val="4"/>
                <w:color w:val="auto"/>
              </w:rPr>
            </w:pPr>
          </w:p>
        </w:tc>
        <w:tc>
          <w:tcPr>
            <w:tcW w:w="160" w:type="dxa"/>
            <w:vAlign w:val="bottom"/>
            <w:tcBorders>
              <w:top w:val="single" w:sz="8" w:color="CCCCFF"/>
              <w:right w:val="single" w:sz="8" w:color="auto"/>
            </w:tcBorders>
            <w:gridSpan w:val="3"/>
            <w:shd w:val="clear" w:color="auto" w:fill="CCCCFF"/>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840" w:type="dxa"/>
            <w:vAlign w:val="bottom"/>
            <w:tcBorders>
              <w:top w:val="single" w:sz="8" w:color="0000FF"/>
              <w:left w:val="single" w:sz="8" w:color="CCCCFF"/>
              <w:right w:val="single" w:sz="8" w:color="CCCCFF"/>
            </w:tcBorders>
            <w:gridSpan w:val="3"/>
            <w:shd w:val="clear" w:color="auto" w:fill="CCCCFF"/>
          </w:tcPr>
          <w:p>
            <w:pPr>
              <w:spacing w:after="0"/>
              <w:rPr>
                <w:sz w:val="4"/>
                <w:szCs w:val="4"/>
                <w:color w:val="auto"/>
              </w:rPr>
            </w:pPr>
          </w:p>
        </w:tc>
        <w:tc>
          <w:tcPr>
            <w:tcW w:w="16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2"/>
            <w:shd w:val="clear" w:color="auto" w:fill="CCCCFF"/>
          </w:tcPr>
          <w:p>
            <w:pPr>
              <w:spacing w:after="0"/>
              <w:rPr>
                <w:sz w:val="4"/>
                <w:szCs w:val="4"/>
                <w:color w:val="auto"/>
              </w:rPr>
            </w:pPr>
          </w:p>
        </w:tc>
        <w:tc>
          <w:tcPr>
            <w:tcW w:w="1000" w:type="dxa"/>
            <w:vAlign w:val="bottom"/>
            <w:tcBorders>
              <w:top w:val="single" w:sz="8" w:color="0000FF"/>
            </w:tcBorders>
            <w:gridSpan w:val="6"/>
            <w:shd w:val="clear" w:color="auto" w:fill="CCCCFF"/>
          </w:tcPr>
          <w:p>
            <w:pPr>
              <w:spacing w:after="0"/>
              <w:rPr>
                <w:sz w:val="4"/>
                <w:szCs w:val="4"/>
                <w:color w:val="auto"/>
              </w:rPr>
            </w:pPr>
          </w:p>
        </w:tc>
        <w:tc>
          <w:tcPr>
            <w:tcW w:w="180" w:type="dxa"/>
            <w:vAlign w:val="bottom"/>
            <w:tcBorders>
              <w:top w:val="single" w:sz="8" w:color="CCCCFF"/>
              <w:right w:val="single" w:sz="8" w:color="auto"/>
            </w:tcBorders>
            <w:gridSpan w:val="4"/>
            <w:shd w:val="clear" w:color="auto" w:fill="CCCCFF"/>
          </w:tcPr>
          <w:p>
            <w:pPr>
              <w:spacing w:after="0"/>
              <w:rPr>
                <w:sz w:val="4"/>
                <w:szCs w:val="4"/>
                <w:color w:val="auto"/>
              </w:rPr>
            </w:pPr>
          </w:p>
        </w:tc>
        <w:tc>
          <w:tcPr>
            <w:tcW w:w="1220" w:type="dxa"/>
            <w:vAlign w:val="bottom"/>
            <w:tcBorders>
              <w:top w:val="single" w:sz="8" w:color="CCCCFF"/>
              <w:right w:val="single" w:sz="8" w:color="auto"/>
            </w:tcBorders>
            <w:gridSpan w:val="12"/>
            <w:shd w:val="clear" w:color="auto" w:fill="CCCC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continue"/>
          </w:tcPr>
          <w:p>
            <w:pPr>
              <w:spacing w:after="0" w:line="20" w:lineRule="exact"/>
              <w:rPr>
                <w:sz w:val="1"/>
                <w:szCs w:val="1"/>
                <w:color w:val="auto"/>
              </w:rPr>
            </w:pPr>
          </w:p>
        </w:tc>
        <w:tc>
          <w:tcPr>
            <w:tcW w:w="1440" w:type="dxa"/>
            <w:vAlign w:val="bottom"/>
            <w:tcBorders>
              <w:top w:val="single" w:sz="8" w:color="FFCCCC"/>
              <w:bottom w:val="single" w:sz="8" w:color="FFCCCC"/>
              <w:right w:val="single" w:sz="8" w:color="FFCCCC"/>
            </w:tcBorders>
            <w:gridSpan w:val="3"/>
            <w:shd w:val="clear" w:color="auto" w:fill="FFCCCC"/>
          </w:tcPr>
          <w:p>
            <w:pPr>
              <w:spacing w:after="0" w:line="20" w:lineRule="exact"/>
              <w:rPr>
                <w:sz w:val="1"/>
                <w:szCs w:val="1"/>
                <w:color w:val="auto"/>
              </w:rPr>
            </w:pPr>
          </w:p>
        </w:tc>
        <w:tc>
          <w:tcPr>
            <w:tcW w:w="100" w:type="dxa"/>
            <w:vAlign w:val="bottom"/>
            <w:tcBorders>
              <w:top w:val="single" w:sz="8" w:color="FFCCCC"/>
              <w:bottom w:val="single" w:sz="8" w:color="FFCCCC"/>
              <w:right w:val="single" w:sz="8" w:color="auto"/>
            </w:tcBorders>
            <w:shd w:val="clear" w:color="auto" w:fill="FFCCCC"/>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480" w:type="dxa"/>
            <w:vAlign w:val="bottom"/>
            <w:tcBorders>
              <w:right w:val="single" w:sz="8" w:color="auto"/>
            </w:tcBorders>
            <w:gridSpan w:val="4"/>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52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30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12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200" w:type="dxa"/>
            <w:vAlign w:val="bottom"/>
            <w:tcBorders>
              <w:top w:val="single" w:sz="8" w:color="CCCCFF"/>
              <w:bottom w:val="single" w:sz="8" w:color="CCCCFF"/>
              <w:right w:val="single" w:sz="8" w:color="auto"/>
            </w:tcBorders>
            <w:gridSpan w:val="11"/>
            <w:shd w:val="clear" w:color="auto" w:fill="CCCCFF"/>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840" w:type="dxa"/>
            <w:vAlign w:val="bottom"/>
            <w:tcBorders>
              <w:top w:val="single" w:sz="8" w:color="CCCCFF"/>
              <w:left w:val="single" w:sz="8" w:color="CCCCFF"/>
              <w:bottom w:val="single" w:sz="8" w:color="CCCCFF"/>
              <w:right w:val="single" w:sz="8" w:color="CCCCFF"/>
            </w:tcBorders>
            <w:gridSpan w:val="3"/>
            <w:shd w:val="clear" w:color="auto" w:fill="CCCCFF"/>
          </w:tcPr>
          <w:p>
            <w:pPr>
              <w:spacing w:after="0" w:line="20" w:lineRule="exact"/>
              <w:rPr>
                <w:sz w:val="1"/>
                <w:szCs w:val="1"/>
                <w:color w:val="auto"/>
              </w:rPr>
            </w:pPr>
          </w:p>
        </w:tc>
        <w:tc>
          <w:tcPr>
            <w:tcW w:w="16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3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12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bottom w:val="single" w:sz="8" w:color="auto"/>
              <w:right w:val="single" w:sz="8" w:color="auto"/>
            </w:tcBorders>
            <w:shd w:val="clear" w:color="auto" w:fill="FFCCCC"/>
          </w:tcPr>
          <w:p>
            <w:pPr>
              <w:spacing w:after="0"/>
              <w:rPr>
                <w:sz w:val="7"/>
                <w:szCs w:val="7"/>
                <w:color w:val="auto"/>
              </w:rPr>
            </w:pPr>
          </w:p>
        </w:tc>
        <w:tc>
          <w:tcPr>
            <w:tcW w:w="1840" w:type="dxa"/>
            <w:vAlign w:val="bottom"/>
            <w:tcBorders>
              <w:bottom w:val="single" w:sz="8" w:color="auto"/>
              <w:right w:val="single" w:sz="8" w:color="auto"/>
            </w:tcBorders>
            <w:gridSpan w:val="11"/>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bottom w:val="single" w:sz="8" w:color="auto"/>
              <w:right w:val="single" w:sz="8" w:color="CCCCFF"/>
            </w:tcBorders>
            <w:shd w:val="clear" w:color="auto" w:fill="CCCCFF"/>
          </w:tcPr>
          <w:p>
            <w:pPr>
              <w:spacing w:after="0"/>
              <w:rPr>
                <w:sz w:val="7"/>
                <w:szCs w:val="7"/>
                <w:color w:val="auto"/>
              </w:rPr>
            </w:pPr>
          </w:p>
        </w:tc>
        <w:tc>
          <w:tcPr>
            <w:tcW w:w="300" w:type="dxa"/>
            <w:vAlign w:val="bottom"/>
            <w:tcBorders>
              <w:bottom w:val="single" w:sz="8" w:color="auto"/>
              <w:right w:val="single" w:sz="8" w:color="CCCCFF"/>
            </w:tcBorders>
            <w:shd w:val="clear" w:color="auto" w:fill="CCCCFF"/>
          </w:tcPr>
          <w:p>
            <w:pPr>
              <w:spacing w:after="0"/>
              <w:rPr>
                <w:sz w:val="7"/>
                <w:szCs w:val="7"/>
                <w:color w:val="auto"/>
              </w:rPr>
            </w:pPr>
          </w:p>
        </w:tc>
        <w:tc>
          <w:tcPr>
            <w:tcW w:w="120" w:type="dxa"/>
            <w:vAlign w:val="bottom"/>
            <w:tcBorders>
              <w:bottom w:val="single" w:sz="8" w:color="auto"/>
              <w:right w:val="single" w:sz="8" w:color="auto"/>
            </w:tcBorders>
            <w:shd w:val="clear" w:color="auto" w:fill="CCCCFF"/>
          </w:tcPr>
          <w:p>
            <w:pPr>
              <w:spacing w:after="0"/>
              <w:rPr>
                <w:sz w:val="7"/>
                <w:szCs w:val="7"/>
                <w:color w:val="auto"/>
              </w:rPr>
            </w:pPr>
          </w:p>
        </w:tc>
        <w:tc>
          <w:tcPr>
            <w:tcW w:w="1200" w:type="dxa"/>
            <w:vAlign w:val="bottom"/>
            <w:tcBorders>
              <w:bottom w:val="single" w:sz="8" w:color="auto"/>
              <w:right w:val="single" w:sz="8" w:color="auto"/>
            </w:tcBorders>
            <w:gridSpan w:val="11"/>
            <w:shd w:val="clear" w:color="auto" w:fill="CCCCFF"/>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bottom w:val="single" w:sz="8" w:color="auto"/>
              <w:right w:val="single" w:sz="8" w:color="auto"/>
            </w:tcBorders>
            <w:shd w:val="clear" w:color="auto" w:fill="CCCCFF"/>
          </w:tcPr>
          <w:p>
            <w:pPr>
              <w:spacing w:after="0"/>
              <w:rPr>
                <w:sz w:val="7"/>
                <w:szCs w:val="7"/>
                <w:color w:val="auto"/>
              </w:rPr>
            </w:pPr>
          </w:p>
        </w:tc>
        <w:tc>
          <w:tcPr>
            <w:tcW w:w="13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12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Royal Bank of</w:t>
            </w:r>
          </w:p>
        </w:tc>
        <w:tc>
          <w:tcPr>
            <w:tcW w:w="1440" w:type="dxa"/>
            <w:vAlign w:val="bottom"/>
            <w:tcBorders>
              <w:right w:val="single" w:sz="8" w:color="FFCCCC"/>
            </w:tcBorders>
            <w:gridSpan w:val="3"/>
            <w:shd w:val="clear" w:color="auto" w:fill="FFCCCC"/>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right w:val="single" w:sz="8" w:color="auto"/>
            </w:tcBorders>
            <w:shd w:val="clear" w:color="auto" w:fill="CCCCFF"/>
          </w:tcPr>
          <w:p>
            <w:pPr>
              <w:spacing w:after="0"/>
              <w:rPr>
                <w:sz w:val="18"/>
                <w:szCs w:val="18"/>
                <w:color w:val="auto"/>
              </w:rPr>
            </w:pPr>
          </w:p>
        </w:tc>
        <w:tc>
          <w:tcPr>
            <w:tcW w:w="11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69"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Canada</w:t>
            </w: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40" w:type="dxa"/>
            <w:vAlign w:val="bottom"/>
            <w:tcBorders>
              <w:top w:val="single" w:sz="8" w:color="CCCCFF"/>
            </w:tcBorders>
            <w:gridSpan w:val="8"/>
            <w:vMerge w:val="continue"/>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The Bank of Nova</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CCCCFF"/>
            </w:tcBorders>
            <w:shd w:val="clear" w:color="auto" w:fill="CCCCFF"/>
          </w:tcPr>
          <w:p>
            <w:pPr>
              <w:spacing w:after="0"/>
              <w:rPr>
                <w:sz w:val="18"/>
                <w:szCs w:val="18"/>
                <w:color w:val="auto"/>
              </w:rPr>
            </w:pPr>
          </w:p>
        </w:tc>
        <w:tc>
          <w:tcPr>
            <w:tcW w:w="520" w:type="dxa"/>
            <w:vAlign w:val="bottom"/>
            <w:tcBorders>
              <w:right w:val="single" w:sz="8" w:color="CCCCFF"/>
            </w:tcBorders>
            <w:shd w:val="clear" w:color="auto" w:fill="CCCCFF"/>
          </w:tcPr>
          <w:p>
            <w:pPr>
              <w:spacing w:after="0"/>
              <w:rPr>
                <w:sz w:val="18"/>
                <w:szCs w:val="18"/>
                <w:color w:val="auto"/>
              </w:rPr>
            </w:pPr>
          </w:p>
        </w:tc>
        <w:tc>
          <w:tcPr>
            <w:tcW w:w="300" w:type="dxa"/>
            <w:vAlign w:val="bottom"/>
            <w:tcBorders>
              <w:right w:val="single" w:sz="8" w:color="CCCCFF"/>
            </w:tcBorders>
            <w:shd w:val="clear" w:color="auto" w:fill="CCCCFF"/>
          </w:tcPr>
          <w:p>
            <w:pPr>
              <w:spacing w:after="0"/>
              <w:rPr>
                <w:sz w:val="18"/>
                <w:szCs w:val="18"/>
                <w:color w:val="auto"/>
              </w:rPr>
            </w:pPr>
          </w:p>
        </w:tc>
        <w:tc>
          <w:tcPr>
            <w:tcW w:w="12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0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tcBorders>
              <w:right w:val="single" w:sz="8" w:color="CCCCFF"/>
            </w:tcBorders>
            <w:shd w:val="clear" w:color="auto" w:fill="CCCCFF"/>
          </w:tcPr>
          <w:p>
            <w:pPr>
              <w:spacing w:after="0"/>
              <w:rPr>
                <w:sz w:val="18"/>
                <w:szCs w:val="18"/>
                <w:color w:val="auto"/>
              </w:rPr>
            </w:pPr>
          </w:p>
        </w:tc>
        <w:tc>
          <w:tcPr>
            <w:tcW w:w="260" w:type="dxa"/>
            <w:vAlign w:val="bottom"/>
            <w:tcBorders>
              <w:left w:val="single" w:sz="8" w:color="CCCCFF"/>
            </w:tcBorders>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400" w:type="dxa"/>
            <w:vAlign w:val="bottom"/>
            <w:tcBorders>
              <w:right w:val="single" w:sz="8" w:color="CCCCFF"/>
            </w:tcBorders>
            <w:shd w:val="clear" w:color="auto" w:fill="CCCCFF"/>
          </w:tcPr>
          <w:p>
            <w:pPr>
              <w:spacing w:after="0"/>
              <w:rPr>
                <w:sz w:val="18"/>
                <w:szCs w:val="18"/>
                <w:color w:val="auto"/>
              </w:rPr>
            </w:pPr>
          </w:p>
        </w:tc>
        <w:tc>
          <w:tcPr>
            <w:tcW w:w="16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20" w:type="dxa"/>
            <w:vAlign w:val="bottom"/>
            <w:shd w:val="clear" w:color="auto" w:fill="CCCCFF"/>
          </w:tcPr>
          <w:p>
            <w:pPr>
              <w:spacing w:after="0"/>
              <w:rPr>
                <w:sz w:val="18"/>
                <w:szCs w:val="18"/>
                <w:color w:val="auto"/>
              </w:rPr>
            </w:pPr>
          </w:p>
        </w:tc>
        <w:tc>
          <w:tcPr>
            <w:tcW w:w="40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Scotia, Houston</w:t>
            </w:r>
          </w:p>
        </w:tc>
        <w:tc>
          <w:tcPr>
            <w:tcW w:w="340" w:type="dxa"/>
            <w:vAlign w:val="bottom"/>
            <w:tcBorders>
              <w:top w:val="single" w:sz="8" w:color="FFCCCC"/>
            </w:tcBorders>
            <w:shd w:val="clear" w:color="auto" w:fill="FFCCCC"/>
          </w:tcPr>
          <w:p>
            <w:pPr>
              <w:spacing w:after="0"/>
              <w:rPr>
                <w:sz w:val="6"/>
                <w:szCs w:val="6"/>
                <w:color w:val="auto"/>
              </w:rPr>
            </w:pPr>
          </w:p>
        </w:tc>
        <w:tc>
          <w:tcPr>
            <w:tcW w:w="840" w:type="dxa"/>
            <w:vAlign w:val="bottom"/>
            <w:tcBorders>
              <w:top w:val="single" w:sz="8" w:color="FFCCCC"/>
            </w:tcBorders>
            <w:shd w:val="clear" w:color="auto" w:fill="FFCCCC"/>
          </w:tcPr>
          <w:p>
            <w:pPr>
              <w:spacing w:after="0"/>
              <w:rPr>
                <w:sz w:val="6"/>
                <w:szCs w:val="6"/>
                <w:color w:val="auto"/>
              </w:rPr>
            </w:pPr>
          </w:p>
        </w:tc>
        <w:tc>
          <w:tcPr>
            <w:tcW w:w="260" w:type="dxa"/>
            <w:vAlign w:val="bottom"/>
            <w:tcBorders>
              <w:top w:val="single" w:sz="8" w:color="FFCCCC"/>
              <w:right w:val="single" w:sz="8" w:color="FFCCCC"/>
            </w:tcBorders>
            <w:shd w:val="clear" w:color="auto" w:fill="FFCCCC"/>
          </w:tcPr>
          <w:p>
            <w:pPr>
              <w:spacing w:after="0"/>
              <w:rPr>
                <w:sz w:val="6"/>
                <w:szCs w:val="6"/>
                <w:color w:val="auto"/>
              </w:rPr>
            </w:pPr>
          </w:p>
        </w:tc>
        <w:tc>
          <w:tcPr>
            <w:tcW w:w="100" w:type="dxa"/>
            <w:vAlign w:val="bottom"/>
            <w:tcBorders>
              <w:top w:val="single" w:sz="8" w:color="FFCCCC"/>
              <w:right w:val="single" w:sz="8" w:color="auto"/>
            </w:tcBorders>
            <w:shd w:val="clear" w:color="auto" w:fill="FFCCCC"/>
          </w:tcPr>
          <w:p>
            <w:pPr>
              <w:spacing w:after="0"/>
              <w:rPr>
                <w:sz w:val="6"/>
                <w:szCs w:val="6"/>
                <w:color w:val="auto"/>
              </w:rPr>
            </w:pPr>
          </w:p>
        </w:tc>
        <w:tc>
          <w:tcPr>
            <w:tcW w:w="340" w:type="dxa"/>
            <w:vAlign w:val="bottom"/>
            <w:gridSpan w:val="2"/>
          </w:tcPr>
          <w:p>
            <w:pPr>
              <w:spacing w:after="0"/>
              <w:rPr>
                <w:sz w:val="6"/>
                <w:szCs w:val="6"/>
                <w:color w:val="auto"/>
              </w:rPr>
            </w:pPr>
          </w:p>
        </w:tc>
        <w:tc>
          <w:tcPr>
            <w:tcW w:w="112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100" w:type="dxa"/>
            <w:vAlign w:val="bottom"/>
            <w:tcBorders>
              <w:top w:val="single" w:sz="8" w:color="CCCCFF"/>
              <w:right w:val="single" w:sz="8" w:color="CCCCFF"/>
            </w:tcBorders>
            <w:gridSpan w:val="7"/>
            <w:vMerge w:val="restart"/>
            <w:shd w:val="clear" w:color="auto" w:fill="CCCCFF"/>
          </w:tcPr>
          <w:p>
            <w:pPr>
              <w:jc w:val="center"/>
              <w:spacing w:after="0" w:line="156" w:lineRule="exact"/>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top w:val="single" w:sz="8" w:color="CCCCFF"/>
              <w:right w:val="single" w:sz="8" w:color="auto"/>
            </w:tcBorders>
            <w:shd w:val="clear" w:color="auto" w:fill="CCCCFF"/>
          </w:tcPr>
          <w:p>
            <w:pPr>
              <w:spacing w:after="0"/>
              <w:rPr>
                <w:sz w:val="6"/>
                <w:szCs w:val="6"/>
                <w:color w:val="auto"/>
              </w:rPr>
            </w:pPr>
          </w:p>
        </w:tc>
        <w:tc>
          <w:tcPr>
            <w:tcW w:w="10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1120" w:type="dxa"/>
            <w:vAlign w:val="bottom"/>
            <w:tcBorders>
              <w:top w:val="single" w:sz="8" w:color="CCCCFF"/>
              <w:right w:val="single" w:sz="8" w:color="CCCCFF"/>
            </w:tcBorders>
            <w:gridSpan w:val="8"/>
            <w:vMerge w:val="restart"/>
            <w:shd w:val="clear" w:color="auto" w:fill="CCCC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top w:val="single" w:sz="8" w:color="CCCCFF"/>
              <w:right w:val="single" w:sz="8" w:color="auto"/>
            </w:tcBorders>
            <w:shd w:val="clear" w:color="auto" w:fill="CCCCFF"/>
          </w:tcPr>
          <w:p>
            <w:pPr>
              <w:spacing w:after="0"/>
              <w:rPr>
                <w:sz w:val="6"/>
                <w:szCs w:val="6"/>
                <w:color w:val="auto"/>
              </w:rPr>
            </w:pPr>
          </w:p>
        </w:tc>
        <w:tc>
          <w:tcPr>
            <w:tcW w:w="11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tcBorders>
              <w:top w:val="single" w:sz="8" w:color="CCCCFF"/>
            </w:tcBorders>
            <w:shd w:val="clear" w:color="auto" w:fill="CCCCFF"/>
          </w:tcPr>
          <w:p>
            <w:pPr>
              <w:spacing w:after="0"/>
              <w:rPr>
                <w:sz w:val="6"/>
                <w:szCs w:val="6"/>
                <w:color w:val="auto"/>
              </w:rPr>
            </w:pP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400" w:type="dxa"/>
            <w:vAlign w:val="bottom"/>
            <w:tcBorders>
              <w:top w:val="single" w:sz="8" w:color="0000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6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340" w:type="dxa"/>
            <w:vAlign w:val="bottom"/>
            <w:shd w:val="clear" w:color="auto" w:fill="FFCCCC"/>
          </w:tcPr>
          <w:p>
            <w:pPr>
              <w:spacing w:after="0"/>
              <w:rPr>
                <w:sz w:val="10"/>
                <w:szCs w:val="10"/>
                <w:color w:val="auto"/>
              </w:rPr>
            </w:pPr>
          </w:p>
        </w:tc>
        <w:tc>
          <w:tcPr>
            <w:tcW w:w="840" w:type="dxa"/>
            <w:vAlign w:val="bottom"/>
            <w:shd w:val="clear" w:color="auto" w:fill="FFCCCC"/>
          </w:tcPr>
          <w:p>
            <w:pPr>
              <w:spacing w:after="0"/>
              <w:rPr>
                <w:sz w:val="10"/>
                <w:szCs w:val="10"/>
                <w:color w:val="auto"/>
              </w:rPr>
            </w:pPr>
          </w:p>
        </w:tc>
        <w:tc>
          <w:tcPr>
            <w:tcW w:w="260" w:type="dxa"/>
            <w:vAlign w:val="bottom"/>
            <w:tcBorders>
              <w:right w:val="single" w:sz="8" w:color="FFCCCC"/>
            </w:tcBorders>
            <w:shd w:val="clear" w:color="auto" w:fill="FFCCCC"/>
          </w:tcPr>
          <w:p>
            <w:pPr>
              <w:spacing w:after="0"/>
              <w:rPr>
                <w:sz w:val="10"/>
                <w:szCs w:val="10"/>
                <w:color w:val="auto"/>
              </w:rPr>
            </w:pPr>
          </w:p>
        </w:tc>
        <w:tc>
          <w:tcPr>
            <w:tcW w:w="100" w:type="dxa"/>
            <w:vAlign w:val="bottom"/>
            <w:tcBorders>
              <w:right w:val="single" w:sz="8" w:color="auto"/>
            </w:tcBorders>
            <w:shd w:val="clear" w:color="auto" w:fill="FFCCCC"/>
          </w:tcPr>
          <w:p>
            <w:pPr>
              <w:spacing w:after="0"/>
              <w:rPr>
                <w:sz w:val="10"/>
                <w:szCs w:val="10"/>
                <w:color w:val="auto"/>
              </w:rPr>
            </w:pPr>
          </w:p>
        </w:tc>
        <w:tc>
          <w:tcPr>
            <w:tcW w:w="1360" w:type="dxa"/>
            <w:vAlign w:val="bottom"/>
            <w:gridSpan w:val="7"/>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00" w:type="dxa"/>
            <w:vAlign w:val="bottom"/>
            <w:tcBorders>
              <w:right w:val="single" w:sz="8" w:color="CCCCFF"/>
            </w:tcBorders>
            <w:gridSpan w:val="7"/>
            <w:vMerge w:val="continue"/>
            <w:shd w:val="clear" w:color="auto" w:fill="CCCCFF"/>
          </w:tcPr>
          <w:p>
            <w:pPr>
              <w:spacing w:after="0"/>
              <w:rPr>
                <w:sz w:val="10"/>
                <w:szCs w:val="10"/>
                <w:color w:val="auto"/>
              </w:rPr>
            </w:pPr>
          </w:p>
        </w:tc>
        <w:tc>
          <w:tcPr>
            <w:tcW w:w="120" w:type="dxa"/>
            <w:vAlign w:val="bottom"/>
            <w:tcBorders>
              <w:right w:val="single" w:sz="8" w:color="auto"/>
            </w:tcBorders>
            <w:shd w:val="clear" w:color="auto" w:fill="CCCCFF"/>
          </w:tcPr>
          <w:p>
            <w:pPr>
              <w:spacing w:after="0"/>
              <w:rPr>
                <w:sz w:val="10"/>
                <w:szCs w:val="10"/>
                <w:color w:val="auto"/>
              </w:rPr>
            </w:pPr>
          </w:p>
        </w:tc>
        <w:tc>
          <w:tcPr>
            <w:tcW w:w="1040" w:type="dxa"/>
            <w:vAlign w:val="bottom"/>
            <w:gridSpan w:val="8"/>
            <w:vMerge w:val="continue"/>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1120" w:type="dxa"/>
            <w:vAlign w:val="bottom"/>
            <w:tcBorders>
              <w:right w:val="single" w:sz="8" w:color="CCCCFF"/>
            </w:tcBorders>
            <w:gridSpan w:val="8"/>
            <w:vMerge w:val="continue"/>
            <w:shd w:val="clear" w:color="auto" w:fill="CCCCFF"/>
          </w:tcPr>
          <w:p>
            <w:pPr>
              <w:spacing w:after="0"/>
              <w:rPr>
                <w:sz w:val="10"/>
                <w:szCs w:val="10"/>
                <w:color w:val="auto"/>
              </w:rPr>
            </w:pPr>
          </w:p>
        </w:tc>
        <w:tc>
          <w:tcPr>
            <w:tcW w:w="160" w:type="dxa"/>
            <w:vAlign w:val="bottom"/>
            <w:tcBorders>
              <w:right w:val="single" w:sz="8" w:color="auto"/>
            </w:tcBorders>
            <w:shd w:val="clear" w:color="auto" w:fill="CCCCFF"/>
          </w:tcPr>
          <w:p>
            <w:pPr>
              <w:spacing w:after="0"/>
              <w:rPr>
                <w:sz w:val="10"/>
                <w:szCs w:val="10"/>
                <w:color w:val="auto"/>
              </w:rPr>
            </w:pPr>
          </w:p>
        </w:tc>
        <w:tc>
          <w:tcPr>
            <w:tcW w:w="1140" w:type="dxa"/>
            <w:vAlign w:val="bottom"/>
            <w:gridSpan w:val="8"/>
            <w:vMerge w:val="continue"/>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4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6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tcPr>
          <w:p>
            <w:pPr>
              <w:spacing w:after="0"/>
              <w:rPr>
                <w:sz w:val="4"/>
                <w:szCs w:val="4"/>
                <w:color w:val="auto"/>
              </w:rPr>
            </w:pPr>
          </w:p>
        </w:tc>
        <w:tc>
          <w:tcPr>
            <w:tcW w:w="150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Branch</w:t>
            </w:r>
          </w:p>
        </w:tc>
        <w:tc>
          <w:tcPr>
            <w:tcW w:w="1440" w:type="dxa"/>
            <w:vAlign w:val="bottom"/>
            <w:tcBorders>
              <w:top w:val="single" w:sz="8" w:color="FFCCCC"/>
              <w:right w:val="single" w:sz="8" w:color="FFCCCC"/>
            </w:tcBorders>
            <w:gridSpan w:val="3"/>
            <w:shd w:val="clear" w:color="auto" w:fill="FFCCCC"/>
          </w:tcPr>
          <w:p>
            <w:pPr>
              <w:spacing w:after="0"/>
              <w:rPr>
                <w:sz w:val="4"/>
                <w:szCs w:val="4"/>
                <w:color w:val="auto"/>
              </w:rPr>
            </w:pPr>
          </w:p>
        </w:tc>
        <w:tc>
          <w:tcPr>
            <w:tcW w:w="100" w:type="dxa"/>
            <w:vAlign w:val="bottom"/>
            <w:tcBorders>
              <w:top w:val="single" w:sz="8" w:color="FFCCCC"/>
              <w:right w:val="single" w:sz="8" w:color="auto"/>
            </w:tcBorders>
            <w:shd w:val="clear" w:color="auto" w:fill="FFCCCC"/>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480" w:type="dxa"/>
            <w:vAlign w:val="bottom"/>
            <w:tcBorders>
              <w:right w:val="single" w:sz="8" w:color="auto"/>
            </w:tcBorders>
            <w:gridSpan w:val="4"/>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520" w:type="dxa"/>
            <w:vAlign w:val="bottom"/>
            <w:tcBorders>
              <w:top w:val="single" w:sz="8" w:color="0000FF"/>
              <w:right w:val="single" w:sz="8" w:color="CCCCFF"/>
            </w:tcBorders>
            <w:shd w:val="clear" w:color="auto" w:fill="CCCCFF"/>
          </w:tcPr>
          <w:p>
            <w:pPr>
              <w:spacing w:after="0"/>
              <w:rPr>
                <w:sz w:val="4"/>
                <w:szCs w:val="4"/>
                <w:color w:val="auto"/>
              </w:rPr>
            </w:pPr>
          </w:p>
        </w:tc>
        <w:tc>
          <w:tcPr>
            <w:tcW w:w="300" w:type="dxa"/>
            <w:vAlign w:val="bottom"/>
            <w:tcBorders>
              <w:top w:val="single" w:sz="8" w:color="0000FF"/>
              <w:right w:val="single" w:sz="8" w:color="CCCCFF"/>
            </w:tcBorders>
            <w:shd w:val="clear" w:color="auto" w:fill="CCCCFF"/>
          </w:tcPr>
          <w:p>
            <w:pPr>
              <w:spacing w:after="0"/>
              <w:rPr>
                <w:sz w:val="4"/>
                <w:szCs w:val="4"/>
                <w:color w:val="auto"/>
              </w:rPr>
            </w:pPr>
          </w:p>
        </w:tc>
        <w:tc>
          <w:tcPr>
            <w:tcW w:w="12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3"/>
            <w:shd w:val="clear" w:color="auto" w:fill="CCCCFF"/>
          </w:tcPr>
          <w:p>
            <w:pPr>
              <w:spacing w:after="0"/>
              <w:rPr>
                <w:sz w:val="4"/>
                <w:szCs w:val="4"/>
                <w:color w:val="auto"/>
              </w:rPr>
            </w:pPr>
          </w:p>
        </w:tc>
        <w:tc>
          <w:tcPr>
            <w:tcW w:w="900" w:type="dxa"/>
            <w:vAlign w:val="bottom"/>
            <w:tcBorders>
              <w:top w:val="single" w:sz="8" w:color="0000FF"/>
            </w:tcBorders>
            <w:gridSpan w:val="5"/>
            <w:shd w:val="clear" w:color="auto" w:fill="CCCCFF"/>
          </w:tcPr>
          <w:p>
            <w:pPr>
              <w:spacing w:after="0"/>
              <w:rPr>
                <w:sz w:val="4"/>
                <w:szCs w:val="4"/>
                <w:color w:val="auto"/>
              </w:rPr>
            </w:pPr>
          </w:p>
        </w:tc>
        <w:tc>
          <w:tcPr>
            <w:tcW w:w="160" w:type="dxa"/>
            <w:vAlign w:val="bottom"/>
            <w:tcBorders>
              <w:top w:val="single" w:sz="8" w:color="CCCCFF"/>
              <w:right w:val="single" w:sz="8" w:color="auto"/>
            </w:tcBorders>
            <w:gridSpan w:val="3"/>
            <w:shd w:val="clear" w:color="auto" w:fill="CCCCFF"/>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840" w:type="dxa"/>
            <w:vAlign w:val="bottom"/>
            <w:tcBorders>
              <w:top w:val="single" w:sz="8" w:color="0000FF"/>
              <w:left w:val="single" w:sz="8" w:color="CCCCFF"/>
              <w:right w:val="single" w:sz="8" w:color="CCCCFF"/>
            </w:tcBorders>
            <w:gridSpan w:val="3"/>
            <w:shd w:val="clear" w:color="auto" w:fill="CCCCFF"/>
          </w:tcPr>
          <w:p>
            <w:pPr>
              <w:spacing w:after="0"/>
              <w:rPr>
                <w:sz w:val="4"/>
                <w:szCs w:val="4"/>
                <w:color w:val="auto"/>
              </w:rPr>
            </w:pPr>
          </w:p>
        </w:tc>
        <w:tc>
          <w:tcPr>
            <w:tcW w:w="16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2"/>
            <w:shd w:val="clear" w:color="auto" w:fill="CCCCFF"/>
          </w:tcPr>
          <w:p>
            <w:pPr>
              <w:spacing w:after="0"/>
              <w:rPr>
                <w:sz w:val="4"/>
                <w:szCs w:val="4"/>
                <w:color w:val="auto"/>
              </w:rPr>
            </w:pPr>
          </w:p>
        </w:tc>
        <w:tc>
          <w:tcPr>
            <w:tcW w:w="1000" w:type="dxa"/>
            <w:vAlign w:val="bottom"/>
            <w:tcBorders>
              <w:top w:val="single" w:sz="8" w:color="0000FF"/>
            </w:tcBorders>
            <w:gridSpan w:val="6"/>
            <w:shd w:val="clear" w:color="auto" w:fill="CCCCFF"/>
          </w:tcPr>
          <w:p>
            <w:pPr>
              <w:spacing w:after="0"/>
              <w:rPr>
                <w:sz w:val="4"/>
                <w:szCs w:val="4"/>
                <w:color w:val="auto"/>
              </w:rPr>
            </w:pPr>
          </w:p>
        </w:tc>
        <w:tc>
          <w:tcPr>
            <w:tcW w:w="180" w:type="dxa"/>
            <w:vAlign w:val="bottom"/>
            <w:tcBorders>
              <w:top w:val="single" w:sz="8" w:color="CCCCFF"/>
              <w:right w:val="single" w:sz="8" w:color="auto"/>
            </w:tcBorders>
            <w:gridSpan w:val="4"/>
            <w:shd w:val="clear" w:color="auto" w:fill="CCCCFF"/>
          </w:tcPr>
          <w:p>
            <w:pPr>
              <w:spacing w:after="0"/>
              <w:rPr>
                <w:sz w:val="4"/>
                <w:szCs w:val="4"/>
                <w:color w:val="auto"/>
              </w:rPr>
            </w:pPr>
          </w:p>
        </w:tc>
        <w:tc>
          <w:tcPr>
            <w:tcW w:w="1220" w:type="dxa"/>
            <w:vAlign w:val="bottom"/>
            <w:tcBorders>
              <w:top w:val="single" w:sz="8" w:color="CCCCFF"/>
              <w:right w:val="single" w:sz="8" w:color="auto"/>
            </w:tcBorders>
            <w:gridSpan w:val="12"/>
            <w:shd w:val="clear" w:color="auto" w:fill="CCCC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continue"/>
          </w:tcPr>
          <w:p>
            <w:pPr>
              <w:spacing w:after="0" w:line="20" w:lineRule="exact"/>
              <w:rPr>
                <w:sz w:val="1"/>
                <w:szCs w:val="1"/>
                <w:color w:val="auto"/>
              </w:rPr>
            </w:pPr>
          </w:p>
        </w:tc>
        <w:tc>
          <w:tcPr>
            <w:tcW w:w="1440" w:type="dxa"/>
            <w:vAlign w:val="bottom"/>
            <w:tcBorders>
              <w:top w:val="single" w:sz="8" w:color="FFCCCC"/>
              <w:bottom w:val="single" w:sz="8" w:color="FFCCCC"/>
              <w:right w:val="single" w:sz="8" w:color="FFCCCC"/>
            </w:tcBorders>
            <w:gridSpan w:val="3"/>
            <w:shd w:val="clear" w:color="auto" w:fill="FFCCCC"/>
          </w:tcPr>
          <w:p>
            <w:pPr>
              <w:spacing w:after="0" w:line="20" w:lineRule="exact"/>
              <w:rPr>
                <w:sz w:val="1"/>
                <w:szCs w:val="1"/>
                <w:color w:val="auto"/>
              </w:rPr>
            </w:pPr>
          </w:p>
        </w:tc>
        <w:tc>
          <w:tcPr>
            <w:tcW w:w="100" w:type="dxa"/>
            <w:vAlign w:val="bottom"/>
            <w:tcBorders>
              <w:top w:val="single" w:sz="8" w:color="FFCCCC"/>
              <w:bottom w:val="single" w:sz="8" w:color="FFCCCC"/>
              <w:right w:val="single" w:sz="8" w:color="auto"/>
            </w:tcBorders>
            <w:shd w:val="clear" w:color="auto" w:fill="FFCCCC"/>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480" w:type="dxa"/>
            <w:vAlign w:val="bottom"/>
            <w:tcBorders>
              <w:right w:val="single" w:sz="8" w:color="auto"/>
            </w:tcBorders>
            <w:gridSpan w:val="4"/>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52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30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12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200" w:type="dxa"/>
            <w:vAlign w:val="bottom"/>
            <w:tcBorders>
              <w:top w:val="single" w:sz="8" w:color="CCCCFF"/>
              <w:bottom w:val="single" w:sz="8" w:color="CCCCFF"/>
              <w:right w:val="single" w:sz="8" w:color="auto"/>
            </w:tcBorders>
            <w:gridSpan w:val="11"/>
            <w:shd w:val="clear" w:color="auto" w:fill="CCCCFF"/>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840" w:type="dxa"/>
            <w:vAlign w:val="bottom"/>
            <w:tcBorders>
              <w:top w:val="single" w:sz="8" w:color="CCCCFF"/>
              <w:left w:val="single" w:sz="8" w:color="CCCCFF"/>
              <w:bottom w:val="single" w:sz="8" w:color="CCCCFF"/>
              <w:right w:val="single" w:sz="8" w:color="CCCCFF"/>
            </w:tcBorders>
            <w:gridSpan w:val="3"/>
            <w:shd w:val="clear" w:color="auto" w:fill="CCCCFF"/>
          </w:tcPr>
          <w:p>
            <w:pPr>
              <w:spacing w:after="0" w:line="20" w:lineRule="exact"/>
              <w:rPr>
                <w:sz w:val="1"/>
                <w:szCs w:val="1"/>
                <w:color w:val="auto"/>
              </w:rPr>
            </w:pPr>
          </w:p>
        </w:tc>
        <w:tc>
          <w:tcPr>
            <w:tcW w:w="16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3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12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bottom w:val="single" w:sz="8" w:color="auto"/>
              <w:right w:val="single" w:sz="8" w:color="auto"/>
            </w:tcBorders>
            <w:shd w:val="clear" w:color="auto" w:fill="FFCCCC"/>
          </w:tcPr>
          <w:p>
            <w:pPr>
              <w:spacing w:after="0"/>
              <w:rPr>
                <w:sz w:val="7"/>
                <w:szCs w:val="7"/>
                <w:color w:val="auto"/>
              </w:rPr>
            </w:pPr>
          </w:p>
        </w:tc>
        <w:tc>
          <w:tcPr>
            <w:tcW w:w="1840" w:type="dxa"/>
            <w:vAlign w:val="bottom"/>
            <w:tcBorders>
              <w:bottom w:val="single" w:sz="8" w:color="auto"/>
              <w:right w:val="single" w:sz="8" w:color="auto"/>
            </w:tcBorders>
            <w:gridSpan w:val="11"/>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bottom w:val="single" w:sz="8" w:color="auto"/>
              <w:right w:val="single" w:sz="8" w:color="CCCCFF"/>
            </w:tcBorders>
            <w:shd w:val="clear" w:color="auto" w:fill="CCCCFF"/>
          </w:tcPr>
          <w:p>
            <w:pPr>
              <w:spacing w:after="0"/>
              <w:rPr>
                <w:sz w:val="7"/>
                <w:szCs w:val="7"/>
                <w:color w:val="auto"/>
              </w:rPr>
            </w:pPr>
          </w:p>
        </w:tc>
        <w:tc>
          <w:tcPr>
            <w:tcW w:w="300" w:type="dxa"/>
            <w:vAlign w:val="bottom"/>
            <w:tcBorders>
              <w:bottom w:val="single" w:sz="8" w:color="auto"/>
              <w:right w:val="single" w:sz="8" w:color="CCCCFF"/>
            </w:tcBorders>
            <w:shd w:val="clear" w:color="auto" w:fill="CCCCFF"/>
          </w:tcPr>
          <w:p>
            <w:pPr>
              <w:spacing w:after="0"/>
              <w:rPr>
                <w:sz w:val="7"/>
                <w:szCs w:val="7"/>
                <w:color w:val="auto"/>
              </w:rPr>
            </w:pPr>
          </w:p>
        </w:tc>
        <w:tc>
          <w:tcPr>
            <w:tcW w:w="120" w:type="dxa"/>
            <w:vAlign w:val="bottom"/>
            <w:tcBorders>
              <w:bottom w:val="single" w:sz="8" w:color="auto"/>
              <w:right w:val="single" w:sz="8" w:color="auto"/>
            </w:tcBorders>
            <w:shd w:val="clear" w:color="auto" w:fill="CCCCFF"/>
          </w:tcPr>
          <w:p>
            <w:pPr>
              <w:spacing w:after="0"/>
              <w:rPr>
                <w:sz w:val="7"/>
                <w:szCs w:val="7"/>
                <w:color w:val="auto"/>
              </w:rPr>
            </w:pPr>
          </w:p>
        </w:tc>
        <w:tc>
          <w:tcPr>
            <w:tcW w:w="1200" w:type="dxa"/>
            <w:vAlign w:val="bottom"/>
            <w:tcBorders>
              <w:bottom w:val="single" w:sz="8" w:color="auto"/>
              <w:right w:val="single" w:sz="8" w:color="auto"/>
            </w:tcBorders>
            <w:gridSpan w:val="11"/>
            <w:shd w:val="clear" w:color="auto" w:fill="CCCCFF"/>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bottom w:val="single" w:sz="8" w:color="auto"/>
              <w:right w:val="single" w:sz="8" w:color="auto"/>
            </w:tcBorders>
            <w:shd w:val="clear" w:color="auto" w:fill="CCCCFF"/>
          </w:tcPr>
          <w:p>
            <w:pPr>
              <w:spacing w:after="0"/>
              <w:rPr>
                <w:sz w:val="7"/>
                <w:szCs w:val="7"/>
                <w:color w:val="auto"/>
              </w:rPr>
            </w:pPr>
          </w:p>
        </w:tc>
        <w:tc>
          <w:tcPr>
            <w:tcW w:w="13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12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The Toronto-</w:t>
            </w:r>
          </w:p>
        </w:tc>
        <w:tc>
          <w:tcPr>
            <w:tcW w:w="1440" w:type="dxa"/>
            <w:vAlign w:val="bottom"/>
            <w:tcBorders>
              <w:right w:val="single" w:sz="8" w:color="FFCCCC"/>
            </w:tcBorders>
            <w:gridSpan w:val="3"/>
            <w:shd w:val="clear" w:color="auto" w:fill="FFCCCC"/>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CCCCFF"/>
            </w:tcBorders>
            <w:shd w:val="clear" w:color="auto" w:fill="CCCCFF"/>
          </w:tcPr>
          <w:p>
            <w:pPr>
              <w:spacing w:after="0"/>
              <w:rPr>
                <w:sz w:val="18"/>
                <w:szCs w:val="18"/>
                <w:color w:val="auto"/>
              </w:rPr>
            </w:pPr>
          </w:p>
        </w:tc>
        <w:tc>
          <w:tcPr>
            <w:tcW w:w="520" w:type="dxa"/>
            <w:vAlign w:val="bottom"/>
            <w:tcBorders>
              <w:right w:val="single" w:sz="8" w:color="CCCCFF"/>
            </w:tcBorders>
            <w:shd w:val="clear" w:color="auto" w:fill="CCCCFF"/>
          </w:tcPr>
          <w:p>
            <w:pPr>
              <w:spacing w:after="0"/>
              <w:rPr>
                <w:sz w:val="18"/>
                <w:szCs w:val="18"/>
                <w:color w:val="auto"/>
              </w:rPr>
            </w:pPr>
          </w:p>
        </w:tc>
        <w:tc>
          <w:tcPr>
            <w:tcW w:w="300" w:type="dxa"/>
            <w:vAlign w:val="bottom"/>
            <w:tcBorders>
              <w:right w:val="single" w:sz="8" w:color="CCCCFF"/>
            </w:tcBorders>
            <w:shd w:val="clear" w:color="auto" w:fill="CCCCFF"/>
          </w:tcPr>
          <w:p>
            <w:pPr>
              <w:spacing w:after="0"/>
              <w:rPr>
                <w:sz w:val="18"/>
                <w:szCs w:val="18"/>
                <w:color w:val="auto"/>
              </w:rPr>
            </w:pPr>
          </w:p>
        </w:tc>
        <w:tc>
          <w:tcPr>
            <w:tcW w:w="12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0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tcBorders>
              <w:right w:val="single" w:sz="8" w:color="CCCCFF"/>
            </w:tcBorders>
            <w:shd w:val="clear" w:color="auto" w:fill="CCCCFF"/>
          </w:tcPr>
          <w:p>
            <w:pPr>
              <w:spacing w:after="0"/>
              <w:rPr>
                <w:sz w:val="18"/>
                <w:szCs w:val="18"/>
                <w:color w:val="auto"/>
              </w:rPr>
            </w:pPr>
          </w:p>
        </w:tc>
        <w:tc>
          <w:tcPr>
            <w:tcW w:w="260" w:type="dxa"/>
            <w:vAlign w:val="bottom"/>
            <w:tcBorders>
              <w:left w:val="single" w:sz="8" w:color="CCCCFF"/>
            </w:tcBorders>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400" w:type="dxa"/>
            <w:vAlign w:val="bottom"/>
            <w:tcBorders>
              <w:right w:val="single" w:sz="8" w:color="CCCCFF"/>
            </w:tcBorders>
            <w:shd w:val="clear" w:color="auto" w:fill="CCCCFF"/>
          </w:tcPr>
          <w:p>
            <w:pPr>
              <w:spacing w:after="0"/>
              <w:rPr>
                <w:sz w:val="18"/>
                <w:szCs w:val="18"/>
                <w:color w:val="auto"/>
              </w:rPr>
            </w:pPr>
          </w:p>
        </w:tc>
        <w:tc>
          <w:tcPr>
            <w:tcW w:w="16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20" w:type="dxa"/>
            <w:vAlign w:val="bottom"/>
            <w:shd w:val="clear" w:color="auto" w:fill="CCCCFF"/>
          </w:tcPr>
          <w:p>
            <w:pPr>
              <w:spacing w:after="0"/>
              <w:rPr>
                <w:sz w:val="18"/>
                <w:szCs w:val="18"/>
                <w:color w:val="auto"/>
              </w:rPr>
            </w:pPr>
          </w:p>
        </w:tc>
        <w:tc>
          <w:tcPr>
            <w:tcW w:w="40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69"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Dominion Bank,</w:t>
            </w:r>
          </w:p>
        </w:tc>
        <w:tc>
          <w:tcPr>
            <w:tcW w:w="340" w:type="dxa"/>
            <w:vAlign w:val="bottom"/>
            <w:tcBorders>
              <w:top w:val="single" w:sz="8" w:color="FFCCCC"/>
            </w:tcBorders>
            <w:shd w:val="clear" w:color="auto" w:fill="FFCCCC"/>
          </w:tcPr>
          <w:p>
            <w:pPr>
              <w:spacing w:after="0"/>
              <w:rPr>
                <w:sz w:val="6"/>
                <w:szCs w:val="6"/>
                <w:color w:val="auto"/>
              </w:rPr>
            </w:pPr>
          </w:p>
        </w:tc>
        <w:tc>
          <w:tcPr>
            <w:tcW w:w="840" w:type="dxa"/>
            <w:vAlign w:val="bottom"/>
            <w:tcBorders>
              <w:top w:val="single" w:sz="8" w:color="FFCCCC"/>
            </w:tcBorders>
            <w:shd w:val="clear" w:color="auto" w:fill="FFCCCC"/>
          </w:tcPr>
          <w:p>
            <w:pPr>
              <w:spacing w:after="0"/>
              <w:rPr>
                <w:sz w:val="6"/>
                <w:szCs w:val="6"/>
                <w:color w:val="auto"/>
              </w:rPr>
            </w:pPr>
          </w:p>
        </w:tc>
        <w:tc>
          <w:tcPr>
            <w:tcW w:w="260" w:type="dxa"/>
            <w:vAlign w:val="bottom"/>
            <w:tcBorders>
              <w:top w:val="single" w:sz="8" w:color="FFCCCC"/>
              <w:right w:val="single" w:sz="8" w:color="FFCCCC"/>
            </w:tcBorders>
            <w:shd w:val="clear" w:color="auto" w:fill="FFCCCC"/>
          </w:tcPr>
          <w:p>
            <w:pPr>
              <w:spacing w:after="0"/>
              <w:rPr>
                <w:sz w:val="6"/>
                <w:szCs w:val="6"/>
                <w:color w:val="auto"/>
              </w:rPr>
            </w:pPr>
          </w:p>
        </w:tc>
        <w:tc>
          <w:tcPr>
            <w:tcW w:w="100" w:type="dxa"/>
            <w:vAlign w:val="bottom"/>
            <w:tcBorders>
              <w:top w:val="single" w:sz="8" w:color="FFCCCC"/>
              <w:right w:val="single" w:sz="8" w:color="auto"/>
            </w:tcBorders>
            <w:shd w:val="clear" w:color="auto" w:fill="FFCCCC"/>
          </w:tcPr>
          <w:p>
            <w:pPr>
              <w:spacing w:after="0"/>
              <w:rPr>
                <w:sz w:val="6"/>
                <w:szCs w:val="6"/>
                <w:color w:val="auto"/>
              </w:rPr>
            </w:pPr>
          </w:p>
        </w:tc>
        <w:tc>
          <w:tcPr>
            <w:tcW w:w="340" w:type="dxa"/>
            <w:vAlign w:val="bottom"/>
            <w:gridSpan w:val="2"/>
          </w:tcPr>
          <w:p>
            <w:pPr>
              <w:spacing w:after="0"/>
              <w:rPr>
                <w:sz w:val="6"/>
                <w:szCs w:val="6"/>
                <w:color w:val="auto"/>
              </w:rPr>
            </w:pPr>
          </w:p>
        </w:tc>
        <w:tc>
          <w:tcPr>
            <w:tcW w:w="112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100" w:type="dxa"/>
            <w:vAlign w:val="bottom"/>
            <w:tcBorders>
              <w:top w:val="single" w:sz="8" w:color="CCCCFF"/>
              <w:right w:val="single" w:sz="8" w:color="CCCCFF"/>
            </w:tcBorders>
            <w:gridSpan w:val="7"/>
            <w:vMerge w:val="restart"/>
            <w:shd w:val="clear" w:color="auto" w:fill="CCCCFF"/>
          </w:tcPr>
          <w:p>
            <w:pPr>
              <w:jc w:val="center"/>
              <w:spacing w:after="0" w:line="156" w:lineRule="exact"/>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top w:val="single" w:sz="8" w:color="CCCCFF"/>
              <w:right w:val="single" w:sz="8" w:color="auto"/>
            </w:tcBorders>
            <w:shd w:val="clear" w:color="auto" w:fill="CCCCFF"/>
          </w:tcPr>
          <w:p>
            <w:pPr>
              <w:spacing w:after="0"/>
              <w:rPr>
                <w:sz w:val="6"/>
                <w:szCs w:val="6"/>
                <w:color w:val="auto"/>
              </w:rPr>
            </w:pPr>
          </w:p>
        </w:tc>
        <w:tc>
          <w:tcPr>
            <w:tcW w:w="10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1120" w:type="dxa"/>
            <w:vAlign w:val="bottom"/>
            <w:tcBorders>
              <w:top w:val="single" w:sz="8" w:color="CCCCFF"/>
              <w:right w:val="single" w:sz="8" w:color="CCCCFF"/>
            </w:tcBorders>
            <w:gridSpan w:val="8"/>
            <w:vMerge w:val="restart"/>
            <w:shd w:val="clear" w:color="auto" w:fill="CCCC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top w:val="single" w:sz="8" w:color="CCCCFF"/>
              <w:right w:val="single" w:sz="8" w:color="auto"/>
            </w:tcBorders>
            <w:shd w:val="clear" w:color="auto" w:fill="CCCCFF"/>
          </w:tcPr>
          <w:p>
            <w:pPr>
              <w:spacing w:after="0"/>
              <w:rPr>
                <w:sz w:val="6"/>
                <w:szCs w:val="6"/>
                <w:color w:val="auto"/>
              </w:rPr>
            </w:pPr>
          </w:p>
        </w:tc>
        <w:tc>
          <w:tcPr>
            <w:tcW w:w="11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tcBorders>
              <w:top w:val="single" w:sz="8" w:color="CCCCFF"/>
            </w:tcBorders>
            <w:shd w:val="clear" w:color="auto" w:fill="CCCCFF"/>
          </w:tcPr>
          <w:p>
            <w:pPr>
              <w:spacing w:after="0"/>
              <w:rPr>
                <w:sz w:val="6"/>
                <w:szCs w:val="6"/>
                <w:color w:val="auto"/>
              </w:rPr>
            </w:pP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400" w:type="dxa"/>
            <w:vAlign w:val="bottom"/>
            <w:tcBorders>
              <w:top w:val="single" w:sz="8" w:color="0000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6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340" w:type="dxa"/>
            <w:vAlign w:val="bottom"/>
            <w:shd w:val="clear" w:color="auto" w:fill="FFCCCC"/>
          </w:tcPr>
          <w:p>
            <w:pPr>
              <w:spacing w:after="0"/>
              <w:rPr>
                <w:sz w:val="10"/>
                <w:szCs w:val="10"/>
                <w:color w:val="auto"/>
              </w:rPr>
            </w:pPr>
          </w:p>
        </w:tc>
        <w:tc>
          <w:tcPr>
            <w:tcW w:w="840" w:type="dxa"/>
            <w:vAlign w:val="bottom"/>
            <w:shd w:val="clear" w:color="auto" w:fill="FFCCCC"/>
          </w:tcPr>
          <w:p>
            <w:pPr>
              <w:spacing w:after="0"/>
              <w:rPr>
                <w:sz w:val="10"/>
                <w:szCs w:val="10"/>
                <w:color w:val="auto"/>
              </w:rPr>
            </w:pPr>
          </w:p>
        </w:tc>
        <w:tc>
          <w:tcPr>
            <w:tcW w:w="260" w:type="dxa"/>
            <w:vAlign w:val="bottom"/>
            <w:tcBorders>
              <w:right w:val="single" w:sz="8" w:color="FFCCCC"/>
            </w:tcBorders>
            <w:shd w:val="clear" w:color="auto" w:fill="FFCCCC"/>
          </w:tcPr>
          <w:p>
            <w:pPr>
              <w:spacing w:after="0"/>
              <w:rPr>
                <w:sz w:val="10"/>
                <w:szCs w:val="10"/>
                <w:color w:val="auto"/>
              </w:rPr>
            </w:pPr>
          </w:p>
        </w:tc>
        <w:tc>
          <w:tcPr>
            <w:tcW w:w="100" w:type="dxa"/>
            <w:vAlign w:val="bottom"/>
            <w:tcBorders>
              <w:right w:val="single" w:sz="8" w:color="auto"/>
            </w:tcBorders>
            <w:shd w:val="clear" w:color="auto" w:fill="FFCCCC"/>
          </w:tcPr>
          <w:p>
            <w:pPr>
              <w:spacing w:after="0"/>
              <w:rPr>
                <w:sz w:val="10"/>
                <w:szCs w:val="10"/>
                <w:color w:val="auto"/>
              </w:rPr>
            </w:pPr>
          </w:p>
        </w:tc>
        <w:tc>
          <w:tcPr>
            <w:tcW w:w="1360" w:type="dxa"/>
            <w:vAlign w:val="bottom"/>
            <w:gridSpan w:val="7"/>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00" w:type="dxa"/>
            <w:vAlign w:val="bottom"/>
            <w:tcBorders>
              <w:right w:val="single" w:sz="8" w:color="CCCCFF"/>
            </w:tcBorders>
            <w:gridSpan w:val="7"/>
            <w:vMerge w:val="continue"/>
            <w:shd w:val="clear" w:color="auto" w:fill="CCCCFF"/>
          </w:tcPr>
          <w:p>
            <w:pPr>
              <w:spacing w:after="0"/>
              <w:rPr>
                <w:sz w:val="10"/>
                <w:szCs w:val="10"/>
                <w:color w:val="auto"/>
              </w:rPr>
            </w:pPr>
          </w:p>
        </w:tc>
        <w:tc>
          <w:tcPr>
            <w:tcW w:w="120" w:type="dxa"/>
            <w:vAlign w:val="bottom"/>
            <w:tcBorders>
              <w:right w:val="single" w:sz="8" w:color="auto"/>
            </w:tcBorders>
            <w:shd w:val="clear" w:color="auto" w:fill="CCCCFF"/>
          </w:tcPr>
          <w:p>
            <w:pPr>
              <w:spacing w:after="0"/>
              <w:rPr>
                <w:sz w:val="10"/>
                <w:szCs w:val="10"/>
                <w:color w:val="auto"/>
              </w:rPr>
            </w:pPr>
          </w:p>
        </w:tc>
        <w:tc>
          <w:tcPr>
            <w:tcW w:w="1040" w:type="dxa"/>
            <w:vAlign w:val="bottom"/>
            <w:gridSpan w:val="8"/>
            <w:vMerge w:val="continue"/>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1120" w:type="dxa"/>
            <w:vAlign w:val="bottom"/>
            <w:tcBorders>
              <w:right w:val="single" w:sz="8" w:color="CCCCFF"/>
            </w:tcBorders>
            <w:gridSpan w:val="8"/>
            <w:vMerge w:val="continue"/>
            <w:shd w:val="clear" w:color="auto" w:fill="CCCCFF"/>
          </w:tcPr>
          <w:p>
            <w:pPr>
              <w:spacing w:after="0"/>
              <w:rPr>
                <w:sz w:val="10"/>
                <w:szCs w:val="10"/>
                <w:color w:val="auto"/>
              </w:rPr>
            </w:pPr>
          </w:p>
        </w:tc>
        <w:tc>
          <w:tcPr>
            <w:tcW w:w="160" w:type="dxa"/>
            <w:vAlign w:val="bottom"/>
            <w:tcBorders>
              <w:right w:val="single" w:sz="8" w:color="auto"/>
            </w:tcBorders>
            <w:shd w:val="clear" w:color="auto" w:fill="CCCCFF"/>
          </w:tcPr>
          <w:p>
            <w:pPr>
              <w:spacing w:after="0"/>
              <w:rPr>
                <w:sz w:val="10"/>
                <w:szCs w:val="10"/>
                <w:color w:val="auto"/>
              </w:rPr>
            </w:pPr>
          </w:p>
        </w:tc>
        <w:tc>
          <w:tcPr>
            <w:tcW w:w="1140" w:type="dxa"/>
            <w:vAlign w:val="bottom"/>
            <w:gridSpan w:val="8"/>
            <w:vMerge w:val="continue"/>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4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6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tcPr>
          <w:p>
            <w:pPr>
              <w:spacing w:after="0"/>
              <w:rPr>
                <w:sz w:val="4"/>
                <w:szCs w:val="4"/>
                <w:color w:val="auto"/>
              </w:rPr>
            </w:pPr>
          </w:p>
        </w:tc>
        <w:tc>
          <w:tcPr>
            <w:tcW w:w="150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New York Branch</w:t>
            </w:r>
          </w:p>
        </w:tc>
        <w:tc>
          <w:tcPr>
            <w:tcW w:w="1440" w:type="dxa"/>
            <w:vAlign w:val="bottom"/>
            <w:tcBorders>
              <w:top w:val="single" w:sz="8" w:color="FFCCCC"/>
              <w:right w:val="single" w:sz="8" w:color="FFCCCC"/>
            </w:tcBorders>
            <w:gridSpan w:val="3"/>
            <w:shd w:val="clear" w:color="auto" w:fill="FFCCCC"/>
          </w:tcPr>
          <w:p>
            <w:pPr>
              <w:spacing w:after="0"/>
              <w:rPr>
                <w:sz w:val="4"/>
                <w:szCs w:val="4"/>
                <w:color w:val="auto"/>
              </w:rPr>
            </w:pPr>
          </w:p>
        </w:tc>
        <w:tc>
          <w:tcPr>
            <w:tcW w:w="100" w:type="dxa"/>
            <w:vAlign w:val="bottom"/>
            <w:tcBorders>
              <w:top w:val="single" w:sz="8" w:color="FFCCCC"/>
              <w:right w:val="single" w:sz="8" w:color="auto"/>
            </w:tcBorders>
            <w:shd w:val="clear" w:color="auto" w:fill="FFCCCC"/>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480" w:type="dxa"/>
            <w:vAlign w:val="bottom"/>
            <w:tcBorders>
              <w:right w:val="single" w:sz="8" w:color="auto"/>
            </w:tcBorders>
            <w:gridSpan w:val="4"/>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520" w:type="dxa"/>
            <w:vAlign w:val="bottom"/>
            <w:tcBorders>
              <w:top w:val="single" w:sz="8" w:color="0000FF"/>
              <w:right w:val="single" w:sz="8" w:color="CCCCFF"/>
            </w:tcBorders>
            <w:shd w:val="clear" w:color="auto" w:fill="CCCCFF"/>
          </w:tcPr>
          <w:p>
            <w:pPr>
              <w:spacing w:after="0"/>
              <w:rPr>
                <w:sz w:val="4"/>
                <w:szCs w:val="4"/>
                <w:color w:val="auto"/>
              </w:rPr>
            </w:pPr>
          </w:p>
        </w:tc>
        <w:tc>
          <w:tcPr>
            <w:tcW w:w="300" w:type="dxa"/>
            <w:vAlign w:val="bottom"/>
            <w:tcBorders>
              <w:top w:val="single" w:sz="8" w:color="0000FF"/>
              <w:right w:val="single" w:sz="8" w:color="CCCCFF"/>
            </w:tcBorders>
            <w:shd w:val="clear" w:color="auto" w:fill="CCCCFF"/>
          </w:tcPr>
          <w:p>
            <w:pPr>
              <w:spacing w:after="0"/>
              <w:rPr>
                <w:sz w:val="4"/>
                <w:szCs w:val="4"/>
                <w:color w:val="auto"/>
              </w:rPr>
            </w:pPr>
          </w:p>
        </w:tc>
        <w:tc>
          <w:tcPr>
            <w:tcW w:w="12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3"/>
            <w:shd w:val="clear" w:color="auto" w:fill="CCCCFF"/>
          </w:tcPr>
          <w:p>
            <w:pPr>
              <w:spacing w:after="0"/>
              <w:rPr>
                <w:sz w:val="4"/>
                <w:szCs w:val="4"/>
                <w:color w:val="auto"/>
              </w:rPr>
            </w:pPr>
          </w:p>
        </w:tc>
        <w:tc>
          <w:tcPr>
            <w:tcW w:w="900" w:type="dxa"/>
            <w:vAlign w:val="bottom"/>
            <w:tcBorders>
              <w:top w:val="single" w:sz="8" w:color="0000FF"/>
            </w:tcBorders>
            <w:gridSpan w:val="5"/>
            <w:shd w:val="clear" w:color="auto" w:fill="CCCCFF"/>
          </w:tcPr>
          <w:p>
            <w:pPr>
              <w:spacing w:after="0"/>
              <w:rPr>
                <w:sz w:val="4"/>
                <w:szCs w:val="4"/>
                <w:color w:val="auto"/>
              </w:rPr>
            </w:pPr>
          </w:p>
        </w:tc>
        <w:tc>
          <w:tcPr>
            <w:tcW w:w="160" w:type="dxa"/>
            <w:vAlign w:val="bottom"/>
            <w:tcBorders>
              <w:top w:val="single" w:sz="8" w:color="CCCCFF"/>
              <w:right w:val="single" w:sz="8" w:color="auto"/>
            </w:tcBorders>
            <w:gridSpan w:val="3"/>
            <w:shd w:val="clear" w:color="auto" w:fill="CCCCFF"/>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840" w:type="dxa"/>
            <w:vAlign w:val="bottom"/>
            <w:tcBorders>
              <w:top w:val="single" w:sz="8" w:color="0000FF"/>
              <w:left w:val="single" w:sz="8" w:color="CCCCFF"/>
              <w:right w:val="single" w:sz="8" w:color="CCCCFF"/>
            </w:tcBorders>
            <w:gridSpan w:val="3"/>
            <w:shd w:val="clear" w:color="auto" w:fill="CCCCFF"/>
          </w:tcPr>
          <w:p>
            <w:pPr>
              <w:spacing w:after="0"/>
              <w:rPr>
                <w:sz w:val="4"/>
                <w:szCs w:val="4"/>
                <w:color w:val="auto"/>
              </w:rPr>
            </w:pPr>
          </w:p>
        </w:tc>
        <w:tc>
          <w:tcPr>
            <w:tcW w:w="16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2"/>
            <w:shd w:val="clear" w:color="auto" w:fill="CCCCFF"/>
          </w:tcPr>
          <w:p>
            <w:pPr>
              <w:spacing w:after="0"/>
              <w:rPr>
                <w:sz w:val="4"/>
                <w:szCs w:val="4"/>
                <w:color w:val="auto"/>
              </w:rPr>
            </w:pPr>
          </w:p>
        </w:tc>
        <w:tc>
          <w:tcPr>
            <w:tcW w:w="1000" w:type="dxa"/>
            <w:vAlign w:val="bottom"/>
            <w:tcBorders>
              <w:top w:val="single" w:sz="8" w:color="0000FF"/>
            </w:tcBorders>
            <w:gridSpan w:val="6"/>
            <w:shd w:val="clear" w:color="auto" w:fill="CCCCFF"/>
          </w:tcPr>
          <w:p>
            <w:pPr>
              <w:spacing w:after="0"/>
              <w:rPr>
                <w:sz w:val="4"/>
                <w:szCs w:val="4"/>
                <w:color w:val="auto"/>
              </w:rPr>
            </w:pPr>
          </w:p>
        </w:tc>
        <w:tc>
          <w:tcPr>
            <w:tcW w:w="180" w:type="dxa"/>
            <w:vAlign w:val="bottom"/>
            <w:tcBorders>
              <w:top w:val="single" w:sz="8" w:color="CCCCFF"/>
              <w:right w:val="single" w:sz="8" w:color="auto"/>
            </w:tcBorders>
            <w:gridSpan w:val="4"/>
            <w:shd w:val="clear" w:color="auto" w:fill="CCCCFF"/>
          </w:tcPr>
          <w:p>
            <w:pPr>
              <w:spacing w:after="0"/>
              <w:rPr>
                <w:sz w:val="4"/>
                <w:szCs w:val="4"/>
                <w:color w:val="auto"/>
              </w:rPr>
            </w:pPr>
          </w:p>
        </w:tc>
        <w:tc>
          <w:tcPr>
            <w:tcW w:w="1220" w:type="dxa"/>
            <w:vAlign w:val="bottom"/>
            <w:tcBorders>
              <w:top w:val="single" w:sz="8" w:color="CCCCFF"/>
              <w:right w:val="single" w:sz="8" w:color="auto"/>
            </w:tcBorders>
            <w:gridSpan w:val="12"/>
            <w:shd w:val="clear" w:color="auto" w:fill="CCCC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continue"/>
          </w:tcPr>
          <w:p>
            <w:pPr>
              <w:spacing w:after="0" w:line="20" w:lineRule="exact"/>
              <w:rPr>
                <w:sz w:val="1"/>
                <w:szCs w:val="1"/>
                <w:color w:val="auto"/>
              </w:rPr>
            </w:pPr>
          </w:p>
        </w:tc>
        <w:tc>
          <w:tcPr>
            <w:tcW w:w="1440" w:type="dxa"/>
            <w:vAlign w:val="bottom"/>
            <w:tcBorders>
              <w:top w:val="single" w:sz="8" w:color="FFCCCC"/>
              <w:bottom w:val="single" w:sz="8" w:color="FFCCCC"/>
              <w:right w:val="single" w:sz="8" w:color="FFCCCC"/>
            </w:tcBorders>
            <w:gridSpan w:val="3"/>
            <w:shd w:val="clear" w:color="auto" w:fill="FFCCCC"/>
          </w:tcPr>
          <w:p>
            <w:pPr>
              <w:spacing w:after="0" w:line="20" w:lineRule="exact"/>
              <w:rPr>
                <w:sz w:val="1"/>
                <w:szCs w:val="1"/>
                <w:color w:val="auto"/>
              </w:rPr>
            </w:pPr>
          </w:p>
        </w:tc>
        <w:tc>
          <w:tcPr>
            <w:tcW w:w="100" w:type="dxa"/>
            <w:vAlign w:val="bottom"/>
            <w:tcBorders>
              <w:top w:val="single" w:sz="8" w:color="FFCCCC"/>
              <w:bottom w:val="single" w:sz="8" w:color="FFCCCC"/>
              <w:right w:val="single" w:sz="8" w:color="auto"/>
            </w:tcBorders>
            <w:shd w:val="clear" w:color="auto" w:fill="FFCCCC"/>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480" w:type="dxa"/>
            <w:vAlign w:val="bottom"/>
            <w:tcBorders>
              <w:right w:val="single" w:sz="8" w:color="auto"/>
            </w:tcBorders>
            <w:gridSpan w:val="4"/>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52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30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12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200" w:type="dxa"/>
            <w:vAlign w:val="bottom"/>
            <w:tcBorders>
              <w:top w:val="single" w:sz="8" w:color="CCCCFF"/>
              <w:bottom w:val="single" w:sz="8" w:color="CCCCFF"/>
              <w:right w:val="single" w:sz="8" w:color="auto"/>
            </w:tcBorders>
            <w:gridSpan w:val="11"/>
            <w:shd w:val="clear" w:color="auto" w:fill="CCCCFF"/>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840" w:type="dxa"/>
            <w:vAlign w:val="bottom"/>
            <w:tcBorders>
              <w:top w:val="single" w:sz="8" w:color="CCCCFF"/>
              <w:left w:val="single" w:sz="8" w:color="CCCCFF"/>
              <w:bottom w:val="single" w:sz="8" w:color="CCCCFF"/>
              <w:right w:val="single" w:sz="8" w:color="CCCCFF"/>
            </w:tcBorders>
            <w:gridSpan w:val="3"/>
            <w:shd w:val="clear" w:color="auto" w:fill="CCCCFF"/>
          </w:tcPr>
          <w:p>
            <w:pPr>
              <w:spacing w:after="0" w:line="20" w:lineRule="exact"/>
              <w:rPr>
                <w:sz w:val="1"/>
                <w:szCs w:val="1"/>
                <w:color w:val="auto"/>
              </w:rPr>
            </w:pPr>
          </w:p>
        </w:tc>
        <w:tc>
          <w:tcPr>
            <w:tcW w:w="16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3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12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bottom w:val="single" w:sz="8" w:color="auto"/>
              <w:right w:val="single" w:sz="8" w:color="auto"/>
            </w:tcBorders>
            <w:shd w:val="clear" w:color="auto" w:fill="FFCCCC"/>
          </w:tcPr>
          <w:p>
            <w:pPr>
              <w:spacing w:after="0"/>
              <w:rPr>
                <w:sz w:val="7"/>
                <w:szCs w:val="7"/>
                <w:color w:val="auto"/>
              </w:rPr>
            </w:pPr>
          </w:p>
        </w:tc>
        <w:tc>
          <w:tcPr>
            <w:tcW w:w="1840" w:type="dxa"/>
            <w:vAlign w:val="bottom"/>
            <w:tcBorders>
              <w:bottom w:val="single" w:sz="8" w:color="auto"/>
              <w:right w:val="single" w:sz="8" w:color="auto"/>
            </w:tcBorders>
            <w:gridSpan w:val="11"/>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bottom w:val="single" w:sz="8" w:color="auto"/>
              <w:right w:val="single" w:sz="8" w:color="CCCCFF"/>
            </w:tcBorders>
            <w:shd w:val="clear" w:color="auto" w:fill="CCCCFF"/>
          </w:tcPr>
          <w:p>
            <w:pPr>
              <w:spacing w:after="0"/>
              <w:rPr>
                <w:sz w:val="7"/>
                <w:szCs w:val="7"/>
                <w:color w:val="auto"/>
              </w:rPr>
            </w:pPr>
          </w:p>
        </w:tc>
        <w:tc>
          <w:tcPr>
            <w:tcW w:w="300" w:type="dxa"/>
            <w:vAlign w:val="bottom"/>
            <w:tcBorders>
              <w:bottom w:val="single" w:sz="8" w:color="auto"/>
              <w:right w:val="single" w:sz="8" w:color="CCCCFF"/>
            </w:tcBorders>
            <w:shd w:val="clear" w:color="auto" w:fill="CCCCFF"/>
          </w:tcPr>
          <w:p>
            <w:pPr>
              <w:spacing w:after="0"/>
              <w:rPr>
                <w:sz w:val="7"/>
                <w:szCs w:val="7"/>
                <w:color w:val="auto"/>
              </w:rPr>
            </w:pPr>
          </w:p>
        </w:tc>
        <w:tc>
          <w:tcPr>
            <w:tcW w:w="120" w:type="dxa"/>
            <w:vAlign w:val="bottom"/>
            <w:tcBorders>
              <w:bottom w:val="single" w:sz="8" w:color="auto"/>
              <w:right w:val="single" w:sz="8" w:color="auto"/>
            </w:tcBorders>
            <w:shd w:val="clear" w:color="auto" w:fill="CCCCFF"/>
          </w:tcPr>
          <w:p>
            <w:pPr>
              <w:spacing w:after="0"/>
              <w:rPr>
                <w:sz w:val="7"/>
                <w:szCs w:val="7"/>
                <w:color w:val="auto"/>
              </w:rPr>
            </w:pPr>
          </w:p>
        </w:tc>
        <w:tc>
          <w:tcPr>
            <w:tcW w:w="1200" w:type="dxa"/>
            <w:vAlign w:val="bottom"/>
            <w:tcBorders>
              <w:bottom w:val="single" w:sz="8" w:color="auto"/>
              <w:right w:val="single" w:sz="8" w:color="auto"/>
            </w:tcBorders>
            <w:gridSpan w:val="11"/>
            <w:shd w:val="clear" w:color="auto" w:fill="CCCCFF"/>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bottom w:val="single" w:sz="8" w:color="auto"/>
              <w:right w:val="single" w:sz="8" w:color="auto"/>
            </w:tcBorders>
            <w:shd w:val="clear" w:color="auto" w:fill="CCCCFF"/>
          </w:tcPr>
          <w:p>
            <w:pPr>
              <w:spacing w:after="0"/>
              <w:rPr>
                <w:sz w:val="7"/>
                <w:szCs w:val="7"/>
                <w:color w:val="auto"/>
              </w:rPr>
            </w:pPr>
          </w:p>
        </w:tc>
        <w:tc>
          <w:tcPr>
            <w:tcW w:w="13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12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440" w:type="dxa"/>
            <w:vAlign w:val="bottom"/>
            <w:tcBorders>
              <w:right w:val="single" w:sz="8" w:color="FFCCCC"/>
            </w:tcBorders>
            <w:gridSpan w:val="3"/>
            <w:shd w:val="clear" w:color="auto" w:fill="FFCCCC"/>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right w:val="single" w:sz="8" w:color="auto"/>
            </w:tcBorders>
            <w:shd w:val="clear" w:color="auto" w:fill="CCCCFF"/>
          </w:tcPr>
          <w:p>
            <w:pPr>
              <w:spacing w:after="0"/>
              <w:rPr>
                <w:sz w:val="18"/>
                <w:szCs w:val="18"/>
                <w:color w:val="auto"/>
              </w:rPr>
            </w:pPr>
          </w:p>
        </w:tc>
        <w:tc>
          <w:tcPr>
            <w:tcW w:w="11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69"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40" w:type="dxa"/>
            <w:vAlign w:val="bottom"/>
            <w:tcBorders>
              <w:top w:val="single" w:sz="8" w:color="CCCCFF"/>
            </w:tcBorders>
            <w:gridSpan w:val="8"/>
            <w:vMerge w:val="continue"/>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left w:val="single" w:sz="8" w:color="auto"/>
              <w:bottom w:val="single" w:sz="8" w:color="auto"/>
              <w:right w:val="single" w:sz="8" w:color="auto"/>
            </w:tcBorders>
            <w:gridSpan w:val="3"/>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000" w:type="dxa"/>
            <w:vAlign w:val="bottom"/>
            <w:tcBorders>
              <w:top w:val="single" w:sz="8" w:color="0000FF"/>
              <w:bottom w:val="single" w:sz="8" w:color="auto"/>
            </w:tcBorders>
            <w:gridSpan w:val="6"/>
            <w:shd w:val="clear" w:color="auto" w:fill="CCCCFF"/>
          </w:tcPr>
          <w:p>
            <w:pPr>
              <w:spacing w:after="0"/>
              <w:rPr>
                <w:sz w:val="7"/>
                <w:szCs w:val="7"/>
                <w:color w:val="auto"/>
              </w:rPr>
            </w:pPr>
          </w:p>
        </w:tc>
        <w:tc>
          <w:tcPr>
            <w:tcW w:w="180" w:type="dxa"/>
            <w:vAlign w:val="bottom"/>
            <w:tcBorders>
              <w:top w:val="single" w:sz="8" w:color="CCCCFF"/>
              <w:bottom w:val="single" w:sz="8" w:color="auto"/>
              <w:right w:val="single" w:sz="8" w:color="auto"/>
            </w:tcBorders>
            <w:gridSpan w:val="4"/>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U.S. Bank</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6.218750000%</w:t>
            </w:r>
          </w:p>
        </w:tc>
        <w:tc>
          <w:tcPr>
            <w:tcW w:w="100" w:type="dxa"/>
            <w:vAlign w:val="bottom"/>
            <w:tcBorders>
              <w:right w:val="single" w:sz="8" w:color="auto"/>
            </w:tcBorders>
            <w:shd w:val="clear" w:color="auto" w:fill="FFCCCC"/>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9"/>
              </w:rPr>
              <w:t>$99,500,000.00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CCCCFF"/>
            </w:tcBorders>
            <w:shd w:val="clear" w:color="auto" w:fill="CCCCFF"/>
          </w:tcPr>
          <w:p>
            <w:pPr>
              <w:spacing w:after="0"/>
              <w:rPr>
                <w:sz w:val="18"/>
                <w:szCs w:val="18"/>
                <w:color w:val="auto"/>
              </w:rPr>
            </w:pPr>
          </w:p>
        </w:tc>
        <w:tc>
          <w:tcPr>
            <w:tcW w:w="520" w:type="dxa"/>
            <w:vAlign w:val="bottom"/>
            <w:tcBorders>
              <w:right w:val="single" w:sz="8" w:color="CCCCFF"/>
            </w:tcBorders>
            <w:shd w:val="clear" w:color="auto" w:fill="CCCCFF"/>
          </w:tcPr>
          <w:p>
            <w:pPr>
              <w:spacing w:after="0"/>
              <w:rPr>
                <w:sz w:val="18"/>
                <w:szCs w:val="18"/>
                <w:color w:val="auto"/>
              </w:rPr>
            </w:pPr>
          </w:p>
        </w:tc>
        <w:tc>
          <w:tcPr>
            <w:tcW w:w="300" w:type="dxa"/>
            <w:vAlign w:val="bottom"/>
            <w:tcBorders>
              <w:right w:val="single" w:sz="8" w:color="CCCCFF"/>
            </w:tcBorders>
            <w:shd w:val="clear" w:color="auto" w:fill="CCCCFF"/>
          </w:tcPr>
          <w:p>
            <w:pPr>
              <w:spacing w:after="0"/>
              <w:rPr>
                <w:sz w:val="18"/>
                <w:szCs w:val="18"/>
                <w:color w:val="auto"/>
              </w:rPr>
            </w:pPr>
          </w:p>
        </w:tc>
        <w:tc>
          <w:tcPr>
            <w:tcW w:w="12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0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tcBorders>
              <w:right w:val="single" w:sz="8" w:color="CCCCFF"/>
            </w:tcBorders>
            <w:shd w:val="clear" w:color="auto" w:fill="CCCCFF"/>
          </w:tcPr>
          <w:p>
            <w:pPr>
              <w:spacing w:after="0"/>
              <w:rPr>
                <w:sz w:val="18"/>
                <w:szCs w:val="18"/>
                <w:color w:val="auto"/>
              </w:rPr>
            </w:pPr>
          </w:p>
        </w:tc>
        <w:tc>
          <w:tcPr>
            <w:tcW w:w="260" w:type="dxa"/>
            <w:vAlign w:val="bottom"/>
            <w:tcBorders>
              <w:left w:val="single" w:sz="8" w:color="CCCCFF"/>
            </w:tcBorders>
            <w:shd w:val="clear" w:color="auto" w:fill="CCCCFF"/>
          </w:tcPr>
          <w:p>
            <w:pPr>
              <w:spacing w:after="0"/>
              <w:rPr>
                <w:sz w:val="18"/>
                <w:szCs w:val="18"/>
                <w:color w:val="auto"/>
              </w:rPr>
            </w:pPr>
          </w:p>
        </w:tc>
        <w:tc>
          <w:tcPr>
            <w:tcW w:w="180" w:type="dxa"/>
            <w:vAlign w:val="bottom"/>
            <w:shd w:val="clear" w:color="auto" w:fill="CCCCFF"/>
          </w:tcPr>
          <w:p>
            <w:pPr>
              <w:spacing w:after="0"/>
              <w:rPr>
                <w:sz w:val="18"/>
                <w:szCs w:val="18"/>
                <w:color w:val="auto"/>
              </w:rPr>
            </w:pPr>
          </w:p>
        </w:tc>
        <w:tc>
          <w:tcPr>
            <w:tcW w:w="400" w:type="dxa"/>
            <w:vAlign w:val="bottom"/>
            <w:tcBorders>
              <w:right w:val="single" w:sz="8" w:color="CCCCFF"/>
            </w:tcBorders>
            <w:shd w:val="clear" w:color="auto" w:fill="CCCCFF"/>
          </w:tcPr>
          <w:p>
            <w:pPr>
              <w:spacing w:after="0"/>
              <w:rPr>
                <w:sz w:val="18"/>
                <w:szCs w:val="18"/>
                <w:color w:val="auto"/>
              </w:rPr>
            </w:pPr>
          </w:p>
        </w:tc>
        <w:tc>
          <w:tcPr>
            <w:tcW w:w="16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20" w:type="dxa"/>
            <w:vAlign w:val="bottom"/>
            <w:shd w:val="clear" w:color="auto" w:fill="CCCCFF"/>
          </w:tcPr>
          <w:p>
            <w:pPr>
              <w:spacing w:after="0"/>
              <w:rPr>
                <w:sz w:val="18"/>
                <w:szCs w:val="18"/>
                <w:color w:val="auto"/>
              </w:rPr>
            </w:pPr>
          </w:p>
        </w:tc>
        <w:tc>
          <w:tcPr>
            <w:tcW w:w="40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6.3680%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National</w:t>
            </w:r>
          </w:p>
        </w:tc>
        <w:tc>
          <w:tcPr>
            <w:tcW w:w="340" w:type="dxa"/>
            <w:vAlign w:val="bottom"/>
            <w:tcBorders>
              <w:top w:val="single" w:sz="8" w:color="FFCCCC"/>
            </w:tcBorders>
            <w:shd w:val="clear" w:color="auto" w:fill="FFCCCC"/>
          </w:tcPr>
          <w:p>
            <w:pPr>
              <w:spacing w:after="0"/>
              <w:rPr>
                <w:sz w:val="6"/>
                <w:szCs w:val="6"/>
                <w:color w:val="auto"/>
              </w:rPr>
            </w:pPr>
          </w:p>
        </w:tc>
        <w:tc>
          <w:tcPr>
            <w:tcW w:w="840" w:type="dxa"/>
            <w:vAlign w:val="bottom"/>
            <w:tcBorders>
              <w:top w:val="single" w:sz="8" w:color="FFCCCC"/>
            </w:tcBorders>
            <w:shd w:val="clear" w:color="auto" w:fill="FFCCCC"/>
          </w:tcPr>
          <w:p>
            <w:pPr>
              <w:spacing w:after="0"/>
              <w:rPr>
                <w:sz w:val="6"/>
                <w:szCs w:val="6"/>
                <w:color w:val="auto"/>
              </w:rPr>
            </w:pPr>
          </w:p>
        </w:tc>
        <w:tc>
          <w:tcPr>
            <w:tcW w:w="260" w:type="dxa"/>
            <w:vAlign w:val="bottom"/>
            <w:tcBorders>
              <w:top w:val="single" w:sz="8" w:color="FFCCCC"/>
              <w:right w:val="single" w:sz="8" w:color="FFCCCC"/>
            </w:tcBorders>
            <w:shd w:val="clear" w:color="auto" w:fill="FFCCCC"/>
          </w:tcPr>
          <w:p>
            <w:pPr>
              <w:spacing w:after="0"/>
              <w:rPr>
                <w:sz w:val="6"/>
                <w:szCs w:val="6"/>
                <w:color w:val="auto"/>
              </w:rPr>
            </w:pPr>
          </w:p>
        </w:tc>
        <w:tc>
          <w:tcPr>
            <w:tcW w:w="100" w:type="dxa"/>
            <w:vAlign w:val="bottom"/>
            <w:tcBorders>
              <w:top w:val="single" w:sz="8" w:color="FFCCCC"/>
              <w:right w:val="single" w:sz="8" w:color="auto"/>
            </w:tcBorders>
            <w:shd w:val="clear" w:color="auto" w:fill="FFCCCC"/>
          </w:tcPr>
          <w:p>
            <w:pPr>
              <w:spacing w:after="0"/>
              <w:rPr>
                <w:sz w:val="6"/>
                <w:szCs w:val="6"/>
                <w:color w:val="auto"/>
              </w:rPr>
            </w:pPr>
          </w:p>
        </w:tc>
        <w:tc>
          <w:tcPr>
            <w:tcW w:w="340" w:type="dxa"/>
            <w:vAlign w:val="bottom"/>
            <w:gridSpan w:val="2"/>
          </w:tcPr>
          <w:p>
            <w:pPr>
              <w:spacing w:after="0"/>
              <w:rPr>
                <w:sz w:val="6"/>
                <w:szCs w:val="6"/>
                <w:color w:val="auto"/>
              </w:rPr>
            </w:pPr>
          </w:p>
        </w:tc>
        <w:tc>
          <w:tcPr>
            <w:tcW w:w="112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100" w:type="dxa"/>
            <w:vAlign w:val="bottom"/>
            <w:tcBorders>
              <w:top w:val="single" w:sz="8" w:color="CCCCFF"/>
              <w:right w:val="single" w:sz="8" w:color="CCCCFF"/>
            </w:tcBorders>
            <w:gridSpan w:val="7"/>
            <w:vMerge w:val="restart"/>
            <w:shd w:val="clear" w:color="auto" w:fill="CCCCFF"/>
          </w:tcPr>
          <w:p>
            <w:pPr>
              <w:jc w:val="center"/>
              <w:spacing w:after="0" w:line="156" w:lineRule="exact"/>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top w:val="single" w:sz="8" w:color="CCCCFF"/>
              <w:right w:val="single" w:sz="8" w:color="auto"/>
            </w:tcBorders>
            <w:shd w:val="clear" w:color="auto" w:fill="CCCCFF"/>
          </w:tcPr>
          <w:p>
            <w:pPr>
              <w:spacing w:after="0"/>
              <w:rPr>
                <w:sz w:val="6"/>
                <w:szCs w:val="6"/>
                <w:color w:val="auto"/>
              </w:rPr>
            </w:pPr>
          </w:p>
        </w:tc>
        <w:tc>
          <w:tcPr>
            <w:tcW w:w="10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59,700,000</w:t>
            </w: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1120" w:type="dxa"/>
            <w:vAlign w:val="bottom"/>
            <w:tcBorders>
              <w:top w:val="single" w:sz="8" w:color="CCCCFF"/>
              <w:right w:val="single" w:sz="8" w:color="CCCCFF"/>
            </w:tcBorders>
            <w:gridSpan w:val="8"/>
            <w:vMerge w:val="restart"/>
            <w:shd w:val="clear" w:color="auto" w:fill="CCCC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0000FF"/>
                <w:w w:val="99"/>
              </w:rPr>
              <w:t>6.6333%</w:t>
            </w:r>
          </w:p>
        </w:tc>
        <w:tc>
          <w:tcPr>
            <w:tcW w:w="160" w:type="dxa"/>
            <w:vAlign w:val="bottom"/>
            <w:tcBorders>
              <w:top w:val="single" w:sz="8" w:color="CCCCFF"/>
              <w:right w:val="single" w:sz="8" w:color="auto"/>
            </w:tcBorders>
            <w:shd w:val="clear" w:color="auto" w:fill="CCCCFF"/>
          </w:tcPr>
          <w:p>
            <w:pPr>
              <w:spacing w:after="0"/>
              <w:rPr>
                <w:sz w:val="6"/>
                <w:szCs w:val="6"/>
                <w:color w:val="auto"/>
              </w:rPr>
            </w:pPr>
          </w:p>
        </w:tc>
        <w:tc>
          <w:tcPr>
            <w:tcW w:w="1140" w:type="dxa"/>
            <w:vAlign w:val="bottom"/>
            <w:tcBorders>
              <w:top w:val="single" w:sz="8" w:color="CCCCFF"/>
            </w:tcBorders>
            <w:gridSpan w:val="8"/>
            <w:vMerge w:val="restart"/>
            <w:shd w:val="clear" w:color="auto" w:fill="CCCCFF"/>
          </w:tcPr>
          <w:p>
            <w:pPr>
              <w:jc w:val="center"/>
              <w:ind w:left="50"/>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159,200,000</w:t>
            </w:r>
          </w:p>
        </w:tc>
        <w:tc>
          <w:tcPr>
            <w:tcW w:w="20" w:type="dxa"/>
            <w:vAlign w:val="bottom"/>
            <w:tcBorders>
              <w:top w:val="single" w:sz="8" w:color="CCCCFF"/>
            </w:tcBorders>
            <w:shd w:val="clear" w:color="auto" w:fill="CCCCFF"/>
          </w:tcPr>
          <w:p>
            <w:pPr>
              <w:spacing w:after="0"/>
              <w:rPr>
                <w:sz w:val="6"/>
                <w:szCs w:val="6"/>
                <w:color w:val="auto"/>
              </w:rPr>
            </w:pPr>
          </w:p>
        </w:tc>
        <w:tc>
          <w:tcPr>
            <w:tcW w:w="4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8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400" w:type="dxa"/>
            <w:vAlign w:val="bottom"/>
            <w:tcBorders>
              <w:top w:val="single" w:sz="8" w:color="0000FF"/>
            </w:tcBorders>
            <w:shd w:val="clear" w:color="auto" w:fill="CCCCFF"/>
          </w:tcPr>
          <w:p>
            <w:pPr>
              <w:spacing w:after="0"/>
              <w:rPr>
                <w:sz w:val="6"/>
                <w:szCs w:val="6"/>
                <w:color w:val="auto"/>
              </w:rPr>
            </w:pPr>
          </w:p>
        </w:tc>
        <w:tc>
          <w:tcPr>
            <w:tcW w:w="120" w:type="dxa"/>
            <w:vAlign w:val="bottom"/>
            <w:tcBorders>
              <w:top w:val="single" w:sz="8" w:color="0000FF"/>
            </w:tcBorders>
            <w:shd w:val="clear" w:color="auto" w:fill="CCCCFF"/>
          </w:tcPr>
          <w:p>
            <w:pPr>
              <w:spacing w:after="0"/>
              <w:rPr>
                <w:sz w:val="6"/>
                <w:szCs w:val="6"/>
                <w:color w:val="auto"/>
              </w:rPr>
            </w:pPr>
          </w:p>
        </w:tc>
        <w:tc>
          <w:tcPr>
            <w:tcW w:w="10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60" w:type="dxa"/>
            <w:vAlign w:val="bottom"/>
            <w:tcBorders>
              <w:top w:val="single" w:sz="8" w:color="CCCCFF"/>
            </w:tcBorders>
            <w:shd w:val="clear" w:color="auto" w:fill="CCCCFF"/>
          </w:tcPr>
          <w:p>
            <w:pPr>
              <w:spacing w:after="0"/>
              <w:rPr>
                <w:sz w:val="6"/>
                <w:szCs w:val="6"/>
                <w:color w:val="auto"/>
              </w:rPr>
            </w:pPr>
          </w:p>
        </w:tc>
        <w:tc>
          <w:tcPr>
            <w:tcW w:w="20" w:type="dxa"/>
            <w:vAlign w:val="bottom"/>
            <w:tcBorders>
              <w:top w:val="single" w:sz="8" w:color="CCCCFF"/>
            </w:tcBorders>
            <w:shd w:val="clear" w:color="auto" w:fill="CCCCFF"/>
          </w:tcPr>
          <w:p>
            <w:pPr>
              <w:spacing w:after="0"/>
              <w:rPr>
                <w:sz w:val="6"/>
                <w:szCs w:val="6"/>
                <w:color w:val="auto"/>
              </w:rPr>
            </w:pPr>
          </w:p>
        </w:tc>
        <w:tc>
          <w:tcPr>
            <w:tcW w:w="100" w:type="dxa"/>
            <w:vAlign w:val="bottom"/>
            <w:tcBorders>
              <w:top w:val="single" w:sz="8" w:color="CCCCFF"/>
              <w:right w:val="single" w:sz="8" w:color="auto"/>
            </w:tcBorders>
            <w:shd w:val="clear" w:color="auto" w:fill="CCCC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340" w:type="dxa"/>
            <w:vAlign w:val="bottom"/>
            <w:shd w:val="clear" w:color="auto" w:fill="FFCCCC"/>
          </w:tcPr>
          <w:p>
            <w:pPr>
              <w:spacing w:after="0"/>
              <w:rPr>
                <w:sz w:val="10"/>
                <w:szCs w:val="10"/>
                <w:color w:val="auto"/>
              </w:rPr>
            </w:pPr>
          </w:p>
        </w:tc>
        <w:tc>
          <w:tcPr>
            <w:tcW w:w="840" w:type="dxa"/>
            <w:vAlign w:val="bottom"/>
            <w:shd w:val="clear" w:color="auto" w:fill="FFCCCC"/>
          </w:tcPr>
          <w:p>
            <w:pPr>
              <w:spacing w:after="0"/>
              <w:rPr>
                <w:sz w:val="10"/>
                <w:szCs w:val="10"/>
                <w:color w:val="auto"/>
              </w:rPr>
            </w:pPr>
          </w:p>
        </w:tc>
        <w:tc>
          <w:tcPr>
            <w:tcW w:w="260" w:type="dxa"/>
            <w:vAlign w:val="bottom"/>
            <w:tcBorders>
              <w:right w:val="single" w:sz="8" w:color="FFCCCC"/>
            </w:tcBorders>
            <w:shd w:val="clear" w:color="auto" w:fill="FFCCCC"/>
          </w:tcPr>
          <w:p>
            <w:pPr>
              <w:spacing w:after="0"/>
              <w:rPr>
                <w:sz w:val="10"/>
                <w:szCs w:val="10"/>
                <w:color w:val="auto"/>
              </w:rPr>
            </w:pPr>
          </w:p>
        </w:tc>
        <w:tc>
          <w:tcPr>
            <w:tcW w:w="100" w:type="dxa"/>
            <w:vAlign w:val="bottom"/>
            <w:tcBorders>
              <w:right w:val="single" w:sz="8" w:color="auto"/>
            </w:tcBorders>
            <w:shd w:val="clear" w:color="auto" w:fill="FFCCCC"/>
          </w:tcPr>
          <w:p>
            <w:pPr>
              <w:spacing w:after="0"/>
              <w:rPr>
                <w:sz w:val="10"/>
                <w:szCs w:val="10"/>
                <w:color w:val="auto"/>
              </w:rPr>
            </w:pPr>
          </w:p>
        </w:tc>
        <w:tc>
          <w:tcPr>
            <w:tcW w:w="1360" w:type="dxa"/>
            <w:vAlign w:val="bottom"/>
            <w:gridSpan w:val="7"/>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00" w:type="dxa"/>
            <w:vAlign w:val="bottom"/>
            <w:tcBorders>
              <w:right w:val="single" w:sz="8" w:color="CCCCFF"/>
            </w:tcBorders>
            <w:gridSpan w:val="7"/>
            <w:vMerge w:val="continue"/>
            <w:shd w:val="clear" w:color="auto" w:fill="CCCCFF"/>
          </w:tcPr>
          <w:p>
            <w:pPr>
              <w:spacing w:after="0"/>
              <w:rPr>
                <w:sz w:val="10"/>
                <w:szCs w:val="10"/>
                <w:color w:val="auto"/>
              </w:rPr>
            </w:pPr>
          </w:p>
        </w:tc>
        <w:tc>
          <w:tcPr>
            <w:tcW w:w="120" w:type="dxa"/>
            <w:vAlign w:val="bottom"/>
            <w:tcBorders>
              <w:right w:val="single" w:sz="8" w:color="auto"/>
            </w:tcBorders>
            <w:shd w:val="clear" w:color="auto" w:fill="CCCCFF"/>
          </w:tcPr>
          <w:p>
            <w:pPr>
              <w:spacing w:after="0"/>
              <w:rPr>
                <w:sz w:val="10"/>
                <w:szCs w:val="10"/>
                <w:color w:val="auto"/>
              </w:rPr>
            </w:pPr>
          </w:p>
        </w:tc>
        <w:tc>
          <w:tcPr>
            <w:tcW w:w="1040" w:type="dxa"/>
            <w:vAlign w:val="bottom"/>
            <w:gridSpan w:val="8"/>
            <w:vMerge w:val="continue"/>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1120" w:type="dxa"/>
            <w:vAlign w:val="bottom"/>
            <w:tcBorders>
              <w:right w:val="single" w:sz="8" w:color="CCCCFF"/>
            </w:tcBorders>
            <w:gridSpan w:val="8"/>
            <w:vMerge w:val="continue"/>
            <w:shd w:val="clear" w:color="auto" w:fill="CCCCFF"/>
          </w:tcPr>
          <w:p>
            <w:pPr>
              <w:spacing w:after="0"/>
              <w:rPr>
                <w:sz w:val="10"/>
                <w:szCs w:val="10"/>
                <w:color w:val="auto"/>
              </w:rPr>
            </w:pPr>
          </w:p>
        </w:tc>
        <w:tc>
          <w:tcPr>
            <w:tcW w:w="160" w:type="dxa"/>
            <w:vAlign w:val="bottom"/>
            <w:tcBorders>
              <w:right w:val="single" w:sz="8" w:color="auto"/>
            </w:tcBorders>
            <w:shd w:val="clear" w:color="auto" w:fill="CCCCFF"/>
          </w:tcPr>
          <w:p>
            <w:pPr>
              <w:spacing w:after="0"/>
              <w:rPr>
                <w:sz w:val="10"/>
                <w:szCs w:val="10"/>
                <w:color w:val="auto"/>
              </w:rPr>
            </w:pPr>
          </w:p>
        </w:tc>
        <w:tc>
          <w:tcPr>
            <w:tcW w:w="1140" w:type="dxa"/>
            <w:vAlign w:val="bottom"/>
            <w:gridSpan w:val="8"/>
            <w:vMerge w:val="continue"/>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4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8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400" w:type="dxa"/>
            <w:vAlign w:val="bottom"/>
            <w:shd w:val="clear" w:color="auto" w:fill="CCCCFF"/>
          </w:tcPr>
          <w:p>
            <w:pPr>
              <w:spacing w:after="0"/>
              <w:rPr>
                <w:sz w:val="10"/>
                <w:szCs w:val="10"/>
                <w:color w:val="auto"/>
              </w:rPr>
            </w:pPr>
          </w:p>
        </w:tc>
        <w:tc>
          <w:tcPr>
            <w:tcW w:w="120" w:type="dxa"/>
            <w:vAlign w:val="bottom"/>
            <w:shd w:val="clear" w:color="auto" w:fill="CCCCFF"/>
          </w:tcPr>
          <w:p>
            <w:pPr>
              <w:spacing w:after="0"/>
              <w:rPr>
                <w:sz w:val="10"/>
                <w:szCs w:val="10"/>
                <w:color w:val="auto"/>
              </w:rPr>
            </w:pPr>
          </w:p>
        </w:tc>
        <w:tc>
          <w:tcPr>
            <w:tcW w:w="10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60" w:type="dxa"/>
            <w:vAlign w:val="bottom"/>
            <w:shd w:val="clear" w:color="auto" w:fill="CCCCFF"/>
          </w:tcPr>
          <w:p>
            <w:pPr>
              <w:spacing w:after="0"/>
              <w:rPr>
                <w:sz w:val="10"/>
                <w:szCs w:val="10"/>
                <w:color w:val="auto"/>
              </w:rPr>
            </w:pPr>
          </w:p>
        </w:tc>
        <w:tc>
          <w:tcPr>
            <w:tcW w:w="20" w:type="dxa"/>
            <w:vAlign w:val="bottom"/>
            <w:shd w:val="clear" w:color="auto" w:fill="CCCCFF"/>
          </w:tcPr>
          <w:p>
            <w:pPr>
              <w:spacing w:after="0"/>
              <w:rPr>
                <w:sz w:val="10"/>
                <w:szCs w:val="10"/>
                <w:color w:val="auto"/>
              </w:rPr>
            </w:pPr>
          </w:p>
        </w:tc>
        <w:tc>
          <w:tcPr>
            <w:tcW w:w="100" w:type="dxa"/>
            <w:vAlign w:val="bottom"/>
            <w:tcBorders>
              <w:right w:val="single" w:sz="8" w:color="auto"/>
            </w:tcBorders>
            <w:shd w:val="clear" w:color="auto" w:fill="CCCCFF"/>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tcPr>
          <w:p>
            <w:pPr>
              <w:spacing w:after="0"/>
              <w:rPr>
                <w:sz w:val="4"/>
                <w:szCs w:val="4"/>
                <w:color w:val="auto"/>
              </w:rPr>
            </w:pPr>
          </w:p>
        </w:tc>
        <w:tc>
          <w:tcPr>
            <w:tcW w:w="150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Association</w:t>
            </w:r>
          </w:p>
        </w:tc>
        <w:tc>
          <w:tcPr>
            <w:tcW w:w="1440" w:type="dxa"/>
            <w:vAlign w:val="bottom"/>
            <w:tcBorders>
              <w:top w:val="single" w:sz="8" w:color="FFCCCC"/>
              <w:right w:val="single" w:sz="8" w:color="FFCCCC"/>
            </w:tcBorders>
            <w:gridSpan w:val="3"/>
            <w:shd w:val="clear" w:color="auto" w:fill="FFCCCC"/>
          </w:tcPr>
          <w:p>
            <w:pPr>
              <w:spacing w:after="0"/>
              <w:rPr>
                <w:sz w:val="4"/>
                <w:szCs w:val="4"/>
                <w:color w:val="auto"/>
              </w:rPr>
            </w:pPr>
          </w:p>
        </w:tc>
        <w:tc>
          <w:tcPr>
            <w:tcW w:w="100" w:type="dxa"/>
            <w:vAlign w:val="bottom"/>
            <w:tcBorders>
              <w:top w:val="single" w:sz="8" w:color="FFCCCC"/>
              <w:right w:val="single" w:sz="8" w:color="auto"/>
            </w:tcBorders>
            <w:shd w:val="clear" w:color="auto" w:fill="FFCCCC"/>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480" w:type="dxa"/>
            <w:vAlign w:val="bottom"/>
            <w:tcBorders>
              <w:right w:val="single" w:sz="8" w:color="auto"/>
            </w:tcBorders>
            <w:gridSpan w:val="4"/>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520" w:type="dxa"/>
            <w:vAlign w:val="bottom"/>
            <w:tcBorders>
              <w:top w:val="single" w:sz="8" w:color="0000FF"/>
              <w:right w:val="single" w:sz="8" w:color="CCCCFF"/>
            </w:tcBorders>
            <w:shd w:val="clear" w:color="auto" w:fill="CCCCFF"/>
          </w:tcPr>
          <w:p>
            <w:pPr>
              <w:spacing w:after="0"/>
              <w:rPr>
                <w:sz w:val="4"/>
                <w:szCs w:val="4"/>
                <w:color w:val="auto"/>
              </w:rPr>
            </w:pPr>
          </w:p>
        </w:tc>
        <w:tc>
          <w:tcPr>
            <w:tcW w:w="300" w:type="dxa"/>
            <w:vAlign w:val="bottom"/>
            <w:tcBorders>
              <w:top w:val="single" w:sz="8" w:color="0000FF"/>
              <w:right w:val="single" w:sz="8" w:color="CCCCFF"/>
            </w:tcBorders>
            <w:shd w:val="clear" w:color="auto" w:fill="CCCCFF"/>
          </w:tcPr>
          <w:p>
            <w:pPr>
              <w:spacing w:after="0"/>
              <w:rPr>
                <w:sz w:val="4"/>
                <w:szCs w:val="4"/>
                <w:color w:val="auto"/>
              </w:rPr>
            </w:pPr>
          </w:p>
        </w:tc>
        <w:tc>
          <w:tcPr>
            <w:tcW w:w="12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3"/>
            <w:shd w:val="clear" w:color="auto" w:fill="CCCCFF"/>
          </w:tcPr>
          <w:p>
            <w:pPr>
              <w:spacing w:after="0"/>
              <w:rPr>
                <w:sz w:val="4"/>
                <w:szCs w:val="4"/>
                <w:color w:val="auto"/>
              </w:rPr>
            </w:pPr>
          </w:p>
        </w:tc>
        <w:tc>
          <w:tcPr>
            <w:tcW w:w="900" w:type="dxa"/>
            <w:vAlign w:val="bottom"/>
            <w:tcBorders>
              <w:top w:val="single" w:sz="8" w:color="0000FF"/>
            </w:tcBorders>
            <w:gridSpan w:val="5"/>
            <w:shd w:val="clear" w:color="auto" w:fill="CCCCFF"/>
          </w:tcPr>
          <w:p>
            <w:pPr>
              <w:spacing w:after="0"/>
              <w:rPr>
                <w:sz w:val="4"/>
                <w:szCs w:val="4"/>
                <w:color w:val="auto"/>
              </w:rPr>
            </w:pPr>
          </w:p>
        </w:tc>
        <w:tc>
          <w:tcPr>
            <w:tcW w:w="160" w:type="dxa"/>
            <w:vAlign w:val="bottom"/>
            <w:tcBorders>
              <w:top w:val="single" w:sz="8" w:color="CCCCFF"/>
              <w:right w:val="single" w:sz="8" w:color="auto"/>
            </w:tcBorders>
            <w:gridSpan w:val="3"/>
            <w:shd w:val="clear" w:color="auto" w:fill="CCCCFF"/>
          </w:tcPr>
          <w:p>
            <w:pPr>
              <w:spacing w:after="0"/>
              <w:rPr>
                <w:sz w:val="4"/>
                <w:szCs w:val="4"/>
                <w:color w:val="auto"/>
              </w:rPr>
            </w:pPr>
          </w:p>
        </w:tc>
        <w:tc>
          <w:tcPr>
            <w:tcW w:w="280" w:type="dxa"/>
            <w:vAlign w:val="bottom"/>
            <w:tcBorders>
              <w:top w:val="single" w:sz="8" w:color="CCCCFF"/>
              <w:right w:val="single" w:sz="8" w:color="CCCCFF"/>
            </w:tcBorders>
            <w:gridSpan w:val="5"/>
            <w:shd w:val="clear" w:color="auto" w:fill="CCCCFF"/>
          </w:tcPr>
          <w:p>
            <w:pPr>
              <w:spacing w:after="0"/>
              <w:rPr>
                <w:sz w:val="4"/>
                <w:szCs w:val="4"/>
                <w:color w:val="auto"/>
              </w:rPr>
            </w:pPr>
          </w:p>
        </w:tc>
        <w:tc>
          <w:tcPr>
            <w:tcW w:w="840" w:type="dxa"/>
            <w:vAlign w:val="bottom"/>
            <w:tcBorders>
              <w:top w:val="single" w:sz="8" w:color="0000FF"/>
              <w:left w:val="single" w:sz="8" w:color="CCCCFF"/>
              <w:right w:val="single" w:sz="8" w:color="CCCCFF"/>
            </w:tcBorders>
            <w:gridSpan w:val="3"/>
            <w:shd w:val="clear" w:color="auto" w:fill="CCCCFF"/>
          </w:tcPr>
          <w:p>
            <w:pPr>
              <w:spacing w:after="0"/>
              <w:rPr>
                <w:sz w:val="4"/>
                <w:szCs w:val="4"/>
                <w:color w:val="auto"/>
              </w:rPr>
            </w:pPr>
          </w:p>
        </w:tc>
        <w:tc>
          <w:tcPr>
            <w:tcW w:w="160" w:type="dxa"/>
            <w:vAlign w:val="bottom"/>
            <w:tcBorders>
              <w:top w:val="single" w:sz="8" w:color="CCCCFF"/>
              <w:right w:val="single" w:sz="8" w:color="auto"/>
            </w:tcBorders>
            <w:shd w:val="clear" w:color="auto" w:fill="CCCCFF"/>
          </w:tcPr>
          <w:p>
            <w:pPr>
              <w:spacing w:after="0"/>
              <w:rPr>
                <w:sz w:val="4"/>
                <w:szCs w:val="4"/>
                <w:color w:val="auto"/>
              </w:rPr>
            </w:pPr>
          </w:p>
        </w:tc>
        <w:tc>
          <w:tcPr>
            <w:tcW w:w="140" w:type="dxa"/>
            <w:vAlign w:val="bottom"/>
            <w:tcBorders>
              <w:top w:val="single" w:sz="8" w:color="CCCCFF"/>
            </w:tcBorders>
            <w:gridSpan w:val="2"/>
            <w:shd w:val="clear" w:color="auto" w:fill="CCCCFF"/>
          </w:tcPr>
          <w:p>
            <w:pPr>
              <w:spacing w:after="0"/>
              <w:rPr>
                <w:sz w:val="4"/>
                <w:szCs w:val="4"/>
                <w:color w:val="auto"/>
              </w:rPr>
            </w:pPr>
          </w:p>
        </w:tc>
        <w:tc>
          <w:tcPr>
            <w:tcW w:w="1000" w:type="dxa"/>
            <w:vAlign w:val="bottom"/>
            <w:tcBorders>
              <w:top w:val="single" w:sz="8" w:color="0000FF"/>
            </w:tcBorders>
            <w:gridSpan w:val="6"/>
            <w:shd w:val="clear" w:color="auto" w:fill="CCCCFF"/>
          </w:tcPr>
          <w:p>
            <w:pPr>
              <w:spacing w:after="0"/>
              <w:rPr>
                <w:sz w:val="4"/>
                <w:szCs w:val="4"/>
                <w:color w:val="auto"/>
              </w:rPr>
            </w:pPr>
          </w:p>
        </w:tc>
        <w:tc>
          <w:tcPr>
            <w:tcW w:w="180" w:type="dxa"/>
            <w:vAlign w:val="bottom"/>
            <w:tcBorders>
              <w:top w:val="single" w:sz="8" w:color="CCCCFF"/>
              <w:right w:val="single" w:sz="8" w:color="auto"/>
            </w:tcBorders>
            <w:gridSpan w:val="4"/>
            <w:shd w:val="clear" w:color="auto" w:fill="CCCCFF"/>
          </w:tcPr>
          <w:p>
            <w:pPr>
              <w:spacing w:after="0"/>
              <w:rPr>
                <w:sz w:val="4"/>
                <w:szCs w:val="4"/>
                <w:color w:val="auto"/>
              </w:rPr>
            </w:pPr>
          </w:p>
        </w:tc>
        <w:tc>
          <w:tcPr>
            <w:tcW w:w="1220" w:type="dxa"/>
            <w:vAlign w:val="bottom"/>
            <w:tcBorders>
              <w:top w:val="single" w:sz="8" w:color="CCCCFF"/>
              <w:right w:val="single" w:sz="8" w:color="auto"/>
            </w:tcBorders>
            <w:gridSpan w:val="12"/>
            <w:shd w:val="clear" w:color="auto" w:fill="CCCC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continue"/>
          </w:tcPr>
          <w:p>
            <w:pPr>
              <w:spacing w:after="0" w:line="20" w:lineRule="exact"/>
              <w:rPr>
                <w:sz w:val="1"/>
                <w:szCs w:val="1"/>
                <w:color w:val="auto"/>
              </w:rPr>
            </w:pPr>
          </w:p>
        </w:tc>
        <w:tc>
          <w:tcPr>
            <w:tcW w:w="1440" w:type="dxa"/>
            <w:vAlign w:val="bottom"/>
            <w:tcBorders>
              <w:top w:val="single" w:sz="8" w:color="FFCCCC"/>
              <w:bottom w:val="single" w:sz="8" w:color="FFCCCC"/>
              <w:right w:val="single" w:sz="8" w:color="FFCCCC"/>
            </w:tcBorders>
            <w:gridSpan w:val="3"/>
            <w:shd w:val="clear" w:color="auto" w:fill="FFCCCC"/>
          </w:tcPr>
          <w:p>
            <w:pPr>
              <w:spacing w:after="0" w:line="20" w:lineRule="exact"/>
              <w:rPr>
                <w:sz w:val="1"/>
                <w:szCs w:val="1"/>
                <w:color w:val="auto"/>
              </w:rPr>
            </w:pPr>
          </w:p>
        </w:tc>
        <w:tc>
          <w:tcPr>
            <w:tcW w:w="100" w:type="dxa"/>
            <w:vAlign w:val="bottom"/>
            <w:tcBorders>
              <w:top w:val="single" w:sz="8" w:color="FFCCCC"/>
              <w:bottom w:val="single" w:sz="8" w:color="FFCCCC"/>
              <w:right w:val="single" w:sz="8" w:color="auto"/>
            </w:tcBorders>
            <w:shd w:val="clear" w:color="auto" w:fill="FFCCCC"/>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480" w:type="dxa"/>
            <w:vAlign w:val="bottom"/>
            <w:tcBorders>
              <w:right w:val="single" w:sz="8" w:color="auto"/>
            </w:tcBorders>
            <w:gridSpan w:val="4"/>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52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300" w:type="dxa"/>
            <w:vAlign w:val="bottom"/>
            <w:tcBorders>
              <w:top w:val="single" w:sz="8" w:color="CCCCFF"/>
              <w:bottom w:val="single" w:sz="8" w:color="CCCCFF"/>
              <w:right w:val="single" w:sz="8" w:color="CCCCFF"/>
            </w:tcBorders>
            <w:shd w:val="clear" w:color="auto" w:fill="CCCCFF"/>
          </w:tcPr>
          <w:p>
            <w:pPr>
              <w:spacing w:after="0" w:line="20" w:lineRule="exact"/>
              <w:rPr>
                <w:sz w:val="1"/>
                <w:szCs w:val="1"/>
                <w:color w:val="auto"/>
              </w:rPr>
            </w:pPr>
          </w:p>
        </w:tc>
        <w:tc>
          <w:tcPr>
            <w:tcW w:w="12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200" w:type="dxa"/>
            <w:vAlign w:val="bottom"/>
            <w:tcBorders>
              <w:top w:val="single" w:sz="8" w:color="CCCCFF"/>
              <w:bottom w:val="single" w:sz="8" w:color="CCCCFF"/>
              <w:right w:val="single" w:sz="8" w:color="auto"/>
            </w:tcBorders>
            <w:gridSpan w:val="11"/>
            <w:shd w:val="clear" w:color="auto" w:fill="CCCCFF"/>
          </w:tcPr>
          <w:p>
            <w:pPr>
              <w:spacing w:after="0" w:line="20" w:lineRule="exact"/>
              <w:rPr>
                <w:sz w:val="1"/>
                <w:szCs w:val="1"/>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line="20" w:lineRule="exact"/>
              <w:rPr>
                <w:sz w:val="1"/>
                <w:szCs w:val="1"/>
                <w:color w:val="auto"/>
              </w:rPr>
            </w:pPr>
          </w:p>
        </w:tc>
        <w:tc>
          <w:tcPr>
            <w:tcW w:w="840" w:type="dxa"/>
            <w:vAlign w:val="bottom"/>
            <w:tcBorders>
              <w:top w:val="single" w:sz="8" w:color="CCCCFF"/>
              <w:left w:val="single" w:sz="8" w:color="CCCCFF"/>
              <w:bottom w:val="single" w:sz="8" w:color="CCCCFF"/>
              <w:right w:val="single" w:sz="8" w:color="CCCCFF"/>
            </w:tcBorders>
            <w:gridSpan w:val="3"/>
            <w:shd w:val="clear" w:color="auto" w:fill="CCCCFF"/>
          </w:tcPr>
          <w:p>
            <w:pPr>
              <w:spacing w:after="0" w:line="20" w:lineRule="exact"/>
              <w:rPr>
                <w:sz w:val="1"/>
                <w:szCs w:val="1"/>
                <w:color w:val="auto"/>
              </w:rPr>
            </w:pPr>
          </w:p>
        </w:tc>
        <w:tc>
          <w:tcPr>
            <w:tcW w:w="160" w:type="dxa"/>
            <w:vAlign w:val="bottom"/>
            <w:tcBorders>
              <w:top w:val="single" w:sz="8" w:color="CCCCFF"/>
              <w:bottom w:val="single" w:sz="8" w:color="CCCCFF"/>
              <w:right w:val="single" w:sz="8" w:color="auto"/>
            </w:tcBorders>
            <w:shd w:val="clear" w:color="auto" w:fill="CCCCFF"/>
          </w:tcPr>
          <w:p>
            <w:pPr>
              <w:spacing w:after="0" w:line="20" w:lineRule="exact"/>
              <w:rPr>
                <w:sz w:val="1"/>
                <w:szCs w:val="1"/>
                <w:color w:val="auto"/>
              </w:rPr>
            </w:pPr>
          </w:p>
        </w:tc>
        <w:tc>
          <w:tcPr>
            <w:tcW w:w="13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1220" w:type="dxa"/>
            <w:vAlign w:val="bottom"/>
            <w:tcBorders>
              <w:top w:val="single" w:sz="8" w:color="CCCCFF"/>
              <w:bottom w:val="single" w:sz="8" w:color="CCCCFF"/>
              <w:right w:val="single" w:sz="8" w:color="auto"/>
            </w:tcBorders>
            <w:gridSpan w:val="12"/>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bottom w:val="single" w:sz="8" w:color="auto"/>
              <w:right w:val="single" w:sz="8" w:color="auto"/>
            </w:tcBorders>
            <w:shd w:val="clear" w:color="auto" w:fill="FFCCCC"/>
          </w:tcPr>
          <w:p>
            <w:pPr>
              <w:spacing w:after="0"/>
              <w:rPr>
                <w:sz w:val="7"/>
                <w:szCs w:val="7"/>
                <w:color w:val="auto"/>
              </w:rPr>
            </w:pPr>
          </w:p>
        </w:tc>
        <w:tc>
          <w:tcPr>
            <w:tcW w:w="1840" w:type="dxa"/>
            <w:vAlign w:val="bottom"/>
            <w:tcBorders>
              <w:bottom w:val="single" w:sz="8" w:color="auto"/>
              <w:right w:val="single" w:sz="8" w:color="auto"/>
            </w:tcBorders>
            <w:gridSpan w:val="11"/>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bottom w:val="single" w:sz="8" w:color="auto"/>
              <w:right w:val="single" w:sz="8" w:color="CCCCFF"/>
            </w:tcBorders>
            <w:shd w:val="clear" w:color="auto" w:fill="CCCCFF"/>
          </w:tcPr>
          <w:p>
            <w:pPr>
              <w:spacing w:after="0"/>
              <w:rPr>
                <w:sz w:val="7"/>
                <w:szCs w:val="7"/>
                <w:color w:val="auto"/>
              </w:rPr>
            </w:pPr>
          </w:p>
        </w:tc>
        <w:tc>
          <w:tcPr>
            <w:tcW w:w="300" w:type="dxa"/>
            <w:vAlign w:val="bottom"/>
            <w:tcBorders>
              <w:bottom w:val="single" w:sz="8" w:color="auto"/>
              <w:right w:val="single" w:sz="8" w:color="CCCCFF"/>
            </w:tcBorders>
            <w:shd w:val="clear" w:color="auto" w:fill="CCCCFF"/>
          </w:tcPr>
          <w:p>
            <w:pPr>
              <w:spacing w:after="0"/>
              <w:rPr>
                <w:sz w:val="7"/>
                <w:szCs w:val="7"/>
                <w:color w:val="auto"/>
              </w:rPr>
            </w:pPr>
          </w:p>
        </w:tc>
        <w:tc>
          <w:tcPr>
            <w:tcW w:w="120" w:type="dxa"/>
            <w:vAlign w:val="bottom"/>
            <w:tcBorders>
              <w:bottom w:val="single" w:sz="8" w:color="auto"/>
              <w:right w:val="single" w:sz="8" w:color="auto"/>
            </w:tcBorders>
            <w:shd w:val="clear" w:color="auto" w:fill="CCCCFF"/>
          </w:tcPr>
          <w:p>
            <w:pPr>
              <w:spacing w:after="0"/>
              <w:rPr>
                <w:sz w:val="7"/>
                <w:szCs w:val="7"/>
                <w:color w:val="auto"/>
              </w:rPr>
            </w:pPr>
          </w:p>
        </w:tc>
        <w:tc>
          <w:tcPr>
            <w:tcW w:w="1200" w:type="dxa"/>
            <w:vAlign w:val="bottom"/>
            <w:tcBorders>
              <w:bottom w:val="single" w:sz="8" w:color="auto"/>
              <w:right w:val="single" w:sz="8" w:color="auto"/>
            </w:tcBorders>
            <w:gridSpan w:val="11"/>
            <w:shd w:val="clear" w:color="auto" w:fill="CCCCFF"/>
          </w:tcPr>
          <w:p>
            <w:pPr>
              <w:spacing w:after="0"/>
              <w:rPr>
                <w:sz w:val="7"/>
                <w:szCs w:val="7"/>
                <w:color w:val="auto"/>
              </w:rPr>
            </w:pPr>
          </w:p>
        </w:tc>
        <w:tc>
          <w:tcPr>
            <w:tcW w:w="280" w:type="dxa"/>
            <w:vAlign w:val="bottom"/>
            <w:tcBorders>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bottom w:val="single" w:sz="8" w:color="auto"/>
              <w:right w:val="single" w:sz="8" w:color="auto"/>
            </w:tcBorders>
            <w:shd w:val="clear" w:color="auto" w:fill="CCCCFF"/>
          </w:tcPr>
          <w:p>
            <w:pPr>
              <w:spacing w:after="0"/>
              <w:rPr>
                <w:sz w:val="7"/>
                <w:szCs w:val="7"/>
                <w:color w:val="auto"/>
              </w:rPr>
            </w:pPr>
          </w:p>
        </w:tc>
        <w:tc>
          <w:tcPr>
            <w:tcW w:w="13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1220" w:type="dxa"/>
            <w:vAlign w:val="bottom"/>
            <w:tcBorders>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Credit Suisse AG,</w:t>
            </w:r>
          </w:p>
        </w:tc>
        <w:tc>
          <w:tcPr>
            <w:tcW w:w="340" w:type="dxa"/>
            <w:vAlign w:val="bottom"/>
            <w:shd w:val="clear" w:color="auto" w:fill="FFCCCC"/>
          </w:tcPr>
          <w:p>
            <w:pPr>
              <w:spacing w:after="0"/>
              <w:rPr>
                <w:sz w:val="18"/>
                <w:szCs w:val="18"/>
                <w:color w:val="auto"/>
              </w:rPr>
            </w:pPr>
          </w:p>
        </w:tc>
        <w:tc>
          <w:tcPr>
            <w:tcW w:w="840" w:type="dxa"/>
            <w:vAlign w:val="bottom"/>
            <w:shd w:val="clear" w:color="auto" w:fill="FFCCCC"/>
          </w:tcPr>
          <w:p>
            <w:pPr>
              <w:spacing w:after="0"/>
              <w:rPr>
                <w:sz w:val="18"/>
                <w:szCs w:val="18"/>
                <w:color w:val="auto"/>
              </w:rPr>
            </w:pPr>
          </w:p>
        </w:tc>
        <w:tc>
          <w:tcPr>
            <w:tcW w:w="260" w:type="dxa"/>
            <w:vAlign w:val="bottom"/>
            <w:tcBorders>
              <w:right w:val="single" w:sz="8" w:color="FFCCCC"/>
            </w:tcBorders>
            <w:shd w:val="clear" w:color="auto" w:fill="FFCCCC"/>
          </w:tcPr>
          <w:p>
            <w:pPr>
              <w:spacing w:after="0"/>
              <w:rPr>
                <w:sz w:val="18"/>
                <w:szCs w:val="18"/>
                <w:color w:val="auto"/>
              </w:rPr>
            </w:pPr>
          </w:p>
        </w:tc>
        <w:tc>
          <w:tcPr>
            <w:tcW w:w="100" w:type="dxa"/>
            <w:vAlign w:val="bottom"/>
            <w:tcBorders>
              <w:right w:val="single" w:sz="8" w:color="auto"/>
            </w:tcBorders>
            <w:shd w:val="clear" w:color="auto" w:fill="FFCCCC"/>
          </w:tcPr>
          <w:p>
            <w:pPr>
              <w:spacing w:after="0"/>
              <w:rPr>
                <w:sz w:val="18"/>
                <w:szCs w:val="18"/>
                <w:color w:val="auto"/>
              </w:rPr>
            </w:pPr>
          </w:p>
        </w:tc>
        <w:tc>
          <w:tcPr>
            <w:tcW w:w="1360" w:type="dxa"/>
            <w:vAlign w:val="bottom"/>
            <w:gridSpan w:val="7"/>
            <w:vMerge w:val="restart"/>
          </w:tcPr>
          <w:p>
            <w:pPr>
              <w:jc w:val="center"/>
              <w:ind w:left="37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6.21875%</w:t>
            </w:r>
          </w:p>
        </w:tc>
        <w:tc>
          <w:tcPr>
            <w:tcW w:w="120" w:type="dxa"/>
            <w:vAlign w:val="bottom"/>
            <w:tcBorders>
              <w:right w:val="single" w:sz="8" w:color="auto"/>
            </w:tcBorders>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700" w:type="dxa"/>
            <w:vAlign w:val="bottom"/>
            <w:tcBorders>
              <w:right w:val="single" w:sz="8" w:color="auto"/>
            </w:tcBorders>
            <w:gridSpan w:val="6"/>
            <w:vMerge w:val="restart"/>
            <w:shd w:val="clear" w:color="auto" w:fill="CCCCFF"/>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w:t>
            </w:r>
          </w:p>
        </w:tc>
        <w:tc>
          <w:tcPr>
            <w:tcW w:w="100" w:type="dxa"/>
            <w:vAlign w:val="bottom"/>
            <w:shd w:val="clear" w:color="auto" w:fill="CCCCFF"/>
          </w:tcPr>
          <w:p>
            <w:pPr>
              <w:spacing w:after="0"/>
              <w:rPr>
                <w:sz w:val="18"/>
                <w:szCs w:val="18"/>
                <w:color w:val="auto"/>
              </w:rPr>
            </w:pPr>
          </w:p>
        </w:tc>
        <w:tc>
          <w:tcPr>
            <w:tcW w:w="8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tcBorders>
              <w:right w:val="single" w:sz="8" w:color="CCCCFF"/>
            </w:tcBorders>
            <w:shd w:val="clear" w:color="auto" w:fill="CCCCFF"/>
          </w:tcPr>
          <w:p>
            <w:pPr>
              <w:spacing w:after="0"/>
              <w:rPr>
                <w:sz w:val="18"/>
                <w:szCs w:val="18"/>
                <w:color w:val="auto"/>
              </w:rPr>
            </w:pPr>
          </w:p>
        </w:tc>
        <w:tc>
          <w:tcPr>
            <w:tcW w:w="260" w:type="dxa"/>
            <w:vAlign w:val="bottom"/>
            <w:tcBorders>
              <w:left w:val="single" w:sz="8" w:color="CCCCFF"/>
            </w:tcBorders>
            <w:shd w:val="clear" w:color="auto" w:fill="CCCCFF"/>
          </w:tcPr>
          <w:p>
            <w:pPr>
              <w:spacing w:after="0"/>
              <w:rPr>
                <w:sz w:val="18"/>
                <w:szCs w:val="18"/>
                <w:color w:val="auto"/>
              </w:rPr>
            </w:pPr>
          </w:p>
        </w:tc>
        <w:tc>
          <w:tcPr>
            <w:tcW w:w="740" w:type="dxa"/>
            <w:vAlign w:val="bottom"/>
            <w:tcBorders>
              <w:right w:val="single" w:sz="8" w:color="auto"/>
            </w:tcBorders>
            <w:gridSpan w:val="3"/>
            <w:vMerge w:val="restart"/>
            <w:shd w:val="clear" w:color="auto" w:fill="CCCCFF"/>
          </w:tcPr>
          <w:p>
            <w:pPr>
              <w:jc w:val="center"/>
              <w:ind w:right="560"/>
              <w:spacing w:after="0"/>
              <w:rPr>
                <w:sz w:val="20"/>
                <w:szCs w:val="20"/>
                <w:color w:val="auto"/>
              </w:rPr>
            </w:pPr>
            <w:r>
              <w:rPr>
                <w:rFonts w:ascii="Times New Roman" w:cs="Times New Roman" w:eastAsia="Times New Roman" w:hAnsi="Times New Roman"/>
                <w:sz w:val="18"/>
                <w:szCs w:val="18"/>
                <w:color w:val="0000FF"/>
                <w:w w:val="99"/>
              </w:rPr>
              <w:t>—</w:t>
            </w:r>
          </w:p>
        </w:tc>
        <w:tc>
          <w:tcPr>
            <w:tcW w:w="1100" w:type="dxa"/>
            <w:vAlign w:val="bottom"/>
            <w:gridSpan w:val="7"/>
            <w:vMerge w:val="restart"/>
            <w:shd w:val="clear" w:color="auto" w:fill="CCCC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99,500,000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69" w:lineRule="exact"/>
              <w:rPr>
                <w:sz w:val="20"/>
                <w:szCs w:val="20"/>
                <w:color w:val="auto"/>
              </w:rPr>
            </w:pPr>
            <w:r>
              <w:rPr>
                <w:rFonts w:ascii="Times New Roman" w:cs="Times New Roman" w:eastAsia="Times New Roman" w:hAnsi="Times New Roman"/>
                <w:sz w:val="18"/>
                <w:szCs w:val="18"/>
                <w:color w:val="0000FF"/>
                <w:w w:val="99"/>
              </w:rPr>
              <w:t>3.9800%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300" w:type="dxa"/>
            <w:vAlign w:val="bottom"/>
            <w:tcBorders>
              <w:top w:val="single" w:sz="8" w:color="0000FF"/>
            </w:tcBorders>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6"/>
              </w:rPr>
              <w:t>New York Branch</w:t>
            </w:r>
          </w:p>
        </w:tc>
        <w:tc>
          <w:tcPr>
            <w:tcW w:w="200" w:type="dxa"/>
            <w:vAlign w:val="bottom"/>
            <w:tcBorders>
              <w:right w:val="single" w:sz="8" w:color="auto"/>
            </w:tcBorders>
            <w:vMerge w:val="restart"/>
          </w:tcPr>
          <w:p>
            <w:pPr>
              <w:spacing w:after="0"/>
              <w:rPr>
                <w:sz w:val="7"/>
                <w:szCs w:val="7"/>
                <w:color w:val="auto"/>
              </w:rPr>
            </w:pP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80" w:type="dxa"/>
            <w:vAlign w:val="bottom"/>
            <w:tcBorders>
              <w:top w:val="single" w:sz="8" w:color="CCCCFF"/>
            </w:tcBorders>
            <w:shd w:val="clear" w:color="auto" w:fill="CCCCFF"/>
          </w:tcPr>
          <w:p>
            <w:pPr>
              <w:spacing w:after="0"/>
              <w:rPr>
                <w:sz w:val="7"/>
                <w:szCs w:val="7"/>
                <w:color w:val="auto"/>
              </w:rPr>
            </w:pPr>
          </w:p>
        </w:tc>
        <w:tc>
          <w:tcPr>
            <w:tcW w:w="700" w:type="dxa"/>
            <w:vAlign w:val="bottom"/>
            <w:tcBorders>
              <w:top w:val="single" w:sz="8" w:color="CCCCFF"/>
              <w:right w:val="single" w:sz="8" w:color="auto"/>
            </w:tcBorders>
            <w:gridSpan w:val="6"/>
            <w:vMerge w:val="continue"/>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right w:val="single" w:sz="8" w:color="CCCCFF"/>
            </w:tcBorders>
            <w:shd w:val="clear" w:color="auto" w:fill="CCCCFF"/>
          </w:tcPr>
          <w:p>
            <w:pPr>
              <w:spacing w:after="0"/>
              <w:rPr>
                <w:sz w:val="7"/>
                <w:szCs w:val="7"/>
                <w:color w:val="auto"/>
              </w:rPr>
            </w:pPr>
          </w:p>
        </w:tc>
        <w:tc>
          <w:tcPr>
            <w:tcW w:w="260" w:type="dxa"/>
            <w:vAlign w:val="bottom"/>
            <w:tcBorders>
              <w:top w:val="single" w:sz="8" w:color="CCCCFF"/>
              <w:left w:val="single" w:sz="8" w:color="CCCCFF"/>
            </w:tcBorders>
            <w:shd w:val="clear" w:color="auto" w:fill="CCCCFF"/>
          </w:tcPr>
          <w:p>
            <w:pPr>
              <w:spacing w:after="0"/>
              <w:rPr>
                <w:sz w:val="7"/>
                <w:szCs w:val="7"/>
                <w:color w:val="auto"/>
              </w:rPr>
            </w:pPr>
          </w:p>
        </w:tc>
        <w:tc>
          <w:tcPr>
            <w:tcW w:w="740" w:type="dxa"/>
            <w:vAlign w:val="bottom"/>
            <w:tcBorders>
              <w:top w:val="single" w:sz="8" w:color="CCCCFF"/>
              <w:right w:val="single" w:sz="8" w:color="auto"/>
            </w:tcBorders>
            <w:gridSpan w:val="3"/>
            <w:vMerge w:val="continue"/>
            <w:shd w:val="clear" w:color="auto" w:fill="CCCCFF"/>
          </w:tcPr>
          <w:p>
            <w:pPr>
              <w:spacing w:after="0"/>
              <w:rPr>
                <w:sz w:val="7"/>
                <w:szCs w:val="7"/>
                <w:color w:val="auto"/>
              </w:rPr>
            </w:pPr>
          </w:p>
        </w:tc>
        <w:tc>
          <w:tcPr>
            <w:tcW w:w="1100" w:type="dxa"/>
            <w:vAlign w:val="bottom"/>
            <w:tcBorders>
              <w:top w:val="single" w:sz="8" w:color="CCCCFF"/>
            </w:tcBorders>
            <w:gridSpan w:val="7"/>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300" w:type="dxa"/>
            <w:vAlign w:val="bottom"/>
            <w:tcBorders>
              <w:top w:val="single" w:sz="8" w:color="0000FF"/>
              <w:bottom w:val="single" w:sz="8" w:color="0000FF"/>
            </w:tcBorders>
            <w:vMerge w:val="continue"/>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1440" w:type="dxa"/>
            <w:vAlign w:val="bottom"/>
            <w:tcBorders>
              <w:top w:val="single" w:sz="8" w:color="FFCCCC"/>
              <w:bottom w:val="single" w:sz="8" w:color="FFCCCC"/>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FFCCCC"/>
              <w:right w:val="single" w:sz="8" w:color="auto"/>
            </w:tcBorders>
            <w:shd w:val="clear" w:color="auto" w:fill="FFCCCC"/>
          </w:tcPr>
          <w:p>
            <w:pPr>
              <w:spacing w:after="0"/>
              <w:rPr>
                <w:sz w:val="7"/>
                <w:szCs w:val="7"/>
                <w:color w:val="auto"/>
              </w:rPr>
            </w:pPr>
          </w:p>
        </w:tc>
        <w:tc>
          <w:tcPr>
            <w:tcW w:w="460" w:type="dxa"/>
            <w:vAlign w:val="bottom"/>
            <w:gridSpan w:val="4"/>
          </w:tcPr>
          <w:p>
            <w:pPr>
              <w:spacing w:after="0"/>
              <w:rPr>
                <w:sz w:val="7"/>
                <w:szCs w:val="7"/>
                <w:color w:val="auto"/>
              </w:rPr>
            </w:pPr>
          </w:p>
        </w:tc>
        <w:tc>
          <w:tcPr>
            <w:tcW w:w="900" w:type="dxa"/>
            <w:vAlign w:val="bottom"/>
            <w:tcBorders>
              <w:top w:val="single" w:sz="8" w:color="0000FF"/>
            </w:tcBorders>
            <w:gridSpan w:val="3"/>
          </w:tcPr>
          <w:p>
            <w:pPr>
              <w:spacing w:after="0"/>
              <w:rPr>
                <w:sz w:val="7"/>
                <w:szCs w:val="7"/>
                <w:color w:val="auto"/>
              </w:rPr>
            </w:pPr>
          </w:p>
        </w:tc>
        <w:tc>
          <w:tcPr>
            <w:tcW w:w="480" w:type="dxa"/>
            <w:vAlign w:val="bottom"/>
            <w:tcBorders>
              <w:right w:val="single" w:sz="8" w:color="auto"/>
            </w:tcBorders>
            <w:gridSpan w:val="4"/>
          </w:tcPr>
          <w:p>
            <w:pPr>
              <w:spacing w:after="0"/>
              <w:rPr>
                <w:sz w:val="7"/>
                <w:szCs w:val="7"/>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CCCCFF"/>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CCCCFF"/>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CCCCFF"/>
              <w:right w:val="single" w:sz="8" w:color="auto"/>
            </w:tcBorders>
            <w:shd w:val="clear" w:color="auto" w:fill="CCCCFF"/>
          </w:tcPr>
          <w:p>
            <w:pPr>
              <w:spacing w:after="0"/>
              <w:rPr>
                <w:sz w:val="7"/>
                <w:szCs w:val="7"/>
                <w:color w:val="auto"/>
              </w:rPr>
            </w:pPr>
          </w:p>
        </w:tc>
        <w:tc>
          <w:tcPr>
            <w:tcW w:w="500" w:type="dxa"/>
            <w:vAlign w:val="bottom"/>
            <w:tcBorders>
              <w:top w:val="single" w:sz="8" w:color="CCCCFF"/>
              <w:bottom w:val="single" w:sz="8" w:color="CCCCFF"/>
            </w:tcBorders>
            <w:gridSpan w:val="5"/>
            <w:shd w:val="clear" w:color="auto" w:fill="CCCCFF"/>
          </w:tcPr>
          <w:p>
            <w:pPr>
              <w:spacing w:after="0"/>
              <w:rPr>
                <w:sz w:val="7"/>
                <w:szCs w:val="7"/>
                <w:color w:val="auto"/>
              </w:rPr>
            </w:pPr>
          </w:p>
        </w:tc>
        <w:tc>
          <w:tcPr>
            <w:tcW w:w="180" w:type="dxa"/>
            <w:vAlign w:val="bottom"/>
            <w:tcBorders>
              <w:top w:val="single" w:sz="8" w:color="0000FF"/>
              <w:bottom w:val="single" w:sz="8" w:color="CCCCFF"/>
            </w:tcBorders>
            <w:shd w:val="clear" w:color="auto" w:fill="CCCCFF"/>
          </w:tcPr>
          <w:p>
            <w:pPr>
              <w:spacing w:after="0"/>
              <w:rPr>
                <w:sz w:val="7"/>
                <w:szCs w:val="7"/>
                <w:color w:val="auto"/>
              </w:rPr>
            </w:pPr>
          </w:p>
        </w:tc>
        <w:tc>
          <w:tcPr>
            <w:tcW w:w="520" w:type="dxa"/>
            <w:vAlign w:val="bottom"/>
            <w:tcBorders>
              <w:top w:val="single" w:sz="8" w:color="CCCCFF"/>
              <w:bottom w:val="single" w:sz="8" w:color="CCCCFF"/>
              <w:right w:val="single" w:sz="8" w:color="auto"/>
            </w:tcBorders>
            <w:gridSpan w:val="5"/>
            <w:shd w:val="clear" w:color="auto" w:fill="CCCCFF"/>
          </w:tcPr>
          <w:p>
            <w:pPr>
              <w:spacing w:after="0"/>
              <w:rPr>
                <w:sz w:val="7"/>
                <w:szCs w:val="7"/>
                <w:color w:val="auto"/>
              </w:rPr>
            </w:pPr>
          </w:p>
        </w:tc>
        <w:tc>
          <w:tcPr>
            <w:tcW w:w="280" w:type="dxa"/>
            <w:vAlign w:val="bottom"/>
            <w:tcBorders>
              <w:top w:val="single" w:sz="8" w:color="CCCCFF"/>
              <w:bottom w:val="single" w:sz="8" w:color="CCCCFF"/>
              <w:right w:val="single" w:sz="8" w:color="CCCCFF"/>
            </w:tcBorders>
            <w:gridSpan w:val="5"/>
            <w:shd w:val="clear" w:color="auto" w:fill="CCCCFF"/>
          </w:tcPr>
          <w:p>
            <w:pPr>
              <w:spacing w:after="0"/>
              <w:rPr>
                <w:sz w:val="7"/>
                <w:szCs w:val="7"/>
                <w:color w:val="auto"/>
              </w:rPr>
            </w:pPr>
          </w:p>
        </w:tc>
        <w:tc>
          <w:tcPr>
            <w:tcW w:w="260" w:type="dxa"/>
            <w:vAlign w:val="bottom"/>
            <w:tcBorders>
              <w:top w:val="single" w:sz="8" w:color="CCCCFF"/>
              <w:left w:val="single" w:sz="8" w:color="CCCCFF"/>
              <w:bottom w:val="single" w:sz="8" w:color="CCCCFF"/>
            </w:tcBorders>
            <w:shd w:val="clear" w:color="auto" w:fill="CCCCFF"/>
          </w:tcPr>
          <w:p>
            <w:pPr>
              <w:spacing w:after="0"/>
              <w:rPr>
                <w:sz w:val="7"/>
                <w:szCs w:val="7"/>
                <w:color w:val="auto"/>
              </w:rPr>
            </w:pPr>
          </w:p>
        </w:tc>
        <w:tc>
          <w:tcPr>
            <w:tcW w:w="180" w:type="dxa"/>
            <w:vAlign w:val="bottom"/>
            <w:tcBorders>
              <w:top w:val="single" w:sz="8" w:color="0000FF"/>
              <w:bottom w:val="single" w:sz="8" w:color="CCCCFF"/>
            </w:tcBorders>
            <w:shd w:val="clear" w:color="auto" w:fill="CCCCFF"/>
          </w:tcPr>
          <w:p>
            <w:pPr>
              <w:spacing w:after="0"/>
              <w:rPr>
                <w:sz w:val="7"/>
                <w:szCs w:val="7"/>
                <w:color w:val="auto"/>
              </w:rPr>
            </w:pPr>
          </w:p>
        </w:tc>
        <w:tc>
          <w:tcPr>
            <w:tcW w:w="400" w:type="dxa"/>
            <w:vAlign w:val="bottom"/>
            <w:tcBorders>
              <w:top w:val="single" w:sz="8" w:color="CCCCFF"/>
              <w:bottom w:val="single" w:sz="8" w:color="CCCCFF"/>
              <w:right w:val="single" w:sz="8" w:color="CCCCFF"/>
            </w:tcBorders>
            <w:shd w:val="clear" w:color="auto" w:fill="CCCCFF"/>
          </w:tcPr>
          <w:p>
            <w:pPr>
              <w:spacing w:after="0"/>
              <w:rPr>
                <w:sz w:val="7"/>
                <w:szCs w:val="7"/>
                <w:color w:val="auto"/>
              </w:rPr>
            </w:pPr>
          </w:p>
        </w:tc>
        <w:tc>
          <w:tcPr>
            <w:tcW w:w="160" w:type="dxa"/>
            <w:vAlign w:val="bottom"/>
            <w:tcBorders>
              <w:top w:val="single" w:sz="8" w:color="CCCCFF"/>
              <w:bottom w:val="single" w:sz="8" w:color="CCCCFF"/>
              <w:right w:val="single" w:sz="8" w:color="auto"/>
            </w:tcBorders>
            <w:shd w:val="clear" w:color="auto" w:fill="CCCCFF"/>
          </w:tcPr>
          <w:p>
            <w:pPr>
              <w:spacing w:after="0"/>
              <w:rPr>
                <w:sz w:val="7"/>
                <w:szCs w:val="7"/>
                <w:color w:val="auto"/>
              </w:rPr>
            </w:pPr>
          </w:p>
        </w:tc>
        <w:tc>
          <w:tcPr>
            <w:tcW w:w="200" w:type="dxa"/>
            <w:vAlign w:val="bottom"/>
            <w:tcBorders>
              <w:top w:val="single" w:sz="8" w:color="CCCCFF"/>
              <w:bottom w:val="single" w:sz="8" w:color="CCCCFF"/>
            </w:tcBorders>
            <w:gridSpan w:val="4"/>
            <w:shd w:val="clear" w:color="auto" w:fill="CCCCFF"/>
          </w:tcPr>
          <w:p>
            <w:pPr>
              <w:spacing w:after="0"/>
              <w:rPr>
                <w:sz w:val="7"/>
                <w:szCs w:val="7"/>
                <w:color w:val="auto"/>
              </w:rPr>
            </w:pPr>
          </w:p>
        </w:tc>
        <w:tc>
          <w:tcPr>
            <w:tcW w:w="900" w:type="dxa"/>
            <w:vAlign w:val="bottom"/>
            <w:tcBorders>
              <w:top w:val="single" w:sz="8" w:color="0000FF"/>
              <w:bottom w:val="single" w:sz="8" w:color="CCCCFF"/>
            </w:tcBorders>
            <w:gridSpan w:val="3"/>
            <w:shd w:val="clear" w:color="auto" w:fill="CCCCFF"/>
          </w:tcPr>
          <w:p>
            <w:pPr>
              <w:spacing w:after="0"/>
              <w:rPr>
                <w:sz w:val="7"/>
                <w:szCs w:val="7"/>
                <w:color w:val="auto"/>
              </w:rPr>
            </w:pPr>
          </w:p>
        </w:tc>
        <w:tc>
          <w:tcPr>
            <w:tcW w:w="220" w:type="dxa"/>
            <w:vAlign w:val="bottom"/>
            <w:tcBorders>
              <w:top w:val="single" w:sz="8" w:color="CCCCFF"/>
              <w:bottom w:val="single" w:sz="8" w:color="CCCCFF"/>
              <w:right w:val="single" w:sz="8" w:color="auto"/>
            </w:tcBorders>
            <w:gridSpan w:val="5"/>
            <w:shd w:val="clear" w:color="auto" w:fill="CCCCFF"/>
          </w:tcPr>
          <w:p>
            <w:pPr>
              <w:spacing w:after="0"/>
              <w:rPr>
                <w:sz w:val="7"/>
                <w:szCs w:val="7"/>
                <w:color w:val="auto"/>
              </w:rPr>
            </w:pPr>
          </w:p>
        </w:tc>
        <w:tc>
          <w:tcPr>
            <w:tcW w:w="1220" w:type="dxa"/>
            <w:vAlign w:val="bottom"/>
            <w:tcBorders>
              <w:top w:val="single" w:sz="8" w:color="CCCCFF"/>
              <w:bottom w:val="single" w:sz="8" w:color="CCCCFF"/>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auto"/>
              <w:left w:val="single" w:sz="8" w:color="auto"/>
            </w:tcBorders>
          </w:tcPr>
          <w:p>
            <w:pPr>
              <w:spacing w:after="0"/>
              <w:rPr>
                <w:sz w:val="18"/>
                <w:szCs w:val="18"/>
                <w:color w:val="auto"/>
              </w:rPr>
            </w:pPr>
          </w:p>
        </w:tc>
        <w:tc>
          <w:tcPr>
            <w:tcW w:w="1500" w:type="dxa"/>
            <w:vAlign w:val="bottom"/>
            <w:tcBorders>
              <w:top w:val="single" w:sz="8" w:color="auto"/>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BOKF, NA, dba</w:t>
            </w:r>
          </w:p>
        </w:tc>
        <w:tc>
          <w:tcPr>
            <w:tcW w:w="1440" w:type="dxa"/>
            <w:vAlign w:val="bottom"/>
            <w:tcBorders>
              <w:top w:val="single" w:sz="8" w:color="auto"/>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2.812500000%</w:t>
            </w:r>
          </w:p>
        </w:tc>
        <w:tc>
          <w:tcPr>
            <w:tcW w:w="100" w:type="dxa"/>
            <w:vAlign w:val="bottom"/>
            <w:tcBorders>
              <w:top w:val="single" w:sz="8" w:color="auto"/>
              <w:right w:val="single" w:sz="8" w:color="auto"/>
            </w:tcBorders>
            <w:shd w:val="clear" w:color="auto" w:fill="FFCCCC"/>
          </w:tcPr>
          <w:p>
            <w:pPr>
              <w:spacing w:after="0"/>
              <w:rPr>
                <w:sz w:val="18"/>
                <w:szCs w:val="18"/>
                <w:color w:val="auto"/>
              </w:rPr>
            </w:pPr>
          </w:p>
        </w:tc>
        <w:tc>
          <w:tcPr>
            <w:tcW w:w="340" w:type="dxa"/>
            <w:vAlign w:val="bottom"/>
            <w:tcBorders>
              <w:top w:val="single" w:sz="8" w:color="auto"/>
            </w:tcBorders>
            <w:gridSpan w:val="2"/>
          </w:tcPr>
          <w:p>
            <w:pPr>
              <w:spacing w:after="0"/>
              <w:rPr>
                <w:sz w:val="18"/>
                <w:szCs w:val="18"/>
                <w:color w:val="auto"/>
              </w:rPr>
            </w:pPr>
          </w:p>
        </w:tc>
        <w:tc>
          <w:tcPr>
            <w:tcW w:w="1120" w:type="dxa"/>
            <w:vAlign w:val="bottom"/>
            <w:tcBorders>
              <w:top w:val="single" w:sz="8" w:color="auto"/>
            </w:tcBorders>
            <w:gridSpan w:val="7"/>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9"/>
              </w:rPr>
              <w:t>$45,000,000.00</w:t>
            </w: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2.81250%</w:t>
            </w:r>
          </w:p>
        </w:tc>
        <w:tc>
          <w:tcPr>
            <w:tcW w:w="120" w:type="dxa"/>
            <w:vAlign w:val="bottom"/>
            <w:tcBorders>
              <w:top w:val="single" w:sz="8" w:color="auto"/>
              <w:right w:val="single" w:sz="8" w:color="auto"/>
            </w:tcBorders>
            <w:shd w:val="clear" w:color="auto" w:fill="CCCCFF"/>
          </w:tcPr>
          <w:p>
            <w:pPr>
              <w:spacing w:after="0"/>
              <w:rPr>
                <w:sz w:val="18"/>
                <w:szCs w:val="18"/>
                <w:color w:val="auto"/>
              </w:rPr>
            </w:pPr>
          </w:p>
        </w:tc>
        <w:tc>
          <w:tcPr>
            <w:tcW w:w="1040" w:type="dxa"/>
            <w:vAlign w:val="bottom"/>
            <w:tcBorders>
              <w:top w:val="single" w:sz="8" w:color="auto"/>
            </w:tcBorders>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27,000,000</w:t>
            </w:r>
          </w:p>
        </w:tc>
        <w:tc>
          <w:tcPr>
            <w:tcW w:w="4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100" w:type="dxa"/>
            <w:vAlign w:val="bottom"/>
            <w:tcBorders>
              <w:top w:val="single" w:sz="8" w:color="auto"/>
              <w:right w:val="single" w:sz="8" w:color="auto"/>
            </w:tcBorders>
            <w:shd w:val="clear" w:color="auto" w:fill="CCCCFF"/>
          </w:tcPr>
          <w:p>
            <w:pPr>
              <w:spacing w:after="0"/>
              <w:rPr>
                <w:sz w:val="18"/>
                <w:szCs w:val="18"/>
                <w:color w:val="auto"/>
              </w:rPr>
            </w:pPr>
          </w:p>
        </w:tc>
        <w:tc>
          <w:tcPr>
            <w:tcW w:w="1120" w:type="dxa"/>
            <w:vAlign w:val="bottom"/>
            <w:tcBorders>
              <w:top w:val="single" w:sz="8" w:color="auto"/>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3.0000%</w:t>
            </w:r>
          </w:p>
        </w:tc>
        <w:tc>
          <w:tcPr>
            <w:tcW w:w="160" w:type="dxa"/>
            <w:vAlign w:val="bottom"/>
            <w:tcBorders>
              <w:top w:val="single" w:sz="8" w:color="auto"/>
              <w:right w:val="single" w:sz="8" w:color="auto"/>
            </w:tcBorders>
            <w:shd w:val="clear" w:color="auto" w:fill="CCCCFF"/>
          </w:tcPr>
          <w:p>
            <w:pPr>
              <w:spacing w:after="0"/>
              <w:rPr>
                <w:sz w:val="18"/>
                <w:szCs w:val="18"/>
                <w:color w:val="auto"/>
              </w:rPr>
            </w:pPr>
          </w:p>
        </w:tc>
        <w:tc>
          <w:tcPr>
            <w:tcW w:w="1100" w:type="dxa"/>
            <w:vAlign w:val="bottom"/>
            <w:tcBorders>
              <w:top w:val="single" w:sz="8" w:color="auto"/>
            </w:tcBorders>
            <w:gridSpan w:val="7"/>
            <w:vMerge w:val="restart"/>
            <w:shd w:val="clear" w:color="auto" w:fill="CCCC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72,000,000</w:t>
            </w:r>
          </w:p>
        </w:tc>
        <w:tc>
          <w:tcPr>
            <w:tcW w:w="4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4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100" w:type="dxa"/>
            <w:vAlign w:val="bottom"/>
            <w:tcBorders>
              <w:top w:val="single" w:sz="8" w:color="auto"/>
              <w:right w:val="single" w:sz="8" w:color="auto"/>
            </w:tcBorders>
            <w:shd w:val="clear" w:color="auto" w:fill="CCCCFF"/>
          </w:tcPr>
          <w:p>
            <w:pPr>
              <w:spacing w:after="0"/>
              <w:rPr>
                <w:sz w:val="18"/>
                <w:szCs w:val="18"/>
                <w:color w:val="auto"/>
              </w:rPr>
            </w:pPr>
          </w:p>
        </w:tc>
        <w:tc>
          <w:tcPr>
            <w:tcW w:w="920" w:type="dxa"/>
            <w:vAlign w:val="bottom"/>
            <w:tcBorders>
              <w:top w:val="single" w:sz="8" w:color="auto"/>
            </w:tcBorders>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2.8800%</w:t>
            </w:r>
          </w:p>
        </w:tc>
        <w:tc>
          <w:tcPr>
            <w:tcW w:w="10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60" w:type="dxa"/>
            <w:vAlign w:val="bottom"/>
            <w:tcBorders>
              <w:top w:val="single" w:sz="8" w:color="auto"/>
            </w:tcBorders>
            <w:shd w:val="clear" w:color="auto" w:fill="CCCCFF"/>
          </w:tcPr>
          <w:p>
            <w:pPr>
              <w:spacing w:after="0"/>
              <w:rPr>
                <w:sz w:val="18"/>
                <w:szCs w:val="18"/>
                <w:color w:val="auto"/>
              </w:rPr>
            </w:pPr>
          </w:p>
        </w:tc>
        <w:tc>
          <w:tcPr>
            <w:tcW w:w="20" w:type="dxa"/>
            <w:vAlign w:val="bottom"/>
            <w:tcBorders>
              <w:top w:val="single" w:sz="8" w:color="auto"/>
            </w:tcBorders>
            <w:shd w:val="clear" w:color="auto" w:fill="CCCCFF"/>
          </w:tcPr>
          <w:p>
            <w:pPr>
              <w:spacing w:after="0"/>
              <w:rPr>
                <w:sz w:val="18"/>
                <w:szCs w:val="18"/>
                <w:color w:val="auto"/>
              </w:rPr>
            </w:pPr>
          </w:p>
        </w:tc>
        <w:tc>
          <w:tcPr>
            <w:tcW w:w="100" w:type="dxa"/>
            <w:vAlign w:val="bottom"/>
            <w:tcBorders>
              <w:top w:val="single" w:sz="8" w:color="auto"/>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Bank of Oklahoma</w:t>
            </w: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45,000,000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auto"/>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auto"/>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auto"/>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00" w:type="dxa"/>
            <w:vAlign w:val="bottom"/>
            <w:tcBorders>
              <w:top w:val="single" w:sz="8" w:color="auto"/>
            </w:tcBorders>
            <w:gridSpan w:val="7"/>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gridSpan w:val="2"/>
            <w:vMerge w:val="continue"/>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200" w:type="dxa"/>
            <w:vAlign w:val="bottom"/>
            <w:tcBorders>
              <w:top w:val="single" w:sz="8" w:color="CCCCFF"/>
              <w:bottom w:val="single" w:sz="8" w:color="auto"/>
            </w:tcBorders>
            <w:gridSpan w:val="4"/>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3"/>
            <w:shd w:val="clear" w:color="auto" w:fill="CCCCFF"/>
          </w:tcPr>
          <w:p>
            <w:pPr>
              <w:spacing w:after="0"/>
              <w:rPr>
                <w:sz w:val="7"/>
                <w:szCs w:val="7"/>
                <w:color w:val="auto"/>
              </w:rPr>
            </w:pPr>
          </w:p>
        </w:tc>
        <w:tc>
          <w:tcPr>
            <w:tcW w:w="220" w:type="dxa"/>
            <w:vAlign w:val="bottom"/>
            <w:tcBorders>
              <w:top w:val="single" w:sz="8" w:color="CCCCFF"/>
              <w:bottom w:val="single" w:sz="8" w:color="auto"/>
              <w:right w:val="single" w:sz="8" w:color="auto"/>
            </w:tcBorders>
            <w:gridSpan w:val="5"/>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Comerica Bank</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8"/>
              </w:rPr>
              <w:t>2.812500000%</w:t>
            </w:r>
          </w:p>
        </w:tc>
        <w:tc>
          <w:tcPr>
            <w:tcW w:w="100" w:type="dxa"/>
            <w:vAlign w:val="bottom"/>
            <w:tcBorders>
              <w:right w:val="single" w:sz="8" w:color="auto"/>
            </w:tcBorders>
            <w:shd w:val="clear" w:color="auto" w:fill="FFCCCC"/>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7"/>
          </w:tcPr>
          <w:p>
            <w:pPr>
              <w:jc w:val="center"/>
              <w:spacing w:after="0" w:line="170" w:lineRule="exact"/>
              <w:rPr>
                <w:sz w:val="20"/>
                <w:szCs w:val="20"/>
                <w:color w:val="auto"/>
              </w:rPr>
            </w:pPr>
            <w:r>
              <w:rPr>
                <w:rFonts w:ascii="Times New Roman" w:cs="Times New Roman" w:eastAsia="Times New Roman" w:hAnsi="Times New Roman"/>
                <w:sz w:val="18"/>
                <w:szCs w:val="18"/>
                <w:color w:val="FF0000"/>
                <w:strike w:val="1"/>
                <w:w w:val="99"/>
              </w:rPr>
              <w:t>$45,000,000.00</w:t>
            </w: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color w:val="0000FF"/>
              </w:rPr>
              <w:t>2.81250%</w:t>
            </w:r>
          </w:p>
        </w:tc>
        <w:tc>
          <w:tcPr>
            <w:tcW w:w="120" w:type="dxa"/>
            <w:vAlign w:val="bottom"/>
            <w:tcBorders>
              <w:right w:val="single" w:sz="8" w:color="auto"/>
            </w:tcBorders>
            <w:shd w:val="clear" w:color="auto" w:fill="CCCCFF"/>
          </w:tcPr>
          <w:p>
            <w:pPr>
              <w:spacing w:after="0"/>
              <w:rPr>
                <w:sz w:val="18"/>
                <w:szCs w:val="18"/>
                <w:color w:val="auto"/>
              </w:rPr>
            </w:pPr>
          </w:p>
        </w:tc>
        <w:tc>
          <w:tcPr>
            <w:tcW w:w="1040" w:type="dxa"/>
            <w:vAlign w:val="bottom"/>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27,000,000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3.0000%</w:t>
            </w:r>
          </w:p>
        </w:tc>
        <w:tc>
          <w:tcPr>
            <w:tcW w:w="160" w:type="dxa"/>
            <w:vAlign w:val="bottom"/>
            <w:tcBorders>
              <w:right w:val="single" w:sz="8" w:color="auto"/>
            </w:tcBorders>
            <w:shd w:val="clear" w:color="auto" w:fill="CCCCFF"/>
          </w:tcPr>
          <w:p>
            <w:pPr>
              <w:spacing w:after="0"/>
              <w:rPr>
                <w:sz w:val="18"/>
                <w:szCs w:val="18"/>
                <w:color w:val="auto"/>
              </w:rPr>
            </w:pPr>
          </w:p>
        </w:tc>
        <w:tc>
          <w:tcPr>
            <w:tcW w:w="1100" w:type="dxa"/>
            <w:vAlign w:val="bottom"/>
            <w:gridSpan w:val="7"/>
            <w:vMerge w:val="restart"/>
            <w:shd w:val="clear" w:color="auto" w:fill="CCCC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72,000,000</w:t>
            </w: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920" w:type="dxa"/>
            <w:vAlign w:val="bottom"/>
            <w:gridSpan w:val="7"/>
            <w:shd w:val="clear" w:color="auto" w:fill="CCCCFF"/>
          </w:tcPr>
          <w:p>
            <w:pPr>
              <w:jc w:val="center"/>
              <w:ind w:left="190"/>
              <w:spacing w:after="0" w:line="170" w:lineRule="exact"/>
              <w:rPr>
                <w:sz w:val="20"/>
                <w:szCs w:val="20"/>
                <w:color w:val="auto"/>
              </w:rPr>
            </w:pPr>
            <w:r>
              <w:rPr>
                <w:rFonts w:ascii="Times New Roman" w:cs="Times New Roman" w:eastAsia="Times New Roman" w:hAnsi="Times New Roman"/>
                <w:sz w:val="18"/>
                <w:szCs w:val="18"/>
                <w:color w:val="0000FF"/>
                <w:w w:val="99"/>
              </w:rPr>
              <w:t>2.8800%</w:t>
            </w:r>
          </w:p>
        </w:tc>
        <w:tc>
          <w:tcPr>
            <w:tcW w:w="10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360" w:type="dxa"/>
            <w:vAlign w:val="bottom"/>
            <w:gridSpan w:val="7"/>
            <w:vMerge w:val="restart"/>
          </w:tcPr>
          <w:p>
            <w:pPr>
              <w:jc w:val="center"/>
              <w:ind w:left="370"/>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45,000,000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040" w:type="dxa"/>
            <w:vAlign w:val="bottom"/>
            <w:tcBorders>
              <w:top w:val="single" w:sz="8" w:color="CCCCFF"/>
            </w:tcBorders>
            <w:gridSpan w:val="8"/>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100" w:type="dxa"/>
            <w:vAlign w:val="bottom"/>
            <w:tcBorders>
              <w:top w:val="single" w:sz="8" w:color="CCCCFF"/>
            </w:tcBorders>
            <w:gridSpan w:val="7"/>
            <w:vMerge w:val="continue"/>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4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left w:val="single" w:sz="8" w:color="auto"/>
              <w:bottom w:val="single" w:sz="8" w:color="auto"/>
              <w:right w:val="single" w:sz="8" w:color="auto"/>
            </w:tcBorders>
            <w:gridSpan w:val="3"/>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360" w:type="dxa"/>
            <w:vAlign w:val="bottom"/>
            <w:tcBorders>
              <w:bottom w:val="single" w:sz="8" w:color="auto"/>
            </w:tcBorders>
            <w:gridSpan w:val="7"/>
            <w:vMerge w:val="continue"/>
          </w:tcPr>
          <w:p>
            <w:pPr>
              <w:spacing w:after="0"/>
              <w:rPr>
                <w:sz w:val="7"/>
                <w:szCs w:val="7"/>
                <w:color w:val="auto"/>
              </w:rPr>
            </w:pPr>
          </w:p>
        </w:tc>
        <w:tc>
          <w:tcPr>
            <w:tcW w:w="480" w:type="dxa"/>
            <w:vAlign w:val="bottom"/>
            <w:tcBorders>
              <w:bottom w:val="single" w:sz="8" w:color="auto"/>
              <w:right w:val="single" w:sz="8" w:color="auto"/>
            </w:tcBorders>
            <w:gridSpan w:val="4"/>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4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5"/>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gridSpan w:val="3"/>
            <w:shd w:val="clear" w:color="auto" w:fill="CCCCFF"/>
          </w:tcPr>
          <w:p>
            <w:pPr>
              <w:spacing w:after="0"/>
              <w:rPr>
                <w:sz w:val="7"/>
                <w:szCs w:val="7"/>
                <w:color w:val="auto"/>
              </w:rPr>
            </w:pPr>
          </w:p>
        </w:tc>
        <w:tc>
          <w:tcPr>
            <w:tcW w:w="280" w:type="dxa"/>
            <w:vAlign w:val="bottom"/>
            <w:tcBorders>
              <w:top w:val="single" w:sz="8" w:color="CCCCFF"/>
              <w:bottom w:val="single" w:sz="8" w:color="auto"/>
              <w:right w:val="single" w:sz="8" w:color="CCCCFF"/>
            </w:tcBorders>
            <w:gridSpan w:val="5"/>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200" w:type="dxa"/>
            <w:vAlign w:val="bottom"/>
            <w:tcBorders>
              <w:top w:val="single" w:sz="8" w:color="CCCCFF"/>
              <w:bottom w:val="single" w:sz="8" w:color="auto"/>
            </w:tcBorders>
            <w:gridSpan w:val="4"/>
            <w:shd w:val="clear" w:color="auto" w:fill="CCCCFF"/>
          </w:tcPr>
          <w:p>
            <w:pPr>
              <w:spacing w:after="0"/>
              <w:rPr>
                <w:sz w:val="7"/>
                <w:szCs w:val="7"/>
                <w:color w:val="auto"/>
              </w:rPr>
            </w:pPr>
          </w:p>
        </w:tc>
        <w:tc>
          <w:tcPr>
            <w:tcW w:w="900" w:type="dxa"/>
            <w:vAlign w:val="bottom"/>
            <w:tcBorders>
              <w:top w:val="single" w:sz="8" w:color="0000FF"/>
              <w:bottom w:val="single" w:sz="8" w:color="auto"/>
            </w:tcBorders>
            <w:gridSpan w:val="3"/>
            <w:shd w:val="clear" w:color="auto" w:fill="CCCCFF"/>
          </w:tcPr>
          <w:p>
            <w:pPr>
              <w:spacing w:after="0"/>
              <w:rPr>
                <w:sz w:val="7"/>
                <w:szCs w:val="7"/>
                <w:color w:val="auto"/>
              </w:rPr>
            </w:pPr>
          </w:p>
        </w:tc>
        <w:tc>
          <w:tcPr>
            <w:tcW w:w="220" w:type="dxa"/>
            <w:vAlign w:val="bottom"/>
            <w:tcBorders>
              <w:top w:val="single" w:sz="8" w:color="CCCCFF"/>
              <w:bottom w:val="single" w:sz="8" w:color="auto"/>
              <w:right w:val="single" w:sz="8" w:color="auto"/>
            </w:tcBorders>
            <w:gridSpan w:val="5"/>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right w:val="single" w:sz="8" w:color="FFCCCC"/>
            </w:tcBorders>
            <w:gridSpan w:val="3"/>
            <w:shd w:val="clear" w:color="auto" w:fill="FFCCCC"/>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FF0000"/>
                <w:strike w:val="1"/>
                <w:w w:val="99"/>
              </w:rPr>
              <w:t>100.000000000%</w:t>
            </w:r>
          </w:p>
        </w:tc>
        <w:tc>
          <w:tcPr>
            <w:tcW w:w="100" w:type="dxa"/>
            <w:vAlign w:val="bottom"/>
            <w:tcBorders>
              <w:right w:val="single" w:sz="8" w:color="auto"/>
            </w:tcBorders>
            <w:shd w:val="clear" w:color="auto" w:fill="FFCCCC"/>
          </w:tcPr>
          <w:p>
            <w:pPr>
              <w:spacing w:after="0"/>
              <w:rPr>
                <w:sz w:val="18"/>
                <w:szCs w:val="18"/>
                <w:color w:val="auto"/>
              </w:rPr>
            </w:pPr>
          </w:p>
        </w:tc>
        <w:tc>
          <w:tcPr>
            <w:tcW w:w="1840" w:type="dxa"/>
            <w:vAlign w:val="bottom"/>
            <w:tcBorders>
              <w:right w:val="single" w:sz="8" w:color="auto"/>
            </w:tcBorders>
            <w:gridSpan w:val="11"/>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FF0000"/>
                <w:strike w:val="1"/>
                <w:w w:val="99"/>
              </w:rPr>
              <w:t>$1,600,000,000.00</w:t>
            </w:r>
          </w:p>
        </w:tc>
        <w:tc>
          <w:tcPr>
            <w:tcW w:w="1100" w:type="dxa"/>
            <w:vAlign w:val="bottom"/>
            <w:tcBorders>
              <w:right w:val="single" w:sz="8" w:color="CCCCFF"/>
            </w:tcBorders>
            <w:gridSpan w:val="7"/>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100.00000%</w:t>
            </w:r>
          </w:p>
        </w:tc>
        <w:tc>
          <w:tcPr>
            <w:tcW w:w="120" w:type="dxa"/>
            <w:vAlign w:val="bottom"/>
            <w:tcBorders>
              <w:right w:val="single" w:sz="8" w:color="auto"/>
            </w:tcBorders>
            <w:shd w:val="clear" w:color="auto" w:fill="CCCCFF"/>
          </w:tcPr>
          <w:p>
            <w:pPr>
              <w:spacing w:after="0"/>
              <w:rPr>
                <w:sz w:val="18"/>
                <w:szCs w:val="18"/>
                <w:color w:val="auto"/>
              </w:rPr>
            </w:pPr>
          </w:p>
        </w:tc>
        <w:tc>
          <w:tcPr>
            <w:tcW w:w="1100" w:type="dxa"/>
            <w:vAlign w:val="bottom"/>
            <w:gridSpan w:val="10"/>
            <w:vMerge w:val="restart"/>
            <w:shd w:val="clear" w:color="auto" w:fill="CCCC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w w:val="98"/>
              </w:rPr>
              <w:t>$</w:t>
            </w:r>
            <w:r>
              <w:rPr>
                <w:rFonts w:ascii="Times New Roman" w:cs="Times New Roman" w:eastAsia="Times New Roman" w:hAnsi="Times New Roman"/>
                <w:sz w:val="18"/>
                <w:szCs w:val="18"/>
                <w:b w:val="1"/>
                <w:bCs w:val="1"/>
                <w:color w:val="0000FF"/>
                <w:w w:val="98"/>
              </w:rPr>
              <w:t>900,000,000</w:t>
            </w:r>
          </w:p>
        </w:tc>
        <w:tc>
          <w:tcPr>
            <w:tcW w:w="100" w:type="dxa"/>
            <w:vAlign w:val="bottom"/>
            <w:tcBorders>
              <w:right w:val="single" w:sz="8" w:color="auto"/>
            </w:tcBorders>
            <w:shd w:val="clear" w:color="auto" w:fill="CCCCFF"/>
          </w:tcPr>
          <w:p>
            <w:pPr>
              <w:spacing w:after="0"/>
              <w:rPr>
                <w:sz w:val="18"/>
                <w:szCs w:val="18"/>
                <w:color w:val="auto"/>
              </w:rPr>
            </w:pPr>
          </w:p>
        </w:tc>
        <w:tc>
          <w:tcPr>
            <w:tcW w:w="1120" w:type="dxa"/>
            <w:vAlign w:val="bottom"/>
            <w:tcBorders>
              <w:right w:val="single" w:sz="8" w:color="CCCCFF"/>
            </w:tcBorders>
            <w:gridSpan w:val="8"/>
            <w:vMerge w:val="restart"/>
            <w:shd w:val="clear" w:color="auto" w:fill="CCCCFF"/>
          </w:tcPr>
          <w:p>
            <w:pPr>
              <w:jc w:val="center"/>
              <w:ind w:left="50"/>
              <w:spacing w:after="0"/>
              <w:rPr>
                <w:sz w:val="20"/>
                <w:szCs w:val="20"/>
                <w:color w:val="auto"/>
              </w:rPr>
            </w:pPr>
            <w:r>
              <w:rPr>
                <w:rFonts w:ascii="Times New Roman" w:cs="Times New Roman" w:eastAsia="Times New Roman" w:hAnsi="Times New Roman"/>
                <w:sz w:val="18"/>
                <w:szCs w:val="18"/>
                <w:b w:val="1"/>
                <w:bCs w:val="1"/>
                <w:color w:val="0000FF"/>
              </w:rPr>
              <w:t>100.0000%</w:t>
            </w:r>
          </w:p>
        </w:tc>
        <w:tc>
          <w:tcPr>
            <w:tcW w:w="160" w:type="dxa"/>
            <w:vAlign w:val="bottom"/>
            <w:tcBorders>
              <w:right w:val="single" w:sz="8" w:color="auto"/>
            </w:tcBorders>
            <w:shd w:val="clear" w:color="auto" w:fill="CCCCFF"/>
          </w:tcPr>
          <w:p>
            <w:pPr>
              <w:spacing w:after="0"/>
              <w:rPr>
                <w:sz w:val="18"/>
                <w:szCs w:val="18"/>
                <w:color w:val="auto"/>
              </w:rPr>
            </w:pPr>
          </w:p>
        </w:tc>
        <w:tc>
          <w:tcPr>
            <w:tcW w:w="1320" w:type="dxa"/>
            <w:vAlign w:val="bottom"/>
            <w:tcBorders>
              <w:right w:val="single" w:sz="8" w:color="auto"/>
            </w:tcBorders>
            <w:gridSpan w:val="12"/>
            <w:vMerge w:val="restart"/>
            <w:shd w:val="clear" w:color="auto" w:fill="CCCCFF"/>
          </w:tcPr>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2,500,000,000</w:t>
            </w:r>
          </w:p>
        </w:tc>
        <w:tc>
          <w:tcPr>
            <w:tcW w:w="1040" w:type="dxa"/>
            <w:vAlign w:val="bottom"/>
            <w:gridSpan w:val="9"/>
            <w:shd w:val="clear" w:color="auto" w:fill="CCCCFF"/>
          </w:tcPr>
          <w:p>
            <w:pPr>
              <w:jc w:val="center"/>
              <w:ind w:left="70"/>
              <w:spacing w:after="0" w:line="170" w:lineRule="exact"/>
              <w:rPr>
                <w:sz w:val="20"/>
                <w:szCs w:val="20"/>
                <w:color w:val="auto"/>
              </w:rPr>
            </w:pPr>
            <w:r>
              <w:rPr>
                <w:rFonts w:ascii="Times New Roman" w:cs="Times New Roman" w:eastAsia="Times New Roman" w:hAnsi="Times New Roman"/>
                <w:sz w:val="18"/>
                <w:szCs w:val="18"/>
                <w:b w:val="1"/>
                <w:bCs w:val="1"/>
                <w:color w:val="0000FF"/>
                <w:w w:val="98"/>
              </w:rPr>
              <w:t>100.0000%</w:t>
            </w:r>
          </w:p>
        </w:tc>
        <w:tc>
          <w:tcPr>
            <w:tcW w:w="60" w:type="dxa"/>
            <w:vAlign w:val="bottom"/>
            <w:shd w:val="clear" w:color="auto" w:fill="CCCCFF"/>
          </w:tcPr>
          <w:p>
            <w:pPr>
              <w:spacing w:after="0"/>
              <w:rPr>
                <w:sz w:val="18"/>
                <w:szCs w:val="18"/>
                <w:color w:val="auto"/>
              </w:rPr>
            </w:pPr>
          </w:p>
        </w:tc>
        <w:tc>
          <w:tcPr>
            <w:tcW w:w="20" w:type="dxa"/>
            <w:vAlign w:val="bottom"/>
            <w:shd w:val="clear" w:color="auto" w:fill="CCCCFF"/>
          </w:tcPr>
          <w:p>
            <w:pPr>
              <w:spacing w:after="0"/>
              <w:rPr>
                <w:sz w:val="18"/>
                <w:szCs w:val="18"/>
                <w:color w:val="auto"/>
              </w:rPr>
            </w:pPr>
          </w:p>
        </w:tc>
        <w:tc>
          <w:tcPr>
            <w:tcW w:w="100" w:type="dxa"/>
            <w:vAlign w:val="bottom"/>
            <w:tcBorders>
              <w:right w:val="single" w:sz="8" w:color="auto"/>
            </w:tcBorders>
            <w:shd w:val="clear" w:color="auto" w:fill="CCCC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340" w:type="dxa"/>
            <w:vAlign w:val="bottom"/>
            <w:tcBorders>
              <w:top w:val="single" w:sz="8" w:color="FFCCCC"/>
            </w:tcBorders>
            <w:shd w:val="clear" w:color="auto" w:fill="FFCCCC"/>
          </w:tcPr>
          <w:p>
            <w:pPr>
              <w:spacing w:after="0"/>
              <w:rPr>
                <w:sz w:val="7"/>
                <w:szCs w:val="7"/>
                <w:color w:val="auto"/>
              </w:rPr>
            </w:pPr>
          </w:p>
        </w:tc>
        <w:tc>
          <w:tcPr>
            <w:tcW w:w="840" w:type="dxa"/>
            <w:vAlign w:val="bottom"/>
            <w:tcBorders>
              <w:top w:val="single" w:sz="8" w:color="FFCCCC"/>
            </w:tcBorders>
            <w:shd w:val="clear" w:color="auto" w:fill="FFCCCC"/>
          </w:tcPr>
          <w:p>
            <w:pPr>
              <w:spacing w:after="0"/>
              <w:rPr>
                <w:sz w:val="7"/>
                <w:szCs w:val="7"/>
                <w:color w:val="auto"/>
              </w:rPr>
            </w:pPr>
          </w:p>
        </w:tc>
        <w:tc>
          <w:tcPr>
            <w:tcW w:w="260" w:type="dxa"/>
            <w:vAlign w:val="bottom"/>
            <w:tcBorders>
              <w:top w:val="single" w:sz="8" w:color="FFCCCC"/>
              <w:right w:val="single" w:sz="8" w:color="FFCCCC"/>
            </w:tcBorders>
            <w:shd w:val="clear" w:color="auto" w:fill="FFCCCC"/>
          </w:tcPr>
          <w:p>
            <w:pPr>
              <w:spacing w:after="0"/>
              <w:rPr>
                <w:sz w:val="7"/>
                <w:szCs w:val="7"/>
                <w:color w:val="auto"/>
              </w:rPr>
            </w:pPr>
          </w:p>
        </w:tc>
        <w:tc>
          <w:tcPr>
            <w:tcW w:w="100" w:type="dxa"/>
            <w:vAlign w:val="bottom"/>
            <w:tcBorders>
              <w:top w:val="single" w:sz="8" w:color="FFCCCC"/>
              <w:right w:val="single" w:sz="8" w:color="auto"/>
            </w:tcBorders>
            <w:shd w:val="clear" w:color="auto" w:fill="FFCCCC"/>
          </w:tcPr>
          <w:p>
            <w:pPr>
              <w:spacing w:after="0"/>
              <w:rPr>
                <w:sz w:val="7"/>
                <w:szCs w:val="7"/>
                <w:color w:val="auto"/>
              </w:rPr>
            </w:pPr>
          </w:p>
        </w:tc>
        <w:tc>
          <w:tcPr>
            <w:tcW w:w="1500" w:type="dxa"/>
            <w:vAlign w:val="bottom"/>
            <w:gridSpan w:val="10"/>
            <w:vMerge w:val="restart"/>
          </w:tcPr>
          <w:p>
            <w:pPr>
              <w:jc w:val="center"/>
              <w:ind w:left="210"/>
              <w:spacing w:after="0" w:line="156" w:lineRule="exact"/>
              <w:rPr>
                <w:sz w:val="20"/>
                <w:szCs w:val="20"/>
                <w:color w:val="auto"/>
              </w:rPr>
            </w:pPr>
            <w:r>
              <w:rPr>
                <w:rFonts w:ascii="Times New Roman" w:cs="Times New Roman" w:eastAsia="Times New Roman" w:hAnsi="Times New Roman"/>
                <w:sz w:val="18"/>
                <w:szCs w:val="18"/>
                <w:b w:val="1"/>
                <w:bCs w:val="1"/>
                <w:u w:val="single" w:color="auto"/>
                <w:color w:val="0000FF"/>
                <w:w w:val="99"/>
              </w:rPr>
              <w:t>$</w:t>
            </w:r>
            <w:r>
              <w:rPr>
                <w:rFonts w:ascii="Times New Roman" w:cs="Times New Roman" w:eastAsia="Times New Roman" w:hAnsi="Times New Roman"/>
                <w:sz w:val="18"/>
                <w:szCs w:val="18"/>
                <w:b w:val="1"/>
                <w:bCs w:val="1"/>
                <w:color w:val="0000FF"/>
                <w:w w:val="99"/>
              </w:rPr>
              <w:t>1,600,000,000</w:t>
            </w:r>
          </w:p>
        </w:tc>
        <w:tc>
          <w:tcPr>
            <w:tcW w:w="340" w:type="dxa"/>
            <w:vAlign w:val="bottom"/>
            <w:tcBorders>
              <w:right w:val="single" w:sz="8" w:color="auto"/>
            </w:tcBorders>
          </w:tcPr>
          <w:p>
            <w:pPr>
              <w:spacing w:after="0"/>
              <w:rPr>
                <w:sz w:val="7"/>
                <w:szCs w:val="7"/>
                <w:color w:val="auto"/>
              </w:rPr>
            </w:pPr>
          </w:p>
        </w:tc>
        <w:tc>
          <w:tcPr>
            <w:tcW w:w="1100" w:type="dxa"/>
            <w:vAlign w:val="bottom"/>
            <w:tcBorders>
              <w:top w:val="single" w:sz="8" w:color="CCCCFF"/>
              <w:right w:val="single" w:sz="8" w:color="CCCCFF"/>
            </w:tcBorders>
            <w:gridSpan w:val="7"/>
            <w:vMerge w:val="continue"/>
            <w:shd w:val="clear" w:color="auto" w:fill="CCCCFF"/>
          </w:tcPr>
          <w:p>
            <w:pPr>
              <w:spacing w:after="0"/>
              <w:rPr>
                <w:sz w:val="7"/>
                <w:szCs w:val="7"/>
                <w:color w:val="auto"/>
              </w:rPr>
            </w:pPr>
          </w:p>
        </w:tc>
        <w:tc>
          <w:tcPr>
            <w:tcW w:w="120" w:type="dxa"/>
            <w:vAlign w:val="bottom"/>
            <w:tcBorders>
              <w:top w:val="single" w:sz="8" w:color="CCCCFF"/>
              <w:right w:val="single" w:sz="8" w:color="auto"/>
            </w:tcBorders>
            <w:shd w:val="clear" w:color="auto" w:fill="CCCCFF"/>
          </w:tcPr>
          <w:p>
            <w:pPr>
              <w:spacing w:after="0"/>
              <w:rPr>
                <w:sz w:val="7"/>
                <w:szCs w:val="7"/>
                <w:color w:val="auto"/>
              </w:rPr>
            </w:pPr>
          </w:p>
        </w:tc>
        <w:tc>
          <w:tcPr>
            <w:tcW w:w="1100" w:type="dxa"/>
            <w:vAlign w:val="bottom"/>
            <w:tcBorders>
              <w:top w:val="single" w:sz="8" w:color="CCCCFF"/>
            </w:tcBorders>
            <w:gridSpan w:val="10"/>
            <w:vMerge w:val="continue"/>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1120" w:type="dxa"/>
            <w:vAlign w:val="bottom"/>
            <w:tcBorders>
              <w:top w:val="single" w:sz="8" w:color="CCCCFF"/>
              <w:right w:val="single" w:sz="8" w:color="CCCCFF"/>
            </w:tcBorders>
            <w:gridSpan w:val="8"/>
            <w:vMerge w:val="continue"/>
            <w:shd w:val="clear" w:color="auto" w:fill="CCCCFF"/>
          </w:tcPr>
          <w:p>
            <w:pPr>
              <w:spacing w:after="0"/>
              <w:rPr>
                <w:sz w:val="7"/>
                <w:szCs w:val="7"/>
                <w:color w:val="auto"/>
              </w:rPr>
            </w:pPr>
          </w:p>
        </w:tc>
        <w:tc>
          <w:tcPr>
            <w:tcW w:w="160" w:type="dxa"/>
            <w:vAlign w:val="bottom"/>
            <w:tcBorders>
              <w:top w:val="single" w:sz="8" w:color="CCCCFF"/>
              <w:right w:val="single" w:sz="8" w:color="auto"/>
            </w:tcBorders>
            <w:shd w:val="clear" w:color="auto" w:fill="CCCCFF"/>
          </w:tcPr>
          <w:p>
            <w:pPr>
              <w:spacing w:after="0"/>
              <w:rPr>
                <w:sz w:val="7"/>
                <w:szCs w:val="7"/>
                <w:color w:val="auto"/>
              </w:rPr>
            </w:pPr>
          </w:p>
        </w:tc>
        <w:tc>
          <w:tcPr>
            <w:tcW w:w="1320" w:type="dxa"/>
            <w:vAlign w:val="bottom"/>
            <w:tcBorders>
              <w:top w:val="single" w:sz="8" w:color="CCCCFF"/>
              <w:right w:val="single" w:sz="8" w:color="auto"/>
            </w:tcBorders>
            <w:gridSpan w:val="12"/>
            <w:vMerge w:val="continue"/>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400" w:type="dxa"/>
            <w:vAlign w:val="bottom"/>
            <w:tcBorders>
              <w:top w:val="single" w:sz="8" w:color="0000FF"/>
            </w:tcBorders>
            <w:shd w:val="clear" w:color="auto" w:fill="CCCCFF"/>
          </w:tcPr>
          <w:p>
            <w:pPr>
              <w:spacing w:after="0"/>
              <w:rPr>
                <w:sz w:val="7"/>
                <w:szCs w:val="7"/>
                <w:color w:val="auto"/>
              </w:rPr>
            </w:pPr>
          </w:p>
        </w:tc>
        <w:tc>
          <w:tcPr>
            <w:tcW w:w="120" w:type="dxa"/>
            <w:vAlign w:val="bottom"/>
            <w:tcBorders>
              <w:top w:val="single" w:sz="8" w:color="0000FF"/>
            </w:tcBorders>
            <w:shd w:val="clear" w:color="auto" w:fill="CCCCFF"/>
          </w:tcPr>
          <w:p>
            <w:pPr>
              <w:spacing w:after="0"/>
              <w:rPr>
                <w:sz w:val="7"/>
                <w:szCs w:val="7"/>
                <w:color w:val="auto"/>
              </w:rPr>
            </w:pPr>
          </w:p>
        </w:tc>
        <w:tc>
          <w:tcPr>
            <w:tcW w:w="100" w:type="dxa"/>
            <w:vAlign w:val="bottom"/>
            <w:tcBorders>
              <w:top w:val="single" w:sz="8" w:color="0000FF"/>
            </w:tcBorders>
            <w:shd w:val="clear" w:color="auto" w:fill="CCCCFF"/>
          </w:tcPr>
          <w:p>
            <w:pPr>
              <w:spacing w:after="0"/>
              <w:rPr>
                <w:sz w:val="7"/>
                <w:szCs w:val="7"/>
                <w:color w:val="auto"/>
              </w:rPr>
            </w:pPr>
          </w:p>
        </w:tc>
        <w:tc>
          <w:tcPr>
            <w:tcW w:w="20" w:type="dxa"/>
            <w:vAlign w:val="bottom"/>
            <w:tcBorders>
              <w:top w:val="single" w:sz="8" w:color="0000FF"/>
            </w:tcBorders>
            <w:shd w:val="clear" w:color="auto" w:fill="CCCCFF"/>
          </w:tcPr>
          <w:p>
            <w:pPr>
              <w:spacing w:after="0"/>
              <w:rPr>
                <w:sz w:val="7"/>
                <w:szCs w:val="7"/>
                <w:color w:val="auto"/>
              </w:rPr>
            </w:pPr>
          </w:p>
        </w:tc>
        <w:tc>
          <w:tcPr>
            <w:tcW w:w="60" w:type="dxa"/>
            <w:vAlign w:val="bottom"/>
            <w:tcBorders>
              <w:top w:val="single" w:sz="8" w:color="CCCCFF"/>
            </w:tcBorders>
            <w:shd w:val="clear" w:color="auto" w:fill="CCCCFF"/>
          </w:tcPr>
          <w:p>
            <w:pPr>
              <w:spacing w:after="0"/>
              <w:rPr>
                <w:sz w:val="7"/>
                <w:szCs w:val="7"/>
                <w:color w:val="auto"/>
              </w:rPr>
            </w:pPr>
          </w:p>
        </w:tc>
        <w:tc>
          <w:tcPr>
            <w:tcW w:w="20" w:type="dxa"/>
            <w:vAlign w:val="bottom"/>
            <w:tcBorders>
              <w:top w:val="single" w:sz="8" w:color="CCCCFF"/>
            </w:tcBorders>
            <w:shd w:val="clear" w:color="auto" w:fill="CCCCFF"/>
          </w:tcPr>
          <w:p>
            <w:pPr>
              <w:spacing w:after="0"/>
              <w:rPr>
                <w:sz w:val="7"/>
                <w:szCs w:val="7"/>
                <w:color w:val="auto"/>
              </w:rPr>
            </w:pPr>
          </w:p>
        </w:tc>
        <w:tc>
          <w:tcPr>
            <w:tcW w:w="100" w:type="dxa"/>
            <w:vAlign w:val="bottom"/>
            <w:tcBorders>
              <w:top w:val="single" w:sz="8" w:color="CCCCFF"/>
              <w:right w:val="single" w:sz="8" w:color="auto"/>
            </w:tcBorders>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left w:val="single" w:sz="8" w:color="auto"/>
              <w:bottom w:val="single" w:sz="8" w:color="auto"/>
              <w:right w:val="single" w:sz="8" w:color="auto"/>
            </w:tcBorders>
            <w:gridSpan w:val="3"/>
          </w:tcPr>
          <w:p>
            <w:pPr>
              <w:spacing w:after="0"/>
              <w:rPr>
                <w:sz w:val="7"/>
                <w:szCs w:val="7"/>
                <w:color w:val="auto"/>
              </w:rPr>
            </w:pPr>
          </w:p>
        </w:tc>
        <w:tc>
          <w:tcPr>
            <w:tcW w:w="1440" w:type="dxa"/>
            <w:vAlign w:val="bottom"/>
            <w:tcBorders>
              <w:top w:val="single" w:sz="8" w:color="FFCCCC"/>
              <w:bottom w:val="single" w:sz="8" w:color="auto"/>
              <w:right w:val="single" w:sz="8" w:color="FFCCCC"/>
            </w:tcBorders>
            <w:gridSpan w:val="3"/>
            <w:shd w:val="clear" w:color="auto" w:fill="FFCCCC"/>
          </w:tcPr>
          <w:p>
            <w:pPr>
              <w:spacing w:after="0"/>
              <w:rPr>
                <w:sz w:val="7"/>
                <w:szCs w:val="7"/>
                <w:color w:val="auto"/>
              </w:rPr>
            </w:pPr>
          </w:p>
        </w:tc>
        <w:tc>
          <w:tcPr>
            <w:tcW w:w="100" w:type="dxa"/>
            <w:vAlign w:val="bottom"/>
            <w:tcBorders>
              <w:top w:val="single" w:sz="8" w:color="FFCCCC"/>
              <w:bottom w:val="single" w:sz="8" w:color="auto"/>
              <w:right w:val="single" w:sz="8" w:color="auto"/>
            </w:tcBorders>
            <w:shd w:val="clear" w:color="auto" w:fill="FFCCCC"/>
          </w:tcPr>
          <w:p>
            <w:pPr>
              <w:spacing w:after="0"/>
              <w:rPr>
                <w:sz w:val="7"/>
                <w:szCs w:val="7"/>
                <w:color w:val="auto"/>
              </w:rPr>
            </w:pPr>
          </w:p>
        </w:tc>
        <w:tc>
          <w:tcPr>
            <w:tcW w:w="1500" w:type="dxa"/>
            <w:vAlign w:val="bottom"/>
            <w:tcBorders>
              <w:bottom w:val="single" w:sz="8" w:color="auto"/>
            </w:tcBorders>
            <w:gridSpan w:val="10"/>
            <w:vMerge w:val="continue"/>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12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160" w:type="dxa"/>
            <w:vAlign w:val="bottom"/>
            <w:tcBorders>
              <w:top w:val="single" w:sz="8" w:color="0000FF"/>
              <w:bottom w:val="single" w:sz="8" w:color="auto"/>
              <w:right w:val="single" w:sz="8" w:color="CCCCFF"/>
            </w:tcBorders>
            <w:gridSpan w:val="3"/>
            <w:shd w:val="clear" w:color="auto" w:fill="CCCCFF"/>
          </w:tcPr>
          <w:p>
            <w:pPr>
              <w:spacing w:after="0"/>
              <w:rPr>
                <w:sz w:val="7"/>
                <w:szCs w:val="7"/>
                <w:color w:val="auto"/>
              </w:rPr>
            </w:pPr>
          </w:p>
        </w:tc>
        <w:tc>
          <w:tcPr>
            <w:tcW w:w="52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300" w:type="dxa"/>
            <w:vAlign w:val="bottom"/>
            <w:tcBorders>
              <w:top w:val="single" w:sz="8" w:color="0000FF"/>
              <w:bottom w:val="single" w:sz="8" w:color="auto"/>
              <w:right w:val="single" w:sz="8" w:color="CCCCFF"/>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00" w:type="dxa"/>
            <w:vAlign w:val="bottom"/>
            <w:tcBorders>
              <w:top w:val="single" w:sz="8" w:color="CCCCFF"/>
              <w:bottom w:val="single" w:sz="8" w:color="auto"/>
            </w:tcBorders>
            <w:gridSpan w:val="2"/>
            <w:shd w:val="clear" w:color="auto" w:fill="CCCCFF"/>
          </w:tcPr>
          <w:p>
            <w:pPr>
              <w:spacing w:after="0"/>
              <w:rPr>
                <w:sz w:val="7"/>
                <w:szCs w:val="7"/>
                <w:color w:val="auto"/>
              </w:rPr>
            </w:pPr>
          </w:p>
        </w:tc>
        <w:tc>
          <w:tcPr>
            <w:tcW w:w="980" w:type="dxa"/>
            <w:vAlign w:val="bottom"/>
            <w:tcBorders>
              <w:top w:val="single" w:sz="8" w:color="0000FF"/>
              <w:bottom w:val="single" w:sz="8" w:color="auto"/>
            </w:tcBorders>
            <w:gridSpan w:val="7"/>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gridSpan w:val="2"/>
            <w:shd w:val="clear" w:color="auto" w:fill="CCCCFF"/>
          </w:tcPr>
          <w:p>
            <w:pPr>
              <w:spacing w:after="0"/>
              <w:rPr>
                <w:sz w:val="7"/>
                <w:szCs w:val="7"/>
                <w:color w:val="auto"/>
              </w:rPr>
            </w:pPr>
          </w:p>
        </w:tc>
        <w:tc>
          <w:tcPr>
            <w:tcW w:w="200" w:type="dxa"/>
            <w:vAlign w:val="bottom"/>
            <w:tcBorders>
              <w:top w:val="single" w:sz="8" w:color="CCCCFF"/>
              <w:bottom w:val="single" w:sz="8" w:color="auto"/>
            </w:tcBorders>
            <w:gridSpan w:val="3"/>
            <w:shd w:val="clear" w:color="auto" w:fill="CCCCFF"/>
          </w:tcPr>
          <w:p>
            <w:pPr>
              <w:spacing w:after="0"/>
              <w:rPr>
                <w:sz w:val="7"/>
                <w:szCs w:val="7"/>
                <w:color w:val="auto"/>
              </w:rPr>
            </w:pPr>
          </w:p>
        </w:tc>
        <w:tc>
          <w:tcPr>
            <w:tcW w:w="80" w:type="dxa"/>
            <w:vAlign w:val="bottom"/>
            <w:tcBorders>
              <w:top w:val="single" w:sz="8" w:color="0000FF"/>
              <w:bottom w:val="single" w:sz="8" w:color="auto"/>
              <w:right w:val="single" w:sz="8" w:color="CCCCFF"/>
            </w:tcBorders>
            <w:gridSpan w:val="2"/>
            <w:shd w:val="clear" w:color="auto" w:fill="CCCCFF"/>
          </w:tcPr>
          <w:p>
            <w:pPr>
              <w:spacing w:after="0"/>
              <w:rPr>
                <w:sz w:val="7"/>
                <w:szCs w:val="7"/>
                <w:color w:val="auto"/>
              </w:rPr>
            </w:pPr>
          </w:p>
        </w:tc>
        <w:tc>
          <w:tcPr>
            <w:tcW w:w="840" w:type="dxa"/>
            <w:vAlign w:val="bottom"/>
            <w:tcBorders>
              <w:top w:val="single" w:sz="8" w:color="0000FF"/>
              <w:left w:val="single" w:sz="8" w:color="CCCCFF"/>
              <w:bottom w:val="single" w:sz="8" w:color="auto"/>
              <w:right w:val="single" w:sz="8" w:color="CCCCFF"/>
            </w:tcBorders>
            <w:gridSpan w:val="3"/>
            <w:shd w:val="clear" w:color="auto" w:fill="CCCCFF"/>
          </w:tcPr>
          <w:p>
            <w:pPr>
              <w:spacing w:after="0"/>
              <w:rPr>
                <w:sz w:val="7"/>
                <w:szCs w:val="7"/>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80" w:type="dxa"/>
            <w:vAlign w:val="bottom"/>
            <w:tcBorders>
              <w:top w:val="single" w:sz="8" w:color="CCCCFF"/>
              <w:bottom w:val="single" w:sz="8" w:color="auto"/>
            </w:tcBorders>
            <w:shd w:val="clear" w:color="auto" w:fill="CCCCFF"/>
          </w:tcPr>
          <w:p>
            <w:pPr>
              <w:spacing w:after="0"/>
              <w:rPr>
                <w:sz w:val="7"/>
                <w:szCs w:val="7"/>
                <w:color w:val="auto"/>
              </w:rPr>
            </w:pPr>
          </w:p>
        </w:tc>
        <w:tc>
          <w:tcPr>
            <w:tcW w:w="1140" w:type="dxa"/>
            <w:vAlign w:val="bottom"/>
            <w:tcBorders>
              <w:top w:val="single" w:sz="8" w:color="0000FF"/>
              <w:bottom w:val="single" w:sz="8" w:color="auto"/>
            </w:tcBorders>
            <w:gridSpan w:val="10"/>
            <w:shd w:val="clear" w:color="auto" w:fill="CCCCFF"/>
          </w:tcPr>
          <w:p>
            <w:pPr>
              <w:spacing w:after="0"/>
              <w:rPr>
                <w:sz w:val="7"/>
                <w:szCs w:val="7"/>
                <w:color w:val="auto"/>
              </w:rPr>
            </w:pPr>
          </w:p>
        </w:tc>
        <w:tc>
          <w:tcPr>
            <w:tcW w:w="10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1220" w:type="dxa"/>
            <w:vAlign w:val="bottom"/>
            <w:tcBorders>
              <w:top w:val="single" w:sz="8" w:color="CCCCFF"/>
              <w:bottom w:val="single" w:sz="8" w:color="auto"/>
              <w:right w:val="single" w:sz="8" w:color="auto"/>
            </w:tcBorders>
            <w:gridSpan w:val="12"/>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1240" w:type="dxa"/>
            <w:vAlign w:val="bottom"/>
            <w:tcBorders>
              <w:bottom w:val="single" w:sz="8" w:color="auto"/>
            </w:tcBorders>
            <w:gridSpan w:val="70"/>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6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0000FF"/>
              </w:rPr>
              <w:t>LC COMMITMENTS</w:t>
            </w:r>
          </w:p>
        </w:tc>
        <w:tc>
          <w:tcPr>
            <w:tcW w:w="11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116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shd w:val="clear" w:color="auto" w:fill="CCCCFF"/>
          </w:tcPr>
          <w:p>
            <w:pPr>
              <w:spacing w:after="0"/>
              <w:rPr>
                <w:sz w:val="18"/>
                <w:szCs w:val="18"/>
                <w:color w:val="auto"/>
              </w:rPr>
            </w:pPr>
          </w:p>
        </w:tc>
        <w:tc>
          <w:tcPr>
            <w:tcW w:w="1520" w:type="dxa"/>
            <w:vAlign w:val="bottom"/>
            <w:tcBorders>
              <w:bottom w:val="single" w:sz="8" w:color="auto"/>
            </w:tcBorders>
            <w:shd w:val="clear" w:color="auto" w:fill="CCCCFF"/>
          </w:tcPr>
          <w:p>
            <w:pPr>
              <w:spacing w:after="0"/>
              <w:rPr>
                <w:sz w:val="18"/>
                <w:szCs w:val="18"/>
                <w:color w:val="auto"/>
              </w:rPr>
            </w:pPr>
          </w:p>
        </w:tc>
        <w:tc>
          <w:tcPr>
            <w:tcW w:w="1700" w:type="dxa"/>
            <w:vAlign w:val="bottom"/>
            <w:tcBorders>
              <w:bottom w:val="single" w:sz="8" w:color="auto"/>
            </w:tcBorders>
            <w:gridSpan w:val="2"/>
            <w:shd w:val="clear" w:color="auto" w:fill="CCCCFF"/>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99"/>
              </w:rPr>
              <w:t>Name of Issuing Bank</w:t>
            </w:r>
          </w:p>
        </w:tc>
        <w:tc>
          <w:tcPr>
            <w:tcW w:w="360" w:type="dxa"/>
            <w:vAlign w:val="bottom"/>
            <w:tcBorders>
              <w:bottom w:val="single" w:sz="8" w:color="auto"/>
            </w:tcBorders>
            <w:shd w:val="clear" w:color="auto" w:fill="CCCCFF"/>
          </w:tcPr>
          <w:p>
            <w:pPr>
              <w:spacing w:after="0"/>
              <w:rPr>
                <w:sz w:val="18"/>
                <w:szCs w:val="18"/>
                <w:color w:val="auto"/>
              </w:rPr>
            </w:pPr>
          </w:p>
        </w:tc>
        <w:tc>
          <w:tcPr>
            <w:tcW w:w="1280" w:type="dxa"/>
            <w:vAlign w:val="bottom"/>
            <w:tcBorders>
              <w:bottom w:val="single" w:sz="8" w:color="auto"/>
              <w:right w:val="single" w:sz="8" w:color="auto"/>
            </w:tcBorders>
            <w:shd w:val="clear" w:color="auto" w:fill="CCCCFF"/>
          </w:tcPr>
          <w:p>
            <w:pPr>
              <w:spacing w:after="0"/>
              <w:rPr>
                <w:sz w:val="18"/>
                <w:szCs w:val="18"/>
                <w:color w:val="auto"/>
              </w:rPr>
            </w:pPr>
          </w:p>
        </w:tc>
        <w:tc>
          <w:tcPr>
            <w:tcW w:w="340" w:type="dxa"/>
            <w:vAlign w:val="bottom"/>
            <w:tcBorders>
              <w:bottom w:val="single" w:sz="8" w:color="auto"/>
            </w:tcBorders>
            <w:shd w:val="clear" w:color="auto" w:fill="CCCCFF"/>
          </w:tcPr>
          <w:p>
            <w:pPr>
              <w:spacing w:after="0"/>
              <w:rPr>
                <w:sz w:val="18"/>
                <w:szCs w:val="18"/>
                <w:color w:val="auto"/>
              </w:rPr>
            </w:pPr>
          </w:p>
        </w:tc>
        <w:tc>
          <w:tcPr>
            <w:tcW w:w="3680" w:type="dxa"/>
            <w:vAlign w:val="bottom"/>
            <w:tcBorders>
              <w:bottom w:val="single" w:sz="8" w:color="auto"/>
              <w:right w:val="single" w:sz="8" w:color="auto"/>
            </w:tcBorders>
            <w:gridSpan w:val="5"/>
            <w:shd w:val="clear" w:color="auto" w:fill="CCCCFF"/>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0000FF"/>
              </w:rPr>
              <w:t>LC Commitment</w:t>
            </w:r>
          </w:p>
        </w:tc>
        <w:tc>
          <w:tcPr>
            <w:tcW w:w="1120" w:type="dxa"/>
            <w:vAlign w:val="bottom"/>
          </w:tcPr>
          <w:p>
            <w:pPr>
              <w:spacing w:after="0"/>
              <w:rPr>
                <w:sz w:val="18"/>
                <w:szCs w:val="18"/>
                <w:color w:val="auto"/>
              </w:rPr>
            </w:pPr>
          </w:p>
        </w:tc>
      </w:tr>
      <w:tr>
        <w:trPr>
          <w:trHeight w:val="209"/>
        </w:trPr>
        <w:tc>
          <w:tcPr>
            <w:tcW w:w="116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shd w:val="clear" w:color="auto" w:fill="CCCCFF"/>
          </w:tcPr>
          <w:p>
            <w:pPr>
              <w:spacing w:after="0"/>
              <w:rPr>
                <w:sz w:val="18"/>
                <w:szCs w:val="18"/>
                <w:color w:val="auto"/>
              </w:rPr>
            </w:pPr>
          </w:p>
        </w:tc>
        <w:tc>
          <w:tcPr>
            <w:tcW w:w="3220" w:type="dxa"/>
            <w:vAlign w:val="bottom"/>
            <w:tcBorders>
              <w:bottom w:val="single" w:sz="8" w:color="auto"/>
            </w:tcBorders>
            <w:gridSpan w:val="3"/>
            <w:shd w:val="clear" w:color="auto" w:fill="CCCCFF"/>
          </w:tcPr>
          <w:p>
            <w:pPr>
              <w:spacing w:after="0" w:line="170" w:lineRule="exact"/>
              <w:rPr>
                <w:sz w:val="20"/>
                <w:szCs w:val="20"/>
                <w:color w:val="auto"/>
              </w:rPr>
            </w:pPr>
            <w:r>
              <w:rPr>
                <w:rFonts w:ascii="Times New Roman" w:cs="Times New Roman" w:eastAsia="Times New Roman" w:hAnsi="Times New Roman"/>
                <w:sz w:val="18"/>
                <w:szCs w:val="18"/>
                <w:color w:val="0000FF"/>
              </w:rPr>
              <w:t>Wells Fargo Bank, National Association</w:t>
            </w:r>
          </w:p>
        </w:tc>
        <w:tc>
          <w:tcPr>
            <w:tcW w:w="360" w:type="dxa"/>
            <w:vAlign w:val="bottom"/>
            <w:tcBorders>
              <w:bottom w:val="single" w:sz="8" w:color="auto"/>
            </w:tcBorders>
            <w:shd w:val="clear" w:color="auto" w:fill="CCCCFF"/>
          </w:tcPr>
          <w:p>
            <w:pPr>
              <w:spacing w:after="0"/>
              <w:rPr>
                <w:sz w:val="18"/>
                <w:szCs w:val="18"/>
                <w:color w:val="auto"/>
              </w:rPr>
            </w:pPr>
          </w:p>
        </w:tc>
        <w:tc>
          <w:tcPr>
            <w:tcW w:w="1280" w:type="dxa"/>
            <w:vAlign w:val="bottom"/>
            <w:tcBorders>
              <w:bottom w:val="single" w:sz="8" w:color="auto"/>
              <w:right w:val="single" w:sz="8" w:color="auto"/>
            </w:tcBorders>
            <w:shd w:val="clear" w:color="auto" w:fill="CCCCFF"/>
          </w:tcPr>
          <w:p>
            <w:pPr>
              <w:spacing w:after="0"/>
              <w:rPr>
                <w:sz w:val="18"/>
                <w:szCs w:val="18"/>
                <w:color w:val="auto"/>
              </w:rPr>
            </w:pPr>
          </w:p>
        </w:tc>
        <w:tc>
          <w:tcPr>
            <w:tcW w:w="2660" w:type="dxa"/>
            <w:vAlign w:val="bottom"/>
            <w:tcBorders>
              <w:bottom w:val="single" w:sz="8" w:color="auto"/>
            </w:tcBorders>
            <w:gridSpan w:val="5"/>
            <w:shd w:val="clear" w:color="auto" w:fill="CCCCFF"/>
          </w:tcPr>
          <w:p>
            <w:pPr>
              <w:jc w:val="center"/>
              <w:ind w:right="120"/>
              <w:spacing w:after="0" w:line="170"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100,000,000</w:t>
            </w:r>
          </w:p>
        </w:tc>
        <w:tc>
          <w:tcPr>
            <w:tcW w:w="1360" w:type="dxa"/>
            <w:vAlign w:val="bottom"/>
            <w:tcBorders>
              <w:bottom w:val="single" w:sz="8" w:color="auto"/>
              <w:right w:val="single" w:sz="8" w:color="auto"/>
            </w:tcBorders>
            <w:shd w:val="clear" w:color="auto" w:fill="CCCCFF"/>
          </w:tcPr>
          <w:p>
            <w:pPr>
              <w:spacing w:after="0"/>
              <w:rPr>
                <w:sz w:val="18"/>
                <w:szCs w:val="18"/>
                <w:color w:val="auto"/>
              </w:rPr>
            </w:pPr>
          </w:p>
        </w:tc>
        <w:tc>
          <w:tcPr>
            <w:tcW w:w="1120" w:type="dxa"/>
            <w:vAlign w:val="bottom"/>
          </w:tcPr>
          <w:p>
            <w:pPr>
              <w:spacing w:after="0"/>
              <w:rPr>
                <w:sz w:val="18"/>
                <w:szCs w:val="18"/>
                <w:color w:val="auto"/>
              </w:rPr>
            </w:pPr>
          </w:p>
        </w:tc>
      </w:tr>
      <w:tr>
        <w:trPr>
          <w:trHeight w:val="447"/>
        </w:trPr>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010000"/>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spacing w:after="0"/>
        <w:tabs>
          <w:tab w:leader="none" w:pos="540" w:val="left"/>
          <w:tab w:leader="none" w:pos="10080" w:val="left"/>
          <w:tab w:leader="none" w:pos="10540" w:val="left"/>
          <w:tab w:leader="none" w:pos="11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20[</w:t>
        <w:tab/>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w:t>
      </w:r>
    </w:p>
    <w:p>
      <w:pPr>
        <w:spacing w:after="0" w:line="27" w:lineRule="exact"/>
        <w:rPr>
          <w:sz w:val="20"/>
          <w:szCs w:val="20"/>
          <w:color w:val="auto"/>
        </w:rPr>
      </w:pPr>
    </w:p>
    <w:p>
      <w:pPr>
        <w:ind w:left="700" w:hanging="692"/>
        <w:spacing w:after="0"/>
        <w:tabs>
          <w:tab w:leader="none" w:pos="70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at the principal office of WELLS FARGO BANK, NATIONAL ASSOCIATION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the principal sum</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 ] dollars ($[ ]) (or such lesser amount as shall equal the aggregate unpaid principal amount of the Loans made by the Lender to the Borrower under the Credit Agreement, as hereinafter defined), in lawful money of the United States of America and in immediately available funds, on the dates and in the principal amounts provided in the Credit Agreement, and to pay interest on the unpaid principal amount of each such Loan, at such office, in like money and funds, for the period commencing on the date of such Loan until such Loan shall be paid in full, at the rates per annum and on the dates provided in the Credit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date, amount, Type, interest rate, Interest Period and maturity of each Loan made by the Lender to the Borrower, and each payment made on account of the principal thereof, shall be recorded by the Lender on its books and, prior to any transfer of this Note, may be endorsed by the Lender on the schedules attached hereto or any continuation thereof or on any separate record maintained by the Lender. Failure to make any such notation or to attach a schedule shall not affect any Lender’s or the Borrower’s rights or obligations in respect of such Loans or affect the validity of such transfer by any Lender of this Note.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Note is one of the Notes referred to in the Second Amended and Restated Credit Agreement dated as of November 1, 2013 among the Parent Guarantor, the Borrower, the Administrative Agent, and the other agents and lenders signatory thereto (including the Lender), and evidences Loans made by the Lender thereunder (such Credit Agreement as the same may be amended, supplemented 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in this Note have the respective meanings assigned to them in the Credit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Note is issued pursuant to, and is subject to the terms and conditions set forth in, the Credit Agreement and is entitled to the benefits provided for in the Credit Agreement and the other Loan Documents. The Credit Agreement provides for the acceleration of the maturity of this Note upon the occurrence of certain events, for prepayments of Loans upon the terms and conditions specified therein and other provisions relevant to this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010000"/>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9" w:lineRule="exact"/>
        <w:rPr>
          <w:sz w:val="20"/>
          <w:szCs w:val="20"/>
          <w:color w:val="auto"/>
        </w:rPr>
      </w:pPr>
    </w:p>
    <w:p>
      <w:pPr>
        <w:ind w:left="5940" w:hanging="1223"/>
        <w:spacing w:after="0"/>
        <w:tabs>
          <w:tab w:leader="none" w:pos="59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  ]</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 Second Amended and Restated Credit Agreement dated as of November 1, 2013 (together with all amendments, restatements, supplements or other modifications thereto,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Diamondback Energy, Inc. (the “Parent Guarantor”), the Borrower, Wells Fargo Bank, National Association, as Administrative Agent and the other agents and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which are or become parties thereto (unless otherwise defined herein, each capitalized term used herein is defined in the Credit Agreement), hereby requests a Borrowing as follows:</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010000"/>
        </w:rPr>
        <w:t>(i)</w:t>
      </w:r>
      <w:r>
        <w:rPr>
          <w:sz w:val="20"/>
          <w:szCs w:val="20"/>
          <w:color w:val="auto"/>
        </w:rPr>
        <w:tab/>
      </w:r>
      <w:r>
        <w:rPr>
          <w:rFonts w:ascii="Times New Roman" w:cs="Times New Roman" w:eastAsia="Times New Roman" w:hAnsi="Times New Roman"/>
          <w:sz w:val="18"/>
          <w:szCs w:val="18"/>
          <w:color w:val="auto"/>
        </w:rPr>
        <w:t>Aggregate amount of the requested Borrowing is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2" w:lineRule="exact"/>
        <w:rPr>
          <w:sz w:val="20"/>
          <w:szCs w:val="20"/>
          <w:color w:val="auto"/>
        </w:rPr>
      </w:pPr>
    </w:p>
    <w:p>
      <w:pPr>
        <w:sectPr>
          <w:pgSz w:w="11900" w:h="16838" w:orient="portrait"/>
          <w:cols w:equalWidth="0" w:num="2">
            <w:col w:w="5440" w:space="720"/>
            <w:col w:w="5080"/>
          </w:cols>
          <w:pgMar w:left="320" w:top="117" w:right="339" w:bottom="1440" w:gutter="0" w:footer="0" w:header="0"/>
          <w:type w:val="continuous"/>
        </w:sectPr>
      </w:pPr>
    </w:p>
    <w:p>
      <w:pPr>
        <w:spacing w:after="0" w:line="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7"/>
          <w:szCs w:val="17"/>
          <w:color w:val="010000"/>
        </w:rPr>
        <w:t>(ii)</w:t>
      </w:r>
      <w:r>
        <w:rPr>
          <w:sz w:val="20"/>
          <w:szCs w:val="20"/>
          <w:color w:val="auto"/>
        </w:rPr>
        <w:tab/>
      </w:r>
      <w:r>
        <w:rPr>
          <w:rFonts w:ascii="Times New Roman" w:cs="Times New Roman" w:eastAsia="Times New Roman" w:hAnsi="Times New Roman"/>
          <w:sz w:val="17"/>
          <w:szCs w:val="17"/>
          <w:color w:val="auto"/>
        </w:rPr>
        <w:t>Date of such Borrowing is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3">
            <w:col w:w="3740" w:space="720"/>
            <w:col w:w="380" w:space="180"/>
            <w:col w:w="6220"/>
          </w:cols>
          <w:pgMar w:left="320" w:top="117" w:right="339" w:bottom="1440" w:gutter="0" w:footer="0" w:header="0"/>
          <w:type w:val="continuous"/>
        </w:sectPr>
      </w:pPr>
    </w:p>
    <w:p>
      <w:pPr>
        <w:spacing w:after="0" w:line="25" w:lineRule="exact"/>
        <w:rPr>
          <w:sz w:val="20"/>
          <w:szCs w:val="20"/>
          <w:color w:val="auto"/>
        </w:rPr>
      </w:pPr>
    </w:p>
    <w:p>
      <w:pPr>
        <w:ind w:left="1340" w:hanging="684"/>
        <w:spacing w:after="0"/>
        <w:tabs>
          <w:tab w:leader="none" w:pos="1340" w:val="left"/>
        </w:tabs>
        <w:numPr>
          <w:ilvl w:val="0"/>
          <w:numId w:val="2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Requested Borrowing is to be [an ABR Borrowing] [a SOFR Borrowing];</w:t>
      </w:r>
    </w:p>
    <w:p>
      <w:pPr>
        <w:spacing w:after="0" w:line="225" w:lineRule="exact"/>
        <w:rPr>
          <w:sz w:val="20"/>
          <w:szCs w:val="20"/>
          <w:color w:val="auto"/>
        </w:rPr>
      </w:pPr>
    </w:p>
    <w:p>
      <w:pPr>
        <w:ind w:left="660"/>
        <w:spacing w:after="0"/>
        <w:tabs>
          <w:tab w:leader="none" w:pos="1260" w:val="left"/>
          <w:tab w:leader="none" w:pos="8300" w:val="left"/>
        </w:tabs>
        <w:rPr>
          <w:sz w:val="20"/>
          <w:szCs w:val="20"/>
          <w:color w:val="auto"/>
        </w:rPr>
      </w:pPr>
      <w:r>
        <w:rPr>
          <w:rFonts w:ascii="Times New Roman" w:cs="Times New Roman" w:eastAsia="Times New Roman" w:hAnsi="Times New Roman"/>
          <w:sz w:val="18"/>
          <w:szCs w:val="18"/>
          <w:color w:val="010000"/>
        </w:rPr>
        <w:t>(iv)</w:t>
      </w:r>
      <w:r>
        <w:rPr>
          <w:sz w:val="20"/>
          <w:szCs w:val="20"/>
          <w:color w:val="auto"/>
        </w:rPr>
        <w:tab/>
      </w:r>
      <w:r>
        <w:rPr>
          <w:rFonts w:ascii="Times New Roman" w:cs="Times New Roman" w:eastAsia="Times New Roman" w:hAnsi="Times New Roman"/>
          <w:sz w:val="18"/>
          <w:szCs w:val="18"/>
          <w:color w:val="auto"/>
        </w:rPr>
        <w:t>In the case of a SOFR Borrowing, the initial Interest Period applicable thereto is [</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20" w:hanging="664"/>
        <w:spacing w:after="0"/>
        <w:tabs>
          <w:tab w:leader="none" w:pos="1320" w:val="left"/>
        </w:tabs>
        <w:numPr>
          <w:ilvl w:val="0"/>
          <w:numId w:val="2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Total Revolving Credit Exposures on the date hereof (i.e., outstanding principal amount of Loans and total LC Exposure) is $[ ];</w:t>
      </w:r>
    </w:p>
    <w:p>
      <w:pPr>
        <w:spacing w:after="0" w:line="225" w:lineRule="exact"/>
        <w:rPr>
          <w:sz w:val="20"/>
          <w:szCs w:val="20"/>
          <w:color w:val="auto"/>
        </w:rPr>
      </w:pPr>
    </w:p>
    <w:p>
      <w:pPr>
        <w:ind w:left="660"/>
        <w:spacing w:after="0"/>
        <w:tabs>
          <w:tab w:leader="none" w:pos="1300" w:val="left"/>
          <w:tab w:leader="none" w:pos="9040" w:val="left"/>
        </w:tabs>
        <w:rPr>
          <w:sz w:val="20"/>
          <w:szCs w:val="20"/>
          <w:color w:val="auto"/>
        </w:rPr>
      </w:pPr>
      <w:r>
        <w:rPr>
          <w:rFonts w:ascii="Times New Roman" w:cs="Times New Roman" w:eastAsia="Times New Roman" w:hAnsi="Times New Roman"/>
          <w:sz w:val="18"/>
          <w:szCs w:val="18"/>
          <w:color w:val="010000"/>
        </w:rPr>
        <w:t>(vi)</w:t>
      </w:r>
      <w:r>
        <w:rPr>
          <w:sz w:val="20"/>
          <w:szCs w:val="20"/>
          <w:color w:val="auto"/>
        </w:rPr>
        <w:tab/>
      </w:r>
      <w:r>
        <w:rPr>
          <w:rFonts w:ascii="Times New Roman" w:cs="Times New Roman" w:eastAsia="Times New Roman" w:hAnsi="Times New Roman"/>
          <w:sz w:val="18"/>
          <w:szCs w:val="18"/>
          <w:color w:val="auto"/>
        </w:rPr>
        <w:t>Pro forma total Revolving Credit Exposures (giving effect to the requested Borrowing) is $[</w:t>
      </w:r>
      <w:r>
        <w:rPr>
          <w:sz w:val="20"/>
          <w:szCs w:val="20"/>
          <w:color w:val="auto"/>
        </w:rPr>
        <w:tab/>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320" w:hanging="664"/>
        <w:spacing w:after="0"/>
        <w:tabs>
          <w:tab w:leader="none" w:pos="1320" w:val="left"/>
        </w:tabs>
        <w:numPr>
          <w:ilvl w:val="0"/>
          <w:numId w:val="2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of the Credit Agreement, is as follows:</w:t>
      </w:r>
    </w:p>
    <w:p>
      <w:pPr>
        <w:spacing w:after="0" w:line="207"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2852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28524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2852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-7620</wp:posOffset>
            </wp:positionV>
            <wp:extent cx="128524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-7620</wp:posOffset>
            </wp:positionV>
            <wp:extent cx="12852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t xml:space="preserve">The undersigned certifies that he/she is the </w:t>
      </w:r>
      <w:r>
        <w:rPr>
          <w:rFonts w:ascii="Times New Roman" w:cs="Times New Roman" w:eastAsia="Times New Roman" w:hAnsi="Times New Roman"/>
          <w:sz w:val="18"/>
          <w:szCs w:val="18"/>
          <w:u w:val="single" w:color="auto"/>
          <w:color w:val="0000FF"/>
        </w:rPr>
        <w:t>_____</w:t>
      </w:r>
      <w:r>
        <w:rPr>
          <w:rFonts w:ascii="Times New Roman" w:cs="Times New Roman" w:eastAsia="Times New Roman" w:hAnsi="Times New Roman"/>
          <w:sz w:val="18"/>
          <w:szCs w:val="18"/>
          <w:color w:val="auto"/>
        </w:rPr>
        <w:t>_______________ of the Parent Guarantor and the ____________________ of the Borrower, and that as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such he/she is authorized to execute this </w:t>
      </w:r>
      <w:r>
        <w:rPr>
          <w:rFonts w:ascii="Times New Roman" w:cs="Times New Roman" w:eastAsia="Times New Roman" w:hAnsi="Times New Roman"/>
          <w:sz w:val="18"/>
          <w:szCs w:val="18"/>
          <w:color w:val="FF0000"/>
          <w:strike w:val="1"/>
        </w:rPr>
        <w:t>certificate</w:t>
      </w:r>
      <w:r>
        <w:rPr>
          <w:rFonts w:ascii="Times New Roman" w:cs="Times New Roman" w:eastAsia="Times New Roman" w:hAnsi="Times New Roman"/>
          <w:sz w:val="18"/>
          <w:szCs w:val="18"/>
          <w:u w:val="single" w:color="auto"/>
          <w:color w:val="0000FF"/>
        </w:rPr>
        <w:t>Borrowing Request</w:t>
      </w:r>
      <w:r>
        <w:rPr>
          <w:rFonts w:ascii="Times New Roman" w:cs="Times New Roman" w:eastAsia="Times New Roman" w:hAnsi="Times New Roman"/>
          <w:sz w:val="18"/>
          <w:szCs w:val="18"/>
          <w:color w:val="auto"/>
        </w:rPr>
        <w:t xml:space="preserve"> on behalf of the Parent Guarantor and the Borrower, as applicable. </w:t>
      </w:r>
      <w:r>
        <w:rPr>
          <w:rFonts w:ascii="Times New Roman" w:cs="Times New Roman" w:eastAsia="Times New Roman" w:hAnsi="Times New Roman"/>
          <w:sz w:val="18"/>
          <w:szCs w:val="18"/>
          <w:color w:val="FF0000"/>
          <w:strike w:val="1"/>
        </w:rPr>
        <w:t>The undersigned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further certifies, represents and warrants on behalf of the Parent Guarantor and the Borrower, as applicable, that the Borrower is entitled to receive the requested Borrowing under the terms and conditions of the Credit Agreement and that such Borrowing will be used in compliance with </w:t>
      </w:r>
      <w:r>
        <w:rPr>
          <w:rFonts w:ascii="Times New Roman" w:cs="Times New Roman" w:eastAsia="Times New Roman" w:hAnsi="Times New Roman"/>
          <w:sz w:val="18"/>
          <w:szCs w:val="18"/>
          <w:u w:val="single" w:color="auto"/>
          <w:color w:val="FF0000"/>
          <w:strike w:val="1"/>
        </w:rPr>
        <w:t>Section 9.04</w:t>
      </w:r>
      <w:r>
        <w:rPr>
          <w:rFonts w:ascii="Times New Roman" w:cs="Times New Roman" w:eastAsia="Times New Roman" w:hAnsi="Times New Roman"/>
          <w:sz w:val="18"/>
          <w:szCs w:val="18"/>
          <w:color w:val="FF0000"/>
          <w:strike w:val="1"/>
        </w:rPr>
        <w:t xml:space="preserve"> of the Credit Agreement.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010000"/>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INTEREST ELECTION REQUEST</w:t>
      </w:r>
    </w:p>
    <w:p>
      <w:pPr>
        <w:spacing w:after="0" w:line="229" w:lineRule="exact"/>
        <w:rPr>
          <w:sz w:val="20"/>
          <w:szCs w:val="20"/>
          <w:color w:val="auto"/>
        </w:rPr>
      </w:pPr>
    </w:p>
    <w:p>
      <w:pPr>
        <w:ind w:left="5840" w:hanging="1011"/>
        <w:spacing w:after="0"/>
        <w:tabs>
          <w:tab w:leader="none" w:pos="58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  ]</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the Second Amended and Restated Credit Agreement dated as of November 1, 2013 (together with all amendments, restatements, supplements or other modifications thereto,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Diamondback Energy, Inc.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the Borrower, Wells Fargo Bank, National Association, as Administrative Agent and the other agents and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which are or become parties thereto (unless otherwise defined herein, each capitalized term used herein is defined in the Credit Agreement), hereby makes an Interest Election Request as follows:</w:t>
      </w:r>
    </w:p>
    <w:p>
      <w:pPr>
        <w:spacing w:after="0" w:line="183" w:lineRule="exact"/>
        <w:rPr>
          <w:sz w:val="20"/>
          <w:szCs w:val="20"/>
          <w:color w:val="auto"/>
        </w:rPr>
      </w:pPr>
    </w:p>
    <w:p>
      <w:pPr>
        <w:ind w:left="1320" w:hanging="664"/>
        <w:spacing w:after="0"/>
        <w:tabs>
          <w:tab w:leader="none" w:pos="1320" w:val="left"/>
        </w:tabs>
        <w:numPr>
          <w:ilvl w:val="0"/>
          <w:numId w:val="2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Borrowing to which this Interest Election Request applies, and if different options are being elected with respect to different portions</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thereof, the portions thereof to be allocated to each resulting Borrowing (in which case the information specified pursuant to (iii) and (iv) below shall be</w:t>
      </w:r>
    </w:p>
    <w:p>
      <w:pPr>
        <w:spacing w:after="0" w:line="225"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18"/>
          <w:szCs w:val="18"/>
          <w:color w:val="auto"/>
        </w:rPr>
        <w:t>specified for each resulting Borrowing) is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7"/>
          <w:szCs w:val="17"/>
          <w:color w:val="010000"/>
        </w:rPr>
        <w:t>(ii)</w:t>
      </w:r>
      <w:r>
        <w:rPr>
          <w:sz w:val="20"/>
          <w:szCs w:val="20"/>
          <w:color w:val="auto"/>
        </w:rPr>
        <w:tab/>
      </w:r>
      <w:r>
        <w:rPr>
          <w:rFonts w:ascii="Times New Roman" w:cs="Times New Roman" w:eastAsia="Times New Roman" w:hAnsi="Times New Roman"/>
          <w:sz w:val="17"/>
          <w:szCs w:val="17"/>
          <w:color w:val="auto"/>
        </w:rPr>
        <w:t>The effective date of the election made pursuant to this Interest Election Request is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w:t>
      </w:r>
    </w:p>
    <w:p>
      <w:pPr>
        <w:spacing w:after="0" w:line="211" w:lineRule="exact"/>
        <w:rPr>
          <w:sz w:val="20"/>
          <w:szCs w:val="20"/>
          <w:color w:val="auto"/>
        </w:rPr>
      </w:pPr>
    </w:p>
    <w:p>
      <w:pPr>
        <w:sectPr>
          <w:pgSz w:w="11900" w:h="16838" w:orient="portrait"/>
          <w:cols w:equalWidth="0" w:num="3">
            <w:col w:w="7580" w:space="720"/>
            <w:col w:w="400" w:space="140"/>
            <w:col w:w="2400"/>
          </w:cols>
          <w:pgMar w:left="320" w:top="117" w:right="339" w:bottom="1440" w:gutter="0" w:footer="0" w:header="0"/>
          <w:type w:val="continuous"/>
        </w:sectPr>
      </w:pPr>
    </w:p>
    <w:p>
      <w:pPr>
        <w:spacing w:after="0" w:line="25" w:lineRule="exact"/>
        <w:rPr>
          <w:sz w:val="20"/>
          <w:szCs w:val="20"/>
          <w:color w:val="auto"/>
        </w:rPr>
      </w:pPr>
    </w:p>
    <w:p>
      <w:pPr>
        <w:ind w:left="1340" w:hanging="684"/>
        <w:spacing w:after="0"/>
        <w:tabs>
          <w:tab w:leader="none" w:pos="1340" w:val="left"/>
        </w:tabs>
        <w:numPr>
          <w:ilvl w:val="0"/>
          <w:numId w:val="2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resulting Borrowing is to be [an ABR Borrowing] [a SOFR Borrowing][;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[If the resulting Borrowing is a SOFR Borrowing] The Interest Period applicable to the resulting Borrowing after giving effect to such election is</w:t>
      </w:r>
    </w:p>
    <w:p>
      <w:pPr>
        <w:spacing w:after="0" w:line="27" w:lineRule="exact"/>
        <w:rPr>
          <w:sz w:val="20"/>
          <w:szCs w:val="20"/>
          <w:color w:val="auto"/>
        </w:rPr>
      </w:pPr>
    </w:p>
    <w:p>
      <w:pPr>
        <w:ind w:left="1020" w:hanging="1012"/>
        <w:spacing w:after="0"/>
        <w:tabs>
          <w:tab w:leader="none" w:pos="10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certifies that he/she is the [______________] of the Parent Guarantor and the [______________] of the Borrower, and that as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he/she is authorized to execute this certificate on behalf of the Parent Guarantor and the Borrower, as applicable. The undersigned further certifies, represents and warrants on behalf of the Parent Guarantor and the Borrower, as applicable, that the Borrower is entitled to receive the requested continuation or conversion under the terms and conditions of the Credit Agreement.</w:t>
      </w:r>
    </w:p>
    <w:p>
      <w:pPr>
        <w:spacing w:after="0" w:line="1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color w:val="010000"/>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[_____________], 20[_]</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he/she is the [ ] of Diamondback Energy, Inc., a Delaware limited liability company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the [_____________] of Diamondback E&amp;P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that as such he/she is</w:t>
      </w:r>
    </w:p>
    <w:p>
      <w:pPr>
        <w:jc w:val="both"/>
        <w:spacing w:after="0" w:line="253" w:lineRule="auto"/>
        <w:rPr>
          <w:sz w:val="20"/>
          <w:szCs w:val="20"/>
          <w:color w:val="auto"/>
        </w:rPr>
      </w:pPr>
      <w:r>
        <w:rPr>
          <w:rFonts w:ascii="Times New Roman" w:cs="Times New Roman" w:eastAsia="Times New Roman" w:hAnsi="Times New Roman"/>
          <w:sz w:val="18"/>
          <w:szCs w:val="18"/>
          <w:color w:val="auto"/>
        </w:rPr>
        <w:t>authorized to execute this certificate on behalf of the Parent Guarantor and the Borrower. With reference to the Second Amended and Restated Credit Agreement dated as of November 1, 2013 (together with all amendments, restatements, supplements or other modifications thereto being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Parent Guarantor, the Borrower, Wells Fargo Bank, National Association, as Administrative Agent, and the other agents and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which are or become a party thereto, the undersigned represents and warrants as follows (each capitalized term used herein having the same meaning given to it in the Agreement unless otherwise specified):</w:t>
      </w:r>
    </w:p>
    <w:p>
      <w:pPr>
        <w:spacing w:after="0" w:line="187" w:lineRule="exact"/>
        <w:rPr>
          <w:sz w:val="20"/>
          <w:szCs w:val="20"/>
          <w:color w:val="auto"/>
        </w:rPr>
      </w:pPr>
    </w:p>
    <w:p>
      <w:pPr>
        <w:jc w:val="both"/>
        <w:ind w:firstLine="656"/>
        <w:spacing w:after="0" w:line="258" w:lineRule="auto"/>
        <w:tabs>
          <w:tab w:leader="none" w:pos="1338" w:val="left"/>
        </w:tabs>
        <w:numPr>
          <w:ilvl w:val="0"/>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representations and warranties of the Parent Guarantor and the Borrower contained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Agreement and in the other Loan Documents and otherwise made in writing by or on behalf of the Parent Guarantor and the Borrower pursuant to the Agreement and the other Loan Documents were true and correct when made, and are repeated at and as of the time of delivery hereof and are true and correct in all material respects at and as of the time of delivery hereof, except to the extent such representations and warranties are expressly limited to an earlier date or the Majority Lenders have expressly consented in writing to the contrary.</w:t>
      </w:r>
    </w:p>
    <w:p>
      <w:pPr>
        <w:spacing w:after="0" w:line="183"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02" w:val="left"/>
        </w:tabs>
        <w:numPr>
          <w:ilvl w:val="0"/>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Guarantor and the Borrower have performed and complied with all agreements and conditions contained in the Agreement and in the other Loan Documents required to be performed or complied with by them prior to or at the time of delivery hereof [or specify default and describe].</w:t>
      </w:r>
    </w:p>
    <w:p>
      <w:pPr>
        <w:spacing w:after="0" w:line="165" w:lineRule="exact"/>
        <w:rPr>
          <w:rFonts w:ascii="Times New Roman" w:cs="Times New Roman" w:eastAsia="Times New Roman" w:hAnsi="Times New Roman"/>
          <w:sz w:val="18"/>
          <w:szCs w:val="18"/>
          <w:color w:val="010000"/>
        </w:rPr>
      </w:pPr>
    </w:p>
    <w:p>
      <w:pPr>
        <w:ind w:right="20" w:firstLine="656"/>
        <w:spacing w:after="0" w:line="204" w:lineRule="auto"/>
        <w:tabs>
          <w:tab w:leader="none" w:pos="1297" w:val="left"/>
        </w:tabs>
        <w:numPr>
          <w:ilvl w:val="0"/>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Since December 31,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 ]</w:t>
      </w:r>
      <w:r>
        <w:rPr>
          <w:rFonts w:ascii="Times New Roman" w:cs="Times New Roman" w:eastAsia="Times New Roman" w:hAnsi="Times New Roman"/>
          <w:sz w:val="29"/>
          <w:szCs w:val="29"/>
          <w:u w:val="single" w:color="auto"/>
          <w:color w:val="0000FF"/>
          <w:vertAlign w:val="superscript"/>
        </w:rPr>
        <w:t>1</w:t>
      </w:r>
      <w:r>
        <w:rPr>
          <w:rFonts w:ascii="Times New Roman" w:cs="Times New Roman" w:eastAsia="Times New Roman" w:hAnsi="Times New Roman"/>
          <w:sz w:val="18"/>
          <w:szCs w:val="18"/>
          <w:color w:val="auto"/>
        </w:rPr>
        <w:t xml:space="preserve">, no change has occurred in the condition, financial or otherwise, of the Parent Guarantor, the Borrower or any Restricted Subsidiary which </w:t>
      </w:r>
      <w:r>
        <w:rPr>
          <w:rFonts w:ascii="Times New Roman" w:cs="Times New Roman" w:eastAsia="Times New Roman" w:hAnsi="Times New Roman"/>
          <w:sz w:val="18"/>
          <w:szCs w:val="18"/>
          <w:color w:val="FF0000"/>
          <w:strike w:val="1"/>
        </w:rPr>
        <w:t>could</w:t>
      </w:r>
      <w:r>
        <w:rPr>
          <w:rFonts w:ascii="Times New Roman" w:cs="Times New Roman" w:eastAsia="Times New Roman" w:hAnsi="Times New Roman"/>
          <w:sz w:val="18"/>
          <w:szCs w:val="18"/>
          <w:u w:val="single" w:color="auto"/>
          <w:color w:val="0000FF"/>
        </w:rPr>
        <w:t>would</w:t>
      </w:r>
      <w:r>
        <w:rPr>
          <w:rFonts w:ascii="Times New Roman" w:cs="Times New Roman" w:eastAsia="Times New Roman" w:hAnsi="Times New Roman"/>
          <w:sz w:val="18"/>
          <w:szCs w:val="18"/>
          <w:color w:val="auto"/>
        </w:rPr>
        <w:t xml:space="preserve"> reasonably be expected to have a Material Adverse Effect [or specify event].</w:t>
      </w:r>
    </w:p>
    <w:p>
      <w:pPr>
        <w:spacing w:after="0" w:line="198"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exists no Default or Event of Default [or specify Default and describe].</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432" w:val="left"/>
        </w:tabs>
        <w:numPr>
          <w:ilvl w:val="0"/>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Attached hereto are the detailed computations necessary to determine whether the Parent Guarantor and the Borrower are in compliance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as of the end of the [fiscal quarter][fiscal year] ending [ ].</w:t>
      </w:r>
    </w:p>
    <w:p>
      <w:pPr>
        <w:spacing w:after="0" w:line="78" w:lineRule="exact"/>
        <w:rPr>
          <w:sz w:val="20"/>
          <w:szCs w:val="20"/>
          <w:color w:val="auto"/>
        </w:rPr>
      </w:pPr>
    </w:p>
    <w:p>
      <w:pPr>
        <w:ind w:left="120" w:hanging="112"/>
        <w:spacing w:after="0"/>
        <w:tabs>
          <w:tab w:leader="none" w:pos="120" w:val="left"/>
        </w:tabs>
        <w:numPr>
          <w:ilvl w:val="0"/>
          <w:numId w:val="247"/>
        </w:numPr>
        <w:rPr>
          <w:rFonts w:ascii="Times New Roman" w:cs="Times New Roman" w:eastAsia="Times New Roman" w:hAnsi="Times New Roman"/>
          <w:sz w:val="30"/>
          <w:szCs w:val="30"/>
          <w:u w:val="single" w:color="auto"/>
          <w:color w:val="0000FF"/>
          <w:vertAlign w:val="superscript"/>
        </w:rPr>
      </w:pPr>
      <w:r>
        <w:rPr>
          <w:rFonts w:ascii="Times New Roman" w:cs="Times New Roman" w:eastAsia="Times New Roman" w:hAnsi="Times New Roman"/>
          <w:sz w:val="18"/>
          <w:szCs w:val="18"/>
          <w:u w:val="single" w:color="auto"/>
          <w:color w:val="0000FF"/>
        </w:rPr>
        <w:t>Specify date of last audited financials.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4230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color w:val="auto"/>
        </w:rPr>
        <w:t>EXECUTED AND DELIVERED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DIAMONDBACK ENERGY, INC.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010000"/>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Second Amended and Restated Credit Agreement identified below (as amended,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receipt of a copy of which is hereby acknowledged by the Assignee. The Standard Terms and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p>
      <w:pPr>
        <w:ind w:left="660" w:hanging="652"/>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______________________________</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 ______________________________</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[and is an Affiliate of [identify Lender]</w:t>
      </w:r>
      <w:r>
        <w:rPr>
          <w:rFonts w:ascii="Times New Roman" w:cs="Times New Roman" w:eastAsia="Times New Roman" w:hAnsi="Times New Roman"/>
          <w:sz w:val="29"/>
          <w:szCs w:val="29"/>
          <w:color w:val="FF0000"/>
          <w:strike w:val="1"/>
          <w:vertAlign w:val="superscript"/>
        </w:rPr>
        <w:t>1</w:t>
      </w:r>
      <w:r>
        <w:rPr>
          <w:rFonts w:ascii="Times New Roman" w:cs="Times New Roman" w:eastAsia="Times New Roman" w:hAnsi="Times New Roman"/>
          <w:sz w:val="29"/>
          <w:szCs w:val="29"/>
          <w:u w:val="single" w:color="auto"/>
          <w:color w:val="0000FF"/>
          <w:vertAlign w:val="superscript"/>
        </w:rPr>
        <w:t>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Diamondback E&amp;P LLC</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Wells Fargo Bank, National Association, as the administrative agent under the Credit Agreement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The Second Amended and Restated Credit Agreement dated as of November 1, 2013 among Diamondback E&amp;P LLC, Diamondback Energy, Inc., the Lenders parties thereto, Wells Fargo Bank, National Association, as Administrative Agent, and the other agents parties thereto, together with all amendments, restatements, supplements or other modifications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FF0000"/>
          <w:strike w:val="1"/>
          <w:vertAlign w:val="superscript"/>
        </w:rPr>
        <w:t>1</w:t>
      </w:r>
      <w:r>
        <w:rPr>
          <w:rFonts w:ascii="Times New Roman" w:cs="Times New Roman" w:eastAsia="Times New Roman" w:hAnsi="Times New Roman"/>
          <w:sz w:val="35"/>
          <w:szCs w:val="35"/>
          <w:u w:val="single" w:color="auto"/>
          <w:color w:val="0000FF"/>
          <w:vertAlign w:val="superscript"/>
        </w:rPr>
        <w:t>2</w:t>
      </w:r>
      <w:r>
        <w:rPr>
          <w:rFonts w:ascii="Times New Roman" w:cs="Times New Roman" w:eastAsia="Times New Roman" w:hAnsi="Times New Roman"/>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6" w:name="page297"/>
    <w:bookmarkEnd w:id="296"/>
    <w:tbl>
      <w:tblPr>
        <w:tblLayout w:type="fixed"/>
        <w:tblInd w:w="1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2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Assigned Interest:</w:t>
            </w:r>
          </w:p>
        </w:tc>
        <w:tc>
          <w:tcPr>
            <w:tcW w:w="2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60" w:type="dxa"/>
            <w:vAlign w:val="bottom"/>
            <w:tcBorders>
              <w:left w:val="single" w:sz="8" w:color="auto"/>
            </w:tcBorders>
          </w:tcPr>
          <w:p>
            <w:pPr>
              <w:spacing w:after="0"/>
              <w:rPr>
                <w:sz w:val="11"/>
                <w:szCs w:val="11"/>
                <w:color w:val="auto"/>
              </w:rPr>
            </w:pPr>
          </w:p>
        </w:tc>
        <w:tc>
          <w:tcPr>
            <w:tcW w:w="1760" w:type="dxa"/>
            <w:vAlign w:val="bottom"/>
            <w:vMerge w:val="restart"/>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9"/>
              </w:rPr>
              <w:t>Commitment Assigned</w:t>
            </w:r>
          </w:p>
        </w:tc>
        <w:tc>
          <w:tcPr>
            <w:tcW w:w="80" w:type="dxa"/>
            <w:vAlign w:val="bottom"/>
            <w:tcBorders>
              <w:bottom w:val="single" w:sz="8" w:color="0000FF"/>
            </w:tcBorders>
          </w:tcPr>
          <w:p>
            <w:pPr>
              <w:jc w:val="right"/>
              <w:spacing w:after="0" w:line="115" w:lineRule="exact"/>
              <w:rPr>
                <w:sz w:val="20"/>
                <w:szCs w:val="20"/>
                <w:color w:val="auto"/>
              </w:rPr>
            </w:pPr>
            <w:r>
              <w:rPr>
                <w:rFonts w:ascii="Times New Roman" w:cs="Times New Roman" w:eastAsia="Times New Roman" w:hAnsi="Times New Roman"/>
                <w:sz w:val="13"/>
                <w:szCs w:val="13"/>
                <w:color w:val="0000FF"/>
                <w:w w:val="91"/>
              </w:rPr>
              <w:t>3</w:t>
            </w:r>
          </w:p>
        </w:tc>
        <w:tc>
          <w:tcPr>
            <w:tcW w:w="160" w:type="dxa"/>
            <w:vAlign w:val="bottom"/>
            <w:tcBorders>
              <w:right w:val="single" w:sz="8" w:color="auto"/>
            </w:tcBorders>
            <w:vMerge w:val="restart"/>
          </w:tcPr>
          <w:p>
            <w:pPr>
              <w:spacing w:after="0"/>
              <w:rPr>
                <w:sz w:val="11"/>
                <w:szCs w:val="11"/>
                <w:color w:val="auto"/>
              </w:rPr>
            </w:pPr>
          </w:p>
        </w:tc>
        <w:tc>
          <w:tcPr>
            <w:tcW w:w="2940" w:type="dxa"/>
            <w:vAlign w:val="bottom"/>
            <w:tcBorders>
              <w:right w:val="single" w:sz="8" w:color="auto"/>
            </w:tcBorders>
            <w:vMerge w:val="restart"/>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Aggregate Amount of</w:t>
            </w:r>
          </w:p>
        </w:tc>
        <w:tc>
          <w:tcPr>
            <w:tcW w:w="3020" w:type="dxa"/>
            <w:vAlign w:val="bottom"/>
            <w:tcBorders>
              <w:right w:val="single" w:sz="8" w:color="auto"/>
            </w:tcBorders>
            <w:vMerge w:val="restart"/>
          </w:tcPr>
          <w:p>
            <w:pPr>
              <w:jc w:val="right"/>
              <w:ind w:right="231"/>
              <w:spacing w:after="0" w:line="182" w:lineRule="exact"/>
              <w:rPr>
                <w:sz w:val="20"/>
                <w:szCs w:val="20"/>
                <w:color w:val="auto"/>
              </w:rPr>
            </w:pPr>
            <w:r>
              <w:rPr>
                <w:rFonts w:ascii="Times New Roman" w:cs="Times New Roman" w:eastAsia="Times New Roman" w:hAnsi="Times New Roman"/>
                <w:sz w:val="18"/>
                <w:szCs w:val="18"/>
                <w:b w:val="1"/>
                <w:bCs w:val="1"/>
                <w:color w:val="auto"/>
              </w:rPr>
              <w:t>Amount of Commitment/Loans</w:t>
            </w:r>
          </w:p>
        </w:tc>
        <w:tc>
          <w:tcPr>
            <w:tcW w:w="3120" w:type="dxa"/>
            <w:vAlign w:val="bottom"/>
            <w:tcBorders>
              <w:right w:val="single" w:sz="8" w:color="auto"/>
            </w:tcBorders>
            <w:gridSpan w:val="4"/>
            <w:vMerge w:val="restart"/>
          </w:tcPr>
          <w:p>
            <w:pPr>
              <w:ind w:left="660"/>
              <w:spacing w:after="0" w:line="182" w:lineRule="exact"/>
              <w:rPr>
                <w:sz w:val="20"/>
                <w:szCs w:val="20"/>
                <w:color w:val="auto"/>
              </w:rPr>
            </w:pPr>
            <w:r>
              <w:rPr>
                <w:rFonts w:ascii="Times New Roman" w:cs="Times New Roman" w:eastAsia="Times New Roman" w:hAnsi="Times New Roman"/>
                <w:sz w:val="18"/>
                <w:szCs w:val="18"/>
                <w:b w:val="1"/>
                <w:bCs w:val="1"/>
                <w:color w:val="auto"/>
              </w:rPr>
              <w:t>Percentage Assigned of</w:t>
            </w:r>
          </w:p>
        </w:tc>
        <w:tc>
          <w:tcPr>
            <w:tcW w:w="0" w:type="dxa"/>
            <w:vAlign w:val="bottom"/>
          </w:tcPr>
          <w:p>
            <w:pPr>
              <w:spacing w:after="0"/>
              <w:rPr>
                <w:sz w:val="1"/>
                <w:szCs w:val="1"/>
                <w:color w:val="auto"/>
              </w:rPr>
            </w:pPr>
          </w:p>
        </w:tc>
      </w:tr>
      <w:tr>
        <w:trPr>
          <w:trHeight w:val="34"/>
        </w:trPr>
        <w:tc>
          <w:tcPr>
            <w:tcW w:w="160" w:type="dxa"/>
            <w:vAlign w:val="bottom"/>
            <w:tcBorders>
              <w:left w:val="single" w:sz="8" w:color="auto"/>
            </w:tcBorders>
          </w:tcPr>
          <w:p>
            <w:pPr>
              <w:spacing w:after="0"/>
              <w:rPr>
                <w:sz w:val="2"/>
                <w:szCs w:val="2"/>
                <w:color w:val="auto"/>
              </w:rPr>
            </w:pPr>
          </w:p>
        </w:tc>
        <w:tc>
          <w:tcPr>
            <w:tcW w:w="1760" w:type="dxa"/>
            <w:vAlign w:val="bottom"/>
            <w:vMerge w:val="continue"/>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60" w:type="dxa"/>
            <w:vAlign w:val="bottom"/>
            <w:tcBorders>
              <w:right w:val="single" w:sz="8" w:color="auto"/>
            </w:tcBorders>
            <w:vMerge w:val="continue"/>
          </w:tcPr>
          <w:p>
            <w:pPr>
              <w:spacing w:after="0"/>
              <w:rPr>
                <w:sz w:val="2"/>
                <w:szCs w:val="2"/>
                <w:color w:val="auto"/>
              </w:rPr>
            </w:pPr>
          </w:p>
        </w:tc>
        <w:tc>
          <w:tcPr>
            <w:tcW w:w="2940" w:type="dxa"/>
            <w:vAlign w:val="bottom"/>
            <w:tcBorders>
              <w:right w:val="single" w:sz="8" w:color="auto"/>
            </w:tcBorders>
            <w:vMerge w:val="continue"/>
          </w:tcPr>
          <w:p>
            <w:pPr>
              <w:spacing w:after="0"/>
              <w:rPr>
                <w:sz w:val="2"/>
                <w:szCs w:val="2"/>
                <w:color w:val="auto"/>
              </w:rPr>
            </w:pPr>
          </w:p>
        </w:tc>
        <w:tc>
          <w:tcPr>
            <w:tcW w:w="3020" w:type="dxa"/>
            <w:vAlign w:val="bottom"/>
            <w:tcBorders>
              <w:right w:val="single" w:sz="8" w:color="auto"/>
            </w:tcBorders>
            <w:vMerge w:val="continue"/>
          </w:tcPr>
          <w:p>
            <w:pPr>
              <w:spacing w:after="0"/>
              <w:rPr>
                <w:sz w:val="2"/>
                <w:szCs w:val="2"/>
                <w:color w:val="auto"/>
              </w:rPr>
            </w:pPr>
          </w:p>
        </w:tc>
        <w:tc>
          <w:tcPr>
            <w:tcW w:w="3120" w:type="dxa"/>
            <w:vAlign w:val="bottom"/>
            <w:tcBorders>
              <w:right w:val="single" w:sz="8" w:color="auto"/>
            </w:tcBorders>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60" w:type="dxa"/>
            <w:vAlign w:val="bottom"/>
            <w:tcBorders>
              <w:left w:val="single" w:sz="8" w:color="auto"/>
            </w:tcBorders>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Commitment/Loans for all</w:t>
            </w:r>
          </w:p>
        </w:tc>
        <w:tc>
          <w:tcPr>
            <w:tcW w:w="3020" w:type="dxa"/>
            <w:vAlign w:val="bottom"/>
            <w:tcBorders>
              <w:right w:val="single" w:sz="8" w:color="auto"/>
            </w:tcBorders>
          </w:tcPr>
          <w:p>
            <w:pPr>
              <w:jc w:val="right"/>
              <w:ind w:right="1091"/>
              <w:spacing w:after="0" w:line="149" w:lineRule="exact"/>
              <w:rPr>
                <w:sz w:val="20"/>
                <w:szCs w:val="20"/>
                <w:color w:val="auto"/>
              </w:rPr>
            </w:pPr>
            <w:r>
              <w:rPr>
                <w:rFonts w:ascii="Times New Roman" w:cs="Times New Roman" w:eastAsia="Times New Roman" w:hAnsi="Times New Roman"/>
                <w:sz w:val="17"/>
                <w:szCs w:val="17"/>
                <w:b w:val="1"/>
                <w:bCs w:val="1"/>
                <w:color w:val="auto"/>
              </w:rPr>
              <w:t>Assigned</w:t>
            </w: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Commitment/Loans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FF0000"/>
                <w:strike w:val="1"/>
                <w:w w:val="79"/>
              </w:rPr>
              <w:t>2</w:t>
            </w:r>
          </w:p>
        </w:tc>
        <w:tc>
          <w:tcPr>
            <w:tcW w:w="80" w:type="dxa"/>
            <w:vAlign w:val="bottom"/>
            <w:tcBorders>
              <w:bottom w:val="single" w:sz="8" w:color="0000FF"/>
            </w:tcBorders>
          </w:tcPr>
          <w:p>
            <w:pPr>
              <w:spacing w:after="0" w:line="122" w:lineRule="exact"/>
              <w:rPr>
                <w:sz w:val="20"/>
                <w:szCs w:val="20"/>
                <w:color w:val="auto"/>
              </w:rPr>
            </w:pPr>
            <w:r>
              <w:rPr>
                <w:rFonts w:ascii="Times New Roman" w:cs="Times New Roman" w:eastAsia="Times New Roman" w:hAnsi="Times New Roman"/>
                <w:sz w:val="14"/>
                <w:szCs w:val="14"/>
                <w:color w:val="0000FF"/>
                <w:w w:val="84"/>
              </w:rPr>
              <w:t>4</w:t>
            </w:r>
            <w:r>
              <w:rPr>
                <w:rFonts w:ascii="Times New Roman" w:cs="Times New Roman" w:eastAsia="Times New Roman" w:hAnsi="Times New Roman"/>
                <w:sz w:val="14"/>
                <w:szCs w:val="14"/>
                <w:b w:val="1"/>
                <w:bCs w:val="1"/>
                <w:color w:val="000000"/>
                <w:w w:val="84"/>
              </w:rPr>
              <w:t>‌</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0" w:type="dxa"/>
            <w:vAlign w:val="bottom"/>
            <w:tcBorders>
              <w:left w:val="single" w:sz="8" w:color="auto"/>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Lenders</w:t>
            </w:r>
          </w:p>
        </w:tc>
        <w:tc>
          <w:tcPr>
            <w:tcW w:w="302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2940" w:type="dxa"/>
            <w:vAlign w:val="bottom"/>
            <w:tcBorders>
              <w:bottom w:val="single" w:sz="8" w:color="auto"/>
              <w:right w:val="single" w:sz="8" w:color="auto"/>
            </w:tcBorders>
            <w:shd w:val="clear" w:color="auto" w:fill="CCEEFF"/>
          </w:tcPr>
          <w:p>
            <w:pPr>
              <w:jc w:val="right"/>
              <w:ind w:right="2671"/>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auto"/>
              <w:right w:val="single" w:sz="8" w:color="auto"/>
            </w:tcBorders>
            <w:shd w:val="clear" w:color="auto" w:fill="CCEEFF"/>
          </w:tcPr>
          <w:p>
            <w:pPr>
              <w:jc w:val="right"/>
              <w:ind w:right="2751"/>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jc w:val="right"/>
              <w:ind w:right="19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jc w:val="right"/>
              <w:ind w:right="2671"/>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auto"/>
              <w:right w:val="single" w:sz="8" w:color="auto"/>
            </w:tcBorders>
          </w:tcPr>
          <w:p>
            <w:pPr>
              <w:jc w:val="right"/>
              <w:ind w:right="2751"/>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ind w:right="19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2940" w:type="dxa"/>
            <w:vAlign w:val="bottom"/>
            <w:tcBorders>
              <w:bottom w:val="single" w:sz="8" w:color="auto"/>
              <w:right w:val="single" w:sz="8" w:color="auto"/>
            </w:tcBorders>
            <w:shd w:val="clear" w:color="auto" w:fill="CCEEFF"/>
          </w:tcPr>
          <w:p>
            <w:pPr>
              <w:jc w:val="right"/>
              <w:ind w:right="2671"/>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auto"/>
              <w:right w:val="single" w:sz="8" w:color="auto"/>
            </w:tcBorders>
            <w:shd w:val="clear" w:color="auto" w:fill="CCEEFF"/>
          </w:tcPr>
          <w:p>
            <w:pPr>
              <w:jc w:val="right"/>
              <w:ind w:right="2751"/>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jc w:val="right"/>
              <w:ind w:right="19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Effective Date: _________________ ___, </w:t>
      </w:r>
      <w:r>
        <w:rPr>
          <w:rFonts w:ascii="Times New Roman" w:cs="Times New Roman" w:eastAsia="Times New Roman" w:hAnsi="Times New Roman"/>
          <w:sz w:val="18"/>
          <w:szCs w:val="18"/>
          <w:color w:val="FF0000"/>
          <w:strike w:val="1"/>
        </w:rPr>
        <w:t>201</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auto"/>
        </w:rPr>
        <w:t>__ [TO BE INSERTED BY ADMINISTRATIVE AGENT AND WHICH SHALL BE THE</w:t>
      </w:r>
    </w:p>
    <w:p>
      <w:pPr>
        <w:spacing w:after="0" w:line="27"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7"/>
          <w:szCs w:val="17"/>
          <w:color w:val="auto"/>
        </w:rPr>
        <w:t>EFFECTIVE DATE OF RECORDATION OF TRANSFER IN THE REGISTER THEREFOR.]</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4230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5"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29"/>
          <w:szCs w:val="29"/>
          <w:u w:val="single" w:color="auto"/>
          <w:color w:val="0000FF"/>
          <w:vertAlign w:val="superscript"/>
        </w:rPr>
        <w:t>3</w:t>
      </w:r>
      <w:r>
        <w:rPr>
          <w:rFonts w:ascii="Times New Roman" w:cs="Times New Roman" w:eastAsia="Times New Roman" w:hAnsi="Times New Roman"/>
          <w:sz w:val="18"/>
          <w:szCs w:val="18"/>
          <w:u w:val="single" w:color="auto"/>
          <w:color w:val="0000FF"/>
        </w:rPr>
        <w:t>Specify “class” of Commitment assigned (e.g., Existing Commitment, Increased Commitment or Commitment). Prior to the Endeavor Acquisition Effective Date, assignments must be on ratable basis as between the Existing Commitment and Increased Commitment of the Assignor.</w:t>
      </w:r>
    </w:p>
    <w:p>
      <w:pPr>
        <w:spacing w:after="0"/>
        <w:rPr>
          <w:sz w:val="20"/>
          <w:szCs w:val="20"/>
          <w:color w:val="auto"/>
        </w:rPr>
      </w:pPr>
      <w:r>
        <w:rPr>
          <w:rFonts w:ascii="Times New Roman" w:cs="Times New Roman" w:eastAsia="Times New Roman" w:hAnsi="Times New Roman"/>
          <w:sz w:val="29"/>
          <w:szCs w:val="29"/>
          <w:b w:val="1"/>
          <w:bCs w:val="1"/>
          <w:color w:val="FF0000"/>
          <w:strike w:val="1"/>
          <w:vertAlign w:val="superscript"/>
        </w:rPr>
        <w:t>2</w:t>
      </w:r>
      <w:r>
        <w:rPr>
          <w:rFonts w:ascii="Times New Roman" w:cs="Times New Roman" w:eastAsia="Times New Roman" w:hAnsi="Times New Roman"/>
          <w:sz w:val="35"/>
          <w:szCs w:val="35"/>
          <w:u w:val="single" w:color="auto"/>
          <w:color w:val="0000FF"/>
          <w:vertAlign w:val="superscript"/>
        </w:rPr>
        <w:t>4</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color w:val="auto"/>
        </w:rPr>
        <w:t>Set forth, to at least 9 decimals, as a percentage of the Commitment/Loans of all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9"/>
          <w:szCs w:val="29"/>
          <w:color w:val="FF0000"/>
          <w:strike w:val="1"/>
          <w:vertAlign w:val="superscript"/>
        </w:rPr>
        <w:t>3</w:t>
      </w:r>
      <w:r>
        <w:rPr>
          <w:rFonts w:ascii="Times New Roman" w:cs="Times New Roman" w:eastAsia="Times New Roman" w:hAnsi="Times New Roman"/>
          <w:sz w:val="29"/>
          <w:szCs w:val="29"/>
          <w:u w:val="single" w:color="auto"/>
          <w:color w:val="0000FF"/>
          <w:vertAlign w:val="superscript"/>
        </w:rPr>
        <w:t>5</w:t>
      </w:r>
      <w:r>
        <w:rPr>
          <w:rFonts w:ascii="Times New Roman" w:cs="Times New Roman" w:eastAsia="Times New Roman" w:hAnsi="Times New Roman"/>
          <w:sz w:val="18"/>
          <w:szCs w:val="18"/>
          <w:color w:val="auto"/>
        </w:rPr>
        <w:t xml:space="preserve"> Accepted: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9"/>
          <w:szCs w:val="29"/>
          <w:color w:val="FF0000"/>
          <w:strike w:val="1"/>
          <w:vertAlign w:val="superscript"/>
        </w:rPr>
        <w:t>4</w:t>
      </w:r>
      <w:r>
        <w:rPr>
          <w:rFonts w:ascii="Times New Roman" w:cs="Times New Roman" w:eastAsia="Times New Roman" w:hAnsi="Times New Roman"/>
          <w:sz w:val="29"/>
          <w:szCs w:val="29"/>
          <w:u w:val="single" w:color="auto"/>
          <w:color w:val="0000FF"/>
          <w:vertAlign w:val="superscript"/>
        </w:rPr>
        <w:t>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4230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FF0000"/>
          <w:strike w:val="1"/>
          <w:vertAlign w:val="superscript"/>
        </w:rPr>
        <w:t>3</w:t>
      </w:r>
      <w:r>
        <w:rPr>
          <w:rFonts w:ascii="Times New Roman" w:cs="Times New Roman" w:eastAsia="Times New Roman" w:hAnsi="Times New Roman"/>
          <w:sz w:val="33"/>
          <w:szCs w:val="33"/>
          <w:u w:val="single" w:color="auto"/>
          <w:color w:val="0000FF"/>
          <w:vertAlign w:val="superscript"/>
        </w:rPr>
        <w:t>5</w:t>
      </w:r>
      <w:r>
        <w:rPr>
          <w:rFonts w:ascii="Times New Roman" w:cs="Times New Roman" w:eastAsia="Times New Roman" w:hAnsi="Times New Roman"/>
          <w:sz w:val="17"/>
          <w:szCs w:val="17"/>
          <w:color w:val="auto"/>
        </w:rPr>
        <w:t>To be added only if the consent of the Administrative Agent is required by the terms of the Credit Agreement.</w:t>
      </w:r>
    </w:p>
    <w:p>
      <w:pPr>
        <w:spacing w:after="0" w:line="210" w:lineRule="auto"/>
        <w:rPr>
          <w:sz w:val="20"/>
          <w:szCs w:val="20"/>
          <w:color w:val="auto"/>
        </w:rPr>
      </w:pPr>
      <w:r>
        <w:rPr>
          <w:rFonts w:ascii="Times New Roman" w:cs="Times New Roman" w:eastAsia="Times New Roman" w:hAnsi="Times New Roman"/>
          <w:sz w:val="29"/>
          <w:szCs w:val="29"/>
          <w:color w:val="FF0000"/>
          <w:strike w:val="1"/>
          <w:vertAlign w:val="superscript"/>
        </w:rPr>
        <w:t>4</w:t>
      </w:r>
      <w:r>
        <w:rPr>
          <w:rFonts w:ascii="Times New Roman" w:cs="Times New Roman" w:eastAsia="Times New Roman" w:hAnsi="Times New Roman"/>
          <w:sz w:val="35"/>
          <w:szCs w:val="35"/>
          <w:u w:val="single" w:color="auto"/>
          <w:color w:val="0000FF"/>
          <w:vertAlign w:val="superscript"/>
        </w:rPr>
        <w:t>6</w:t>
      </w:r>
      <w:r>
        <w:rPr>
          <w:rFonts w:ascii="Times New Roman" w:cs="Times New Roman" w:eastAsia="Times New Roman" w:hAnsi="Times New Roman"/>
          <w:sz w:val="18"/>
          <w:szCs w:val="18"/>
          <w:color w:val="auto"/>
        </w:rPr>
        <w:t>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1380" w:hanging="724"/>
        <w:spacing w:after="0"/>
        <w:tabs>
          <w:tab w:leader="none" w:pos="1380" w:val="left"/>
        </w:tabs>
        <w:numPr>
          <w:ilvl w:val="0"/>
          <w:numId w:val="2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u w:val="single" w:color="auto"/>
          <w:color w:val="000000"/>
        </w:rPr>
        <w:t>Assignor</w:t>
      </w:r>
      <w:r>
        <w:rPr>
          <w:rFonts w:ascii="Times New Roman" w:cs="Times New Roman" w:eastAsia="Times New Roman" w:hAnsi="Times New Roman"/>
          <w:sz w:val="18"/>
          <w:szCs w:val="18"/>
          <w:color w:val="000000"/>
        </w:rPr>
        <w:t>. The Assignor (a) represents and warrants that (i) it is the legal and beneficial owner of the Assigned Interest, (ii)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u w:val="single" w:color="auto"/>
          <w:color w:val="000000"/>
        </w:rPr>
        <w:t>Assignee</w:t>
      </w:r>
      <w:r>
        <w:rPr>
          <w:rFonts w:ascii="Times New Roman" w:cs="Times New Roman" w:eastAsia="Times New Roman" w:hAnsi="Times New Roman"/>
          <w:sz w:val="18"/>
          <w:szCs w:val="18"/>
          <w:color w:val="000000"/>
        </w:rPr>
        <w:t>. The Assignee (a) represents and warrants that (i) it has full power and authority, and has taken all action necessary,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7" w:lineRule="exact"/>
        <w:rPr>
          <w:sz w:val="20"/>
          <w:szCs w:val="20"/>
          <w:color w:val="auto"/>
        </w:rPr>
      </w:pPr>
    </w:p>
    <w:p>
      <w:pPr>
        <w:jc w:val="both"/>
        <w:ind w:firstLine="656"/>
        <w:spacing w:after="0" w:line="266" w:lineRule="auto"/>
        <w:tabs>
          <w:tab w:leader="none" w:pos="1543" w:val="left"/>
        </w:tabs>
        <w:numPr>
          <w:ilvl w:val="0"/>
          <w:numId w:val="2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9" w:name="page300"/>
    <w:bookmarkEnd w:id="299"/>
    <w:p>
      <w:pPr>
        <w:jc w:val="both"/>
        <w:ind w:left="-656" w:firstLine="656"/>
        <w:spacing w:after="0" w:line="258" w:lineRule="auto"/>
        <w:tabs>
          <w:tab w:leader="none" w:pos="860" w:val="left"/>
        </w:tabs>
        <w:numPr>
          <w:ilvl w:val="0"/>
          <w:numId w:val="2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273685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010000"/>
        </w:rPr>
        <w:t>EXHIBIT F-1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u w:val="single" w:color="auto"/>
          <w:color w:val="0000FF"/>
        </w:rPr>
        <w:t>and Foreign Lenders That Are Disregarded Entities For U.S. Federal Income Tax Purposes Whose Owner, For U.S. Federal Income Tax Purposes, Is Not A Partnership</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November 1, 2013 (as amended, supplemented or otherwise modified from time to time, the “Credit Agreement”), among Diamondback E&amp;P LLC (as successor-by-merger to Diamondback O&amp;G LLC), as Borrower, Wells Fargo Bank, National Association, as Administrative Agent, and each lender from time to time party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In the case of a Lender that is a disregarded entity for United States federal income tax purposes, each of the above certifications and representations (other than the representation that such Lender is the sole record owner, which is given by the Lender) is given with respect to the person treated as such Lender’s regarded owner for United States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b w:val="1"/>
          <w:bCs w:val="1"/>
          <w:color w:val="010000"/>
        </w:rPr>
        <w:t>EXHIBIT F-2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color w:val="auto"/>
        </w:rPr>
        <w:t xml:space="preserve">Purposes </w:t>
      </w:r>
      <w:r>
        <w:rPr>
          <w:rFonts w:ascii="Times New Roman" w:cs="Times New Roman" w:eastAsia="Times New Roman" w:hAnsi="Times New Roman"/>
          <w:sz w:val="18"/>
          <w:szCs w:val="18"/>
          <w:u w:val="single" w:color="auto"/>
          <w:color w:val="0000FF"/>
        </w:rPr>
        <w:t>and Foreign Participants That Are Disregarded Entities For U.S. Federal Income Tax Purposes Whose Owner, For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Purposes, Is Not A Partnership</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November 1, 2013 (as amended, supplemented or otherwise modified from time to time, the “Credit Agreement”), among Diamondback E&amp;P LLC (as successor-by-merger to Diamondback O&amp;G LLC), as Borrower, Wells Fargo Bank, National Association, as Administrative Agent, and each lender from time to time party thereto.</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w:t>
      </w:r>
    </w:p>
    <w:p>
      <w:pPr>
        <w:ind w:firstLine="8"/>
        <w:spacing w:after="0" w:line="260" w:lineRule="auto"/>
        <w:tabs>
          <w:tab w:leader="none" w:pos="33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the Borrower within the meaning of Section 871(h)(3)(B) of the Code, and (iv) it is not a controlled foreign corporation related to the Borrower as described in Section 881(c)(3)(C) of the Code.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undersigned has furnished its participating Lender with a certificate of its non-U.S. Person status on IRS Form W-8BEN </w:t>
      </w:r>
      <w:r>
        <w:rPr>
          <w:rFonts w:ascii="Times New Roman" w:cs="Times New Roman" w:eastAsia="Times New Roman" w:hAnsi="Times New Roman"/>
          <w:sz w:val="18"/>
          <w:szCs w:val="18"/>
          <w:u w:val="single" w:color="auto"/>
          <w:color w:val="0000FF"/>
        </w:rPr>
        <w:t>or W-8BEN-E</w:t>
      </w:r>
      <w:r>
        <w:rPr>
          <w:rFonts w:ascii="Times New Roman" w:cs="Times New Roman" w:eastAsia="Times New Roman" w:hAnsi="Times New Roman"/>
          <w:sz w:val="18"/>
          <w:szCs w:val="18"/>
          <w:color w:val="auto"/>
        </w:rPr>
        <w:t>.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In the case of a Participant that is a disregarded entity for United States federal income tax purposes, each of the above certifications and representations (other than the representation that such Participant is the sole record owner, which is given by the Participant) is given with respect to the person treated as such Participant’s regarded owner for United States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b w:val="1"/>
          <w:bCs w:val="1"/>
          <w:color w:val="010000"/>
        </w:rPr>
        <w:t>EXHIBIT F-3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u w:val="single" w:color="auto"/>
          <w:color w:val="0000FF"/>
        </w:rPr>
        <w:t>and Foreign Participants That Are Disregarded Entities For U.S. Federal Income Tax Purposes Whose Owner, For U.S. Federal Income Tax Purposes, Is A Partnership</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November 1, 2013 (as amended, supplemented or otherwise modified from time to time, the “Credit Agreement”), among Diamondback E&amp;P LLC (as successor-by-merger to Diamondback O&amp;G LLC), as Borrower, Wells Fargo Bank, National Association, as Administrative Agent, and each lender from time to time party thereto.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has furnished its participating Lender with IRS Form W-8IMY accompanied by one of the following forms from each of its partners/members that is claiming the portfolio interest exemption: (i) an IRS Form W-8BEN or </w:t>
      </w:r>
      <w:r>
        <w:rPr>
          <w:rFonts w:ascii="Times New Roman" w:cs="Times New Roman" w:eastAsia="Times New Roman" w:hAnsi="Times New Roman"/>
          <w:sz w:val="18"/>
          <w:szCs w:val="18"/>
          <w:u w:val="single" w:color="auto"/>
          <w:color w:val="0000FF"/>
        </w:rPr>
        <w:t>W-8BEN-E or</w:t>
      </w:r>
      <w:r>
        <w:rPr>
          <w:rFonts w:ascii="Times New Roman" w:cs="Times New Roman" w:eastAsia="Times New Roman" w:hAnsi="Times New Roman"/>
          <w:sz w:val="18"/>
          <w:szCs w:val="18"/>
          <w:color w:val="auto"/>
        </w:rPr>
        <w:t xml:space="preserve"> (ii) an IRS Form W-8IMY accompanied by an IRS Form W-8BEN </w:t>
      </w:r>
      <w:r>
        <w:rPr>
          <w:rFonts w:ascii="Times New Roman" w:cs="Times New Roman" w:eastAsia="Times New Roman" w:hAnsi="Times New Roman"/>
          <w:sz w:val="18"/>
          <w:szCs w:val="18"/>
          <w:u w:val="single" w:color="auto"/>
          <w:color w:val="0000FF"/>
        </w:rPr>
        <w:t>or W-8BEN-E</w:t>
      </w:r>
      <w:r>
        <w:rPr>
          <w:rFonts w:ascii="Times New Roman" w:cs="Times New Roman" w:eastAsia="Times New Roman" w:hAnsi="Times New Roman"/>
          <w:sz w:val="18"/>
          <w:szCs w:val="18"/>
          <w:color w:val="auto"/>
        </w:rPr>
        <w:t xml:space="preserve"> from each of such partner’s/member’s beneficial owners that is claiming the portfolio interest exemption</w:t>
      </w:r>
      <w:r>
        <w:rPr>
          <w:rFonts w:ascii="Times New Roman" w:cs="Times New Roman" w:eastAsia="Times New Roman" w:hAnsi="Times New Roman"/>
          <w:sz w:val="18"/>
          <w:szCs w:val="18"/>
          <w:u w:val="single" w:color="auto"/>
          <w:color w:val="0000FF"/>
        </w:rPr>
        <w:t>, together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 any other information required to be provided by IRS Form W-8IMY</w:t>
      </w:r>
      <w:r>
        <w:rPr>
          <w:rFonts w:ascii="Times New Roman" w:cs="Times New Roman" w:eastAsia="Times New Roman" w:hAnsi="Times New Roman"/>
          <w:sz w:val="18"/>
          <w:szCs w:val="18"/>
          <w:color w:val="000000"/>
        </w:rPr>
        <w:t>. By executing this certificate, the undersigned agrees that (1) if the information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In the case of a Participant that is a disregarded entity for U.S. federal income tax purposes, each of the above certifications and representations (other than the representation that such Participant is the sole record owner, which is given by the Participant) is given with respect to the person treated as such Participant’s owner for U.S.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b w:val="1"/>
          <w:bCs w:val="1"/>
          <w:color w:val="010000"/>
        </w:rPr>
        <w:t>EXHIBIT F-4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 xml:space="preserve">(For Foreign Lenders That Are Partnerships For U.S. Federal Income Tax Purposes </w:t>
      </w:r>
      <w:r>
        <w:rPr>
          <w:rFonts w:ascii="Times New Roman" w:cs="Times New Roman" w:eastAsia="Times New Roman" w:hAnsi="Times New Roman"/>
          <w:sz w:val="18"/>
          <w:szCs w:val="18"/>
          <w:u w:val="single" w:color="auto"/>
          <w:color w:val="0000FF"/>
        </w:rPr>
        <w:t>and</w:t>
      </w:r>
    </w:p>
    <w:p>
      <w:pPr>
        <w:spacing w:after="0" w:line="27" w:lineRule="exact"/>
        <w:rPr>
          <w:sz w:val="20"/>
          <w:szCs w:val="20"/>
          <w:color w:val="auto"/>
        </w:rPr>
      </w:pPr>
    </w:p>
    <w:p>
      <w:pPr>
        <w:jc w:val="center"/>
        <w:ind w:left="340" w:right="320"/>
        <w:spacing w:after="0" w:line="260" w:lineRule="auto"/>
        <w:rPr>
          <w:sz w:val="20"/>
          <w:szCs w:val="20"/>
          <w:color w:val="auto"/>
        </w:rPr>
      </w:pPr>
      <w:r>
        <w:rPr>
          <w:rFonts w:ascii="Times New Roman" w:cs="Times New Roman" w:eastAsia="Times New Roman" w:hAnsi="Times New Roman"/>
          <w:sz w:val="18"/>
          <w:szCs w:val="18"/>
          <w:u w:val="single" w:color="auto"/>
          <w:color w:val="0000FF"/>
        </w:rPr>
        <w:t>Foreign Lenders That Are Disregarded Entities For U.S. Federal Income Tax Purposes Whose Owner, For U.S. Federal Income Tax Purposes, Is A Partnership</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November 1, 2013 (as amended, supplemented or otherwise modified from time to time, the “Credit Agreement”), among Diamondback E&amp;P LLC (as successor-by-merger to Diamondback O&amp;G LLC), as Borrower, Wells Fargo Bank, National Association, as Administrative Agent, and each lender from time to time party thereto.</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has furnished the Administrative Agent and the Borrower with IRS Form W-8IMY accompanied by one of the following forms from each of its partners/members that is claiming the portfolio interest exemption: (i) an IRS Form W-8BEN or </w:t>
      </w:r>
      <w:r>
        <w:rPr>
          <w:rFonts w:ascii="Times New Roman" w:cs="Times New Roman" w:eastAsia="Times New Roman" w:hAnsi="Times New Roman"/>
          <w:sz w:val="18"/>
          <w:szCs w:val="18"/>
          <w:u w:val="single" w:color="auto"/>
          <w:color w:val="0000FF"/>
        </w:rPr>
        <w:t>W-8BEN-E or</w:t>
      </w:r>
      <w:r>
        <w:rPr>
          <w:rFonts w:ascii="Times New Roman" w:cs="Times New Roman" w:eastAsia="Times New Roman" w:hAnsi="Times New Roman"/>
          <w:sz w:val="18"/>
          <w:szCs w:val="18"/>
          <w:color w:val="auto"/>
        </w:rPr>
        <w:t xml:space="preserve"> (ii) an IRS Form W-8IMY accompanied by an IRS Form W-8BEN </w:t>
      </w:r>
      <w:r>
        <w:rPr>
          <w:rFonts w:ascii="Times New Roman" w:cs="Times New Roman" w:eastAsia="Times New Roman" w:hAnsi="Times New Roman"/>
          <w:sz w:val="18"/>
          <w:szCs w:val="18"/>
          <w:u w:val="single" w:color="auto"/>
          <w:color w:val="0000FF"/>
        </w:rPr>
        <w:t>or W-8BEN-E</w:t>
      </w:r>
      <w:r>
        <w:rPr>
          <w:rFonts w:ascii="Times New Roman" w:cs="Times New Roman" w:eastAsia="Times New Roman" w:hAnsi="Times New Roman"/>
          <w:sz w:val="18"/>
          <w:szCs w:val="18"/>
          <w:color w:val="auto"/>
        </w:rPr>
        <w:t xml:space="preserve"> from each of such partner’s/member’s beneficial owners that is claiming the portfolio interest exemption</w:t>
      </w:r>
      <w:r>
        <w:rPr>
          <w:rFonts w:ascii="Times New Roman" w:cs="Times New Roman" w:eastAsia="Times New Roman" w:hAnsi="Times New Roman"/>
          <w:sz w:val="18"/>
          <w:szCs w:val="18"/>
          <w:u w:val="single" w:color="auto"/>
          <w:color w:val="0000FF"/>
        </w:rPr>
        <w:t>, together with any other information required to be provided by IRS Form W-8IMY</w:t>
      </w:r>
      <w:r>
        <w:rPr>
          <w:rFonts w:ascii="Times New Roman" w:cs="Times New Roman" w:eastAsia="Times New Roman" w:hAnsi="Times New Roman"/>
          <w:sz w:val="18"/>
          <w:szCs w:val="18"/>
          <w:color w:val="auto"/>
        </w:rPr>
        <w:t>. By executing this certificate, the undersigned agrees that</w:t>
      </w:r>
    </w:p>
    <w:p>
      <w:pPr>
        <w:spacing w:after="0" w:line="3" w:lineRule="exact"/>
        <w:rPr>
          <w:sz w:val="20"/>
          <w:szCs w:val="20"/>
          <w:color w:val="auto"/>
        </w:rPr>
      </w:pPr>
    </w:p>
    <w:p>
      <w:pPr>
        <w:jc w:val="both"/>
        <w:ind w:firstLine="8"/>
        <w:spacing w:after="0" w:line="255" w:lineRule="auto"/>
        <w:tabs>
          <w:tab w:leader="none" w:pos="26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In the case of a Lender that is a disregarded entity for U.S. federal income tax purposes, each of the above certifications and representations (other than the representation that such Lender is the sole record owner, which is given by the Lender) is given with respect to the person treated as such Lender’s owner for U.S.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EXHIBIT G-1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COMMITMENT INCREASE CERTIFICATE</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Wells Fargo Bank, National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Diamondback E&amp;P LLC, a Delaware limited liability company, as Borrower, Diamondback Energy, Inc., a Delaware corporation, the Administrative Agent, and certain Lenders and other agents have heretofore entered into that certain Second Amended and Restated Credit Agreement, dated as of November 1, 2013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not otherwise defined herein shall have the meaning given to such terms in the Credit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Commitment Increase Certificate is being delivered pursuant to Section 2.06(c) of the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be advised that the undersigned Lender has agreed (a) to increase its Commitment under the Credit Agreement effective [______], 20[__]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$[_______] to $[_______] and (b) that it shall continue to be a party in all respects to the Credit Agreement and, to the extent applicable,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DIAMONDBACK E&amp;P LLC, as 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5" w:name="page306"/>
    <w:bookmarkEnd w:id="305"/>
    <w:p>
      <w:pPr>
        <w:ind w:left="450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4500"/>
        <w:spacing w:after="0" w:line="282" w:lineRule="auto"/>
        <w:rPr>
          <w:sz w:val="20"/>
          <w:szCs w:val="20"/>
          <w:color w:val="auto"/>
        </w:rPr>
      </w:pPr>
      <w:r>
        <w:rPr>
          <w:rFonts w:ascii="Times New Roman" w:cs="Times New Roman" w:eastAsia="Times New Roman" w:hAnsi="Times New Roman"/>
          <w:sz w:val="18"/>
          <w:szCs w:val="18"/>
          <w:color w:val="auto"/>
        </w:rPr>
        <w:t>WELLS FARGO BANK, NATIONAL ASSOCIATION, as Administrative Agent</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Increasing Lender]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8"/>
          <w:szCs w:val="18"/>
          <w:b w:val="1"/>
          <w:bCs w:val="1"/>
          <w:color w:val="010000"/>
        </w:rPr>
        <w:t>EXHIBIT G-2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ADDITIONAL LENDER CERTIFICATE</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Wells Fargo Bank, National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Diamondback E&amp;P LLC, a Delaware limited liability company, as Borrower, Diamondback Energy, Inc., a Delaware corporation, the Administrative Agent, and certain Lenders and other agents have heretofore entered into that certain Second Amended and Restated Credit Agreement, dated as of November 1, 2013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not otherwise defined herein shall have the meaning given to such terms in the Credit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Additional Lender Certificate is being delivered pursuant to Section 2.06(c) of the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be advised that the undersigned Additional Lender has agreed (a) to become a Lender under the Credit Agreement effective [______],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20[__] with a Commitment of $[_________] and (b) that it shall be a party in all respects to the Credit Agreement and, to the extent applicable,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Additional Lender Certificate is being delivered to the Administrative Agent together with (i) if the Additional Lender is a Foreign Lender, any documentation required to be delivered by such Additional Lender pursuant to Section 5.03(g) of the Credit Agreement, duly completed and executed by the Additional Lender, and (ii) an Administrative Questionnaire in the form supplied by the Administrative Agent, duly completed by the Additional Lender. The [Borrower/Additional Lender] shall pay the fee payable to the Administrative Agent pursuant to Section 2.06(c)(ii)(F) of the Credit Agreement.</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DIAMONDBACK E&amp;P LLC, as 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7" w:name="page308"/>
    <w:bookmarkEnd w:id="307"/>
    <w:p>
      <w:pPr>
        <w:ind w:left="450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4500"/>
        <w:spacing w:after="0" w:line="282" w:lineRule="auto"/>
        <w:rPr>
          <w:sz w:val="20"/>
          <w:szCs w:val="20"/>
          <w:color w:val="auto"/>
        </w:rPr>
      </w:pPr>
      <w:r>
        <w:rPr>
          <w:rFonts w:ascii="Times New Roman" w:cs="Times New Roman" w:eastAsia="Times New Roman" w:hAnsi="Times New Roman"/>
          <w:sz w:val="18"/>
          <w:szCs w:val="18"/>
          <w:color w:val="auto"/>
        </w:rPr>
        <w:t>WELLS FARGO BANK, NATIONAL ASSOCIATION, as Administrative Agent</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Additional Lender]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 EXTENSION REQUEST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the Second Amended and Restated Credit Agreement dated as of November 1, 2013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Diamondback E&amp;P LLC (as successor-by-merger to Diamondback O&amp;G LLC), as Borrower, Diamondback Energy, Inc., as Parent Guarantor, Wells Fargo Bank, National Association, as Administrative Agent, and each lender from time to time party thereto. Capitalized terms used but not defined herein shall have the meanings assigned to such terms in the Credit Agreement. In accordance with Section 2.12 of the Credit Agreement, the undersigned hereby requests an extension of the Maturity Date from June [ ], 20[ ] to June [ ], 20[ ].</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DIAMONDBACK E&amp;P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1"/>
      <w:numFmt w:val="decimal"/>
      <w:start w:val="104"/>
    </w:lvl>
    <w:lvl w:ilvl="1">
      <w:lvlJc w:val="left"/>
      <w:lvlText w:val="-"/>
      <w:numFmt w:val="bullet"/>
      <w:start w:val="1"/>
    </w:lvl>
  </w:abstractNum>
  <w:abstractNum w:abstractNumId="2">
    <w:nsid w:val="5D888A08"/>
    <w:multiLevelType w:val="hybridMultilevel"/>
    <w:lvl w:ilvl="0">
      <w:lvlJc w:val="left"/>
      <w:lvlText w:val="%1."/>
      <w:numFmt w:val="upperLetter"/>
      <w:start w:val="1"/>
    </w:lvl>
  </w:abstractNum>
  <w:abstractNum w:abstractNumId="3">
    <w:nsid w:val="2A082C70"/>
    <w:multiLevelType w:val="hybridMultilevel"/>
    <w:lvl w:ilvl="0">
      <w:lvlJc w:val="left"/>
      <w:lvlText w:val="%1."/>
      <w:numFmt w:val="upperLetter"/>
      <w:start w:val="4"/>
    </w:lvl>
  </w:abstractNum>
  <w:abstractNum w:abstractNumId="4">
    <w:nsid w:val="5EC6AFD4"/>
    <w:multiLevelType w:val="hybridMultilevel"/>
    <w:lvl w:ilvl="0">
      <w:lvlJc w:val="left"/>
      <w:lvlText w:val="(%1)"/>
      <w:numFmt w:val="lowerRoman"/>
      <w:start w:val="1"/>
    </w:lvl>
  </w:abstractNum>
  <w:abstractNum w:abstractNumId="5">
    <w:nsid w:val="19E21BB2"/>
    <w:multiLevelType w:val="hybridMultilevel"/>
    <w:lvl w:ilvl="0">
      <w:lvlJc w:val="left"/>
      <w:lvlText w:val="(%1)"/>
      <w:numFmt w:val="lowerLetter"/>
      <w:start w:val="1"/>
    </w:lvl>
  </w:abstractNum>
  <w:abstractNum w:abstractNumId="6">
    <w:nsid w:val="75E0858A"/>
    <w:multiLevelType w:val="hybridMultilevel"/>
    <w:lvl w:ilvl="0">
      <w:lvlJc w:val="left"/>
      <w:lvlText w:val="(%1)"/>
      <w:numFmt w:val="lowerRoman"/>
      <w:start w:val="2"/>
    </w:lvl>
  </w:abstractNum>
  <w:abstractNum w:abstractNumId="7">
    <w:nsid w:val="57A61A29"/>
    <w:multiLevelType w:val="hybridMultilevel"/>
    <w:lvl w:ilvl="0">
      <w:lvlJc w:val="left"/>
      <w:lvlText w:val="(%1)"/>
      <w:numFmt w:val="lowerLetter"/>
      <w:start w:val="1"/>
    </w:lvl>
  </w:abstractNum>
  <w:abstractNum w:abstractNumId="8">
    <w:nsid w:val="5399C654"/>
    <w:multiLevelType w:val="hybridMultilevel"/>
    <w:lvl w:ilvl="0">
      <w:lvlJc w:val="left"/>
      <w:lvlText w:val="(%1)"/>
      <w:numFmt w:val="lowerLetter"/>
      <w:start w:val="1"/>
    </w:lvl>
  </w:abstractNum>
  <w:abstractNum w:abstractNumId="9">
    <w:nsid w:val="20EE1348"/>
    <w:multiLevelType w:val="hybridMultilevel"/>
    <w:lvl w:ilvl="0">
      <w:lvlJc w:val="left"/>
      <w:lvlText w:val="(%1)"/>
      <w:numFmt w:val="lowerLetter"/>
      <w:start w:val="3"/>
    </w:lvl>
  </w:abstractNum>
  <w:abstractNum w:abstractNumId="10">
    <w:nsid w:val="4427069A"/>
    <w:multiLevelType w:val="hybridMultilevel"/>
    <w:lvl w:ilvl="0">
      <w:lvlJc w:val="left"/>
      <w:lvlText w:val="(%1)"/>
      <w:numFmt w:val="lowerLetter"/>
      <w:start w:val="1"/>
    </w:lvl>
    <w:lvl w:ilvl="1">
      <w:lvlJc w:val="left"/>
      <w:lvlText w:val="(%2)"/>
      <w:numFmt w:val="lowerRoman"/>
      <w:start w:val="1"/>
    </w:lvl>
  </w:abstractNum>
  <w:abstractNum w:abstractNumId="11">
    <w:nsid w:val="B37E80A"/>
    <w:multiLevelType w:val="hybridMultilevel"/>
    <w:lvl w:ilvl="0">
      <w:lvlJc w:val="left"/>
      <w:lvlText w:val="(%1)"/>
      <w:numFmt w:val="lowerRoman"/>
      <w:start w:val="4"/>
    </w:lvl>
  </w:abstractNum>
  <w:abstractNum w:abstractNumId="12">
    <w:nsid w:val="2157F6BC"/>
    <w:multiLevelType w:val="hybridMultilevel"/>
    <w:lvl w:ilvl="0">
      <w:lvlJc w:val="left"/>
      <w:lvlText w:val="(%1)"/>
      <w:numFmt w:val="lowerLetter"/>
      <w:start w:val="1"/>
    </w:lvl>
  </w:abstractNum>
  <w:abstractNum w:abstractNumId="13">
    <w:nsid w:val="704E1DD5"/>
    <w:multiLevelType w:val="hybridMultilevel"/>
    <w:lvl w:ilvl="0">
      <w:lvlJc w:val="left"/>
      <w:lvlText w:val="(%1)"/>
      <w:numFmt w:val="lowerLetter"/>
      <w:start w:val="3"/>
    </w:lvl>
    <w:lvl w:ilvl="1">
      <w:lvlJc w:val="left"/>
      <w:lvlText w:val="(%2)"/>
      <w:numFmt w:val="lowerRoman"/>
      <w:start w:val="1"/>
    </w:lvl>
  </w:abstractNum>
  <w:abstractNum w:abstractNumId="14">
    <w:nsid w:val="57D2F10E"/>
    <w:multiLevelType w:val="hybridMultilevel"/>
    <w:lvl w:ilvl="0">
      <w:lvlJc w:val="left"/>
      <w:lvlText w:val="(%1)"/>
      <w:numFmt w:val="lowerLetter"/>
      <w:start w:val="4"/>
    </w:lvl>
  </w:abstractNum>
  <w:abstractNum w:abstractNumId="15">
    <w:nsid w:val="BFFAE18"/>
    <w:multiLevelType w:val="hybridMultilevel"/>
    <w:lvl w:ilvl="0">
      <w:lvlJc w:val="left"/>
      <w:lvlText w:val="(%1)"/>
      <w:numFmt w:val="lowerLetter"/>
      <w:start w:val="1"/>
    </w:lvl>
  </w:abstractNum>
  <w:abstractNum w:abstractNumId="16">
    <w:nsid w:val="E3E47A8"/>
    <w:multiLevelType w:val="hybridMultilevel"/>
    <w:lvl w:ilvl="0">
      <w:lvlJc w:val="left"/>
      <w:lvlText w:val="(%1)"/>
      <w:numFmt w:val="lowerLetter"/>
      <w:start w:val="2"/>
    </w:lvl>
  </w:abstractNum>
  <w:abstractNum w:abstractNumId="17">
    <w:nsid w:val="2E48F044"/>
    <w:multiLevelType w:val="hybridMultilevel"/>
    <w:lvl w:ilvl="0">
      <w:lvlJc w:val="left"/>
      <w:lvlText w:val="(%1)"/>
      <w:numFmt w:val="lowerLetter"/>
      <w:start w:val="1"/>
    </w:lvl>
    <w:lvl w:ilvl="1">
      <w:lvlJc w:val="left"/>
      <w:lvlText w:val="(%2)"/>
      <w:numFmt w:val="lowerRoman"/>
      <w:start w:val="1"/>
    </w:lvl>
  </w:abstractNum>
  <w:abstractNum w:abstractNumId="18">
    <w:nsid w:val="49D0FEAC"/>
    <w:multiLevelType w:val="hybridMultilevel"/>
    <w:lvl w:ilvl="0">
      <w:lvlJc w:val="left"/>
      <w:lvlText w:val="(%1)"/>
      <w:numFmt w:val="lowerLetter"/>
      <w:start w:val="1"/>
    </w:lvl>
    <w:lvl w:ilvl="1">
      <w:lvlJc w:val="left"/>
      <w:lvlText w:val="(%2)"/>
      <w:numFmt w:val="lowerRoman"/>
      <w:start w:val="1"/>
    </w:lvl>
  </w:abstractNum>
  <w:abstractNum w:abstractNumId="19">
    <w:nsid w:val="4BEE5A5B"/>
    <w:multiLevelType w:val="hybridMultilevel"/>
    <w:lvl w:ilvl="0">
      <w:lvlJc w:val="left"/>
      <w:lvlText w:val="(%1)"/>
      <w:numFmt w:val="lowerLetter"/>
      <w:start w:val="2"/>
    </w:lvl>
  </w:abstractNum>
  <w:abstractNum w:abstractNumId="20">
    <w:nsid w:val="5551B9F3"/>
    <w:multiLevelType w:val="hybridMultilevel"/>
    <w:lvl w:ilvl="0">
      <w:lvlJc w:val="left"/>
      <w:lvlText w:val="(%1)"/>
      <w:numFmt w:val="lowerLetter"/>
      <w:start w:val="1"/>
    </w:lvl>
  </w:abstractNum>
  <w:abstractNum w:abstractNumId="21">
    <w:nsid w:val="24F6AB8E"/>
    <w:multiLevelType w:val="hybridMultilevel"/>
    <w:lvl w:ilvl="0">
      <w:lvlJc w:val="left"/>
      <w:lvlText w:val="(%1)"/>
      <w:numFmt w:val="lowerLetter"/>
      <w:start w:val="6"/>
    </w:lvl>
  </w:abstractNum>
  <w:abstractNum w:abstractNumId="22">
    <w:nsid w:val="634C574C"/>
    <w:multiLevelType w:val="hybridMultilevel"/>
    <w:lvl w:ilvl="0">
      <w:lvlJc w:val="left"/>
      <w:lvlText w:val="(%1)"/>
      <w:numFmt w:val="lowerLetter"/>
      <w:start w:val="1"/>
    </w:lvl>
  </w:abstractNum>
  <w:abstractNum w:abstractNumId="23">
    <w:nsid w:val="24E99DD7"/>
    <w:multiLevelType w:val="hybridMultilevel"/>
    <w:lvl w:ilvl="0">
      <w:lvlJc w:val="left"/>
      <w:lvlText w:val="(%1)"/>
      <w:numFmt w:val="lowerLetter"/>
      <w:start w:val="2"/>
    </w:lvl>
    <w:lvl w:ilvl="1">
      <w:lvlJc w:val="left"/>
      <w:lvlText w:val="(%2)"/>
      <w:numFmt w:val="lowerLetter"/>
      <w:start w:val="9"/>
    </w:lvl>
  </w:abstractNum>
  <w:abstractNum w:abstractNumId="24">
    <w:nsid w:val="2A31B62D"/>
    <w:multiLevelType w:val="hybridMultilevel"/>
    <w:lvl w:ilvl="0">
      <w:lvlJc w:val="left"/>
      <w:lvlText w:val="(%1)"/>
      <w:numFmt w:val="lowerRoman"/>
      <w:start w:val="2"/>
    </w:lvl>
  </w:abstractNum>
  <w:abstractNum w:abstractNumId="25">
    <w:nsid w:val="1849C29B"/>
    <w:multiLevelType w:val="hybridMultilevel"/>
    <w:lvl w:ilvl="0">
      <w:lvlJc w:val="left"/>
      <w:lvlText w:val="(%1)"/>
      <w:numFmt w:val="lowerLetter"/>
      <w:start w:val="1"/>
    </w:lvl>
  </w:abstractNum>
  <w:abstractNum w:abstractNumId="26">
    <w:nsid w:val="7DFF9D09"/>
    <w:multiLevelType w:val="hybridMultilevel"/>
    <w:lvl w:ilvl="0">
      <w:lvlJc w:val="left"/>
      <w:lvlText w:val="(%1)"/>
      <w:numFmt w:val="lowerLetter"/>
      <w:start w:val="2"/>
    </w:lvl>
  </w:abstractNum>
  <w:abstractNum w:abstractNumId="27">
    <w:nsid w:val="754342"/>
    <w:multiLevelType w:val="hybridMultilevel"/>
    <w:lvl w:ilvl="0">
      <w:lvlJc w:val="left"/>
      <w:lvlText w:val="(%1)"/>
      <w:numFmt w:val="lowerLetter"/>
      <w:start w:val="1"/>
    </w:lvl>
  </w:abstractNum>
  <w:abstractNum w:abstractNumId="28">
    <w:nsid w:val="69E7F3E5"/>
    <w:multiLevelType w:val="hybridMultilevel"/>
    <w:lvl w:ilvl="0">
      <w:lvlJc w:val="left"/>
      <w:lvlText w:val="(%1)"/>
      <w:numFmt w:val="lowerLetter"/>
      <w:start w:val="1"/>
    </w:lvl>
  </w:abstractNum>
  <w:abstractNum w:abstractNumId="29">
    <w:nsid w:val="2A6DE806"/>
    <w:multiLevelType w:val="hybridMultilevel"/>
    <w:lvl w:ilvl="0">
      <w:lvlJc w:val="left"/>
      <w:lvlText w:val="(%1)"/>
      <w:numFmt w:val="lowerLetter"/>
      <w:start w:val="2"/>
    </w:lvl>
  </w:abstractNum>
  <w:abstractNum w:abstractNumId="30">
    <w:nsid w:val="1816F8C4"/>
    <w:multiLevelType w:val="hybridMultilevel"/>
    <w:lvl w:ilvl="0">
      <w:lvlJc w:val="left"/>
      <w:lvlText w:val="(%1)"/>
      <w:numFmt w:val="lowerLetter"/>
      <w:start w:val="1"/>
    </w:lvl>
    <w:lvl w:ilvl="1">
      <w:lvlJc w:val="left"/>
      <w:lvlText w:val="(%2)"/>
      <w:numFmt w:val="lowerRoman"/>
      <w:start w:val="1"/>
    </w:lvl>
  </w:abstractNum>
  <w:abstractNum w:abstractNumId="31">
    <w:nsid w:val="37DF2233"/>
    <w:multiLevelType w:val="hybridMultilevel"/>
    <w:lvl w:ilvl="0">
      <w:lvlJc w:val="left"/>
      <w:lvlText w:val="(%1)"/>
      <w:numFmt w:val="lowerLetter"/>
      <w:start w:val="2"/>
    </w:lvl>
  </w:abstractNum>
  <w:abstractNum w:abstractNumId="32">
    <w:nsid w:val="7AB49DAF"/>
    <w:multiLevelType w:val="hybridMultilevel"/>
    <w:lvl w:ilvl="0">
      <w:lvlJc w:val="left"/>
      <w:lvlText w:val="(%1)"/>
      <w:numFmt w:val="lowerLetter"/>
      <w:start w:val="1"/>
    </w:lvl>
  </w:abstractNum>
  <w:abstractNum w:abstractNumId="33">
    <w:nsid w:val="759F82CD"/>
    <w:multiLevelType w:val="hybridMultilevel"/>
    <w:lvl w:ilvl="0">
      <w:lvlJc w:val="left"/>
      <w:lvlText w:val="(%1)"/>
      <w:numFmt w:val="lowerLetter"/>
      <w:start w:val="5"/>
    </w:lvl>
    <w:lvl w:ilvl="1">
      <w:lvlJc w:val="left"/>
      <w:lvlText w:val="(%2)"/>
      <w:numFmt w:val="lowerLetter"/>
      <w:start w:val="9"/>
    </w:lvl>
  </w:abstractNum>
  <w:abstractNum w:abstractNumId="34">
    <w:nsid w:val="61E74EA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35">
    <w:nsid w:val="597B4D84"/>
    <w:multiLevelType w:val="hybridMultilevel"/>
    <w:lvl w:ilvl="0">
      <w:lvlJc w:val="left"/>
      <w:lvlText w:val="(%1)"/>
      <w:numFmt w:val="upperLetter"/>
      <w:start w:val="35"/>
    </w:lvl>
  </w:abstractNum>
  <w:abstractNum w:abstractNumId="36">
    <w:nsid w:val="F819E7F"/>
    <w:multiLevelType w:val="hybridMultilevel"/>
    <w:lvl w:ilvl="0">
      <w:lvlJc w:val="left"/>
      <w:lvlText w:val="(%1)"/>
      <w:numFmt w:val="upperLetter"/>
      <w:start w:val="61"/>
    </w:lvl>
  </w:abstractNum>
  <w:abstractNum w:abstractNumId="37">
    <w:nsid w:val="57C7D42D"/>
    <w:multiLevelType w:val="hybridMultilevel"/>
    <w:lvl w:ilvl="0">
      <w:lvlJc w:val="left"/>
      <w:lvlText w:val="(%1)"/>
      <w:numFmt w:val="upperLetter"/>
      <w:start w:val="3"/>
    </w:lvl>
  </w:abstractNum>
  <w:abstractNum w:abstractNumId="38">
    <w:nsid w:val="312167AD"/>
    <w:multiLevelType w:val="hybridMultilevel"/>
    <w:lvl w:ilvl="0">
      <w:lvlJc w:val="left"/>
      <w:lvlText w:val="(%1)"/>
      <w:numFmt w:val="lowerLetter"/>
      <w:start w:val="8"/>
    </w:lvl>
  </w:abstractNum>
  <w:abstractNum w:abstractNumId="39">
    <w:nsid w:val="631B64D4"/>
    <w:multiLevelType w:val="hybridMultilevel"/>
    <w:lvl w:ilvl="0">
      <w:lvlJc w:val="left"/>
      <w:lvlText w:val="(%1)"/>
      <w:numFmt w:val="lowerLetter"/>
      <w:start w:val="1"/>
    </w:lvl>
  </w:abstractNum>
  <w:abstractNum w:abstractNumId="40">
    <w:nsid w:val="78B5E776"/>
    <w:multiLevelType w:val="hybridMultilevel"/>
    <w:lvl w:ilvl="0">
      <w:lvlJc w:val="left"/>
      <w:lvlText w:val="(%1)"/>
      <w:numFmt w:val="lowerLetter"/>
      <w:start w:val="2"/>
    </w:lvl>
  </w:abstractNum>
  <w:abstractNum w:abstractNumId="41">
    <w:nsid w:val="75486E47"/>
    <w:multiLevelType w:val="hybridMultilevel"/>
    <w:lvl w:ilvl="0">
      <w:lvlJc w:val="left"/>
      <w:lvlText w:val="(%1)"/>
      <w:numFmt w:val="lowerLetter"/>
      <w:start w:val="8"/>
    </w:lvl>
  </w:abstractNum>
  <w:abstractNum w:abstractNumId="42">
    <w:nsid w:val="6E534CDE"/>
    <w:multiLevelType w:val="hybridMultilevel"/>
    <w:lvl w:ilvl="0">
      <w:lvlJc w:val="left"/>
      <w:lvlText w:val="(%1)"/>
      <w:numFmt w:val="lowerLetter"/>
      <w:start w:val="1"/>
    </w:lvl>
  </w:abstractNum>
  <w:abstractNum w:abstractNumId="43">
    <w:nsid w:val="1A0DDE32"/>
    <w:multiLevelType w:val="hybridMultilevel"/>
    <w:lvl w:ilvl="0">
      <w:lvlJc w:val="left"/>
      <w:lvlText w:val="(%1)"/>
      <w:numFmt w:val="lowerLetter"/>
      <w:start w:val="4"/>
    </w:lvl>
  </w:abstractNum>
  <w:abstractNum w:abstractNumId="44">
    <w:nsid w:val="65968C1C"/>
    <w:multiLevelType w:val="hybridMultilevel"/>
    <w:lvl w:ilvl="0">
      <w:lvlJc w:val="left"/>
      <w:lvlText w:val="(%1)"/>
      <w:numFmt w:val="lowerRoman"/>
      <w:start w:val="1"/>
    </w:lvl>
  </w:abstractNum>
  <w:abstractNum w:abstractNumId="45">
    <w:nsid w:val="46263DEC"/>
    <w:multiLevelType w:val="hybridMultilevel"/>
    <w:lvl w:ilvl="0">
      <w:lvlJc w:val="left"/>
      <w:lvlText w:val="(%1)"/>
      <w:numFmt w:val="lowerLetter"/>
      <w:start w:val="1"/>
    </w:lvl>
  </w:abstractNum>
  <w:abstractNum w:abstractNumId="46">
    <w:nsid w:val="260D8C4A"/>
    <w:multiLevelType w:val="hybridMultilevel"/>
    <w:lvl w:ilvl="0">
      <w:lvlJc w:val="left"/>
      <w:lvlText w:val="(%1)"/>
      <w:numFmt w:val="lowerLetter"/>
      <w:start w:val="1"/>
    </w:lvl>
  </w:abstractNum>
  <w:abstractNum w:abstractNumId="47">
    <w:nsid w:val="73D4D3C4"/>
    <w:multiLevelType w:val="hybridMultilevel"/>
    <w:lvl w:ilvl="0">
      <w:lvlJc w:val="left"/>
      <w:lvlText w:val="(%1)"/>
      <w:numFmt w:val="lowerLetter"/>
      <w:start w:val="1"/>
    </w:lvl>
  </w:abstractNum>
  <w:abstractNum w:abstractNumId="48">
    <w:nsid w:val="746F2E30"/>
    <w:multiLevelType w:val="hybridMultilevel"/>
    <w:lvl w:ilvl="0">
      <w:lvlJc w:val="left"/>
      <w:lvlText w:val="(%1)"/>
      <w:numFmt w:val="lowerLetter"/>
      <w:start w:val="1"/>
    </w:lvl>
  </w:abstractNum>
  <w:abstractNum w:abstractNumId="49">
    <w:nsid w:val="6FDE8AF6"/>
    <w:multiLevelType w:val="hybridMultilevel"/>
    <w:lvl w:ilvl="0">
      <w:lvlJc w:val="left"/>
      <w:lvlText w:val="(%1)"/>
      <w:numFmt w:val="lowerLetter"/>
      <w:start w:val="1"/>
    </w:lvl>
  </w:abstractNum>
  <w:abstractNum w:abstractNumId="50">
    <w:nsid w:val="3FC32E20"/>
    <w:multiLevelType w:val="hybridMultilevel"/>
    <w:lvl w:ilvl="0">
      <w:lvlJc w:val="left"/>
      <w:lvlText w:val="(%1)"/>
      <w:numFmt w:val="lowerLetter"/>
      <w:start w:val="3"/>
    </w:lvl>
  </w:abstractNum>
  <w:abstractNum w:abstractNumId="51">
    <w:nsid w:val="49C0E823"/>
    <w:multiLevelType w:val="hybridMultilevel"/>
    <w:lvl w:ilvl="0">
      <w:lvlJc w:val="left"/>
      <w:lvlText w:val="(%1)"/>
      <w:numFmt w:val="lowerLetter"/>
      <w:start w:val="4"/>
    </w:lvl>
  </w:abstractNum>
  <w:abstractNum w:abstractNumId="52">
    <w:nsid w:val="14D53685"/>
    <w:multiLevelType w:val="hybridMultilevel"/>
    <w:lvl w:ilvl="0">
      <w:lvlJc w:val="left"/>
      <w:lvlText w:val="(%1)"/>
      <w:numFmt w:val="lowerLetter"/>
      <w:start w:val="1"/>
    </w:lvl>
  </w:abstractNum>
  <w:abstractNum w:abstractNumId="53">
    <w:nsid w:val="230F856C"/>
    <w:multiLevelType w:val="hybridMultilevel"/>
    <w:lvl w:ilvl="0">
      <w:lvlJc w:val="left"/>
      <w:lvlText w:val="(%1)"/>
      <w:numFmt w:val="lowerLetter"/>
      <w:start w:val="4"/>
    </w:lvl>
  </w:abstractNum>
  <w:abstractNum w:abstractNumId="54">
    <w:nsid w:val="6EAA85FB"/>
    <w:multiLevelType w:val="hybridMultilevel"/>
    <w:lvl w:ilvl="0">
      <w:lvlJc w:val="left"/>
      <w:lvlText w:val="(%1)"/>
      <w:numFmt w:val="lowerLetter"/>
      <w:start w:val="1"/>
    </w:lvl>
  </w:abstractNum>
  <w:abstractNum w:abstractNumId="55">
    <w:nsid w:val="3F06ECB2"/>
    <w:multiLevelType w:val="hybridMultilevel"/>
    <w:lvl w:ilvl="0">
      <w:lvlJc w:val="left"/>
      <w:lvlText w:val="(%1)"/>
      <w:numFmt w:val="lowerLetter"/>
      <w:start w:val="4"/>
    </w:lvl>
  </w:abstractNum>
  <w:abstractNum w:abstractNumId="56">
    <w:nsid w:val="3B594807"/>
    <w:multiLevelType w:val="hybridMultilevel"/>
    <w:lvl w:ilvl="0">
      <w:lvlJc w:val="left"/>
      <w:lvlText w:val="(%1)"/>
      <w:numFmt w:val="lowerLetter"/>
      <w:start w:val="5"/>
    </w:lvl>
  </w:abstractNum>
  <w:abstractNum w:abstractNumId="57">
    <w:nsid w:val="6CAA2304"/>
    <w:multiLevelType w:val="hybridMultilevel"/>
    <w:lvl w:ilvl="0">
      <w:lvlJc w:val="left"/>
      <w:lvlText w:val="(%1)"/>
      <w:numFmt w:val="lowerLetter"/>
      <w:start w:val="1"/>
    </w:lvl>
  </w:abstractNum>
  <w:abstractNum w:abstractNumId="58">
    <w:nsid w:val="3F7C2FF4"/>
    <w:multiLevelType w:val="hybridMultilevel"/>
    <w:lvl w:ilvl="0">
      <w:lvlJc w:val="left"/>
      <w:lvlText w:val="(%1)"/>
      <w:numFmt w:val="lowerLetter"/>
      <w:start w:val="1"/>
    </w:lvl>
  </w:abstractNum>
  <w:abstractNum w:abstractNumId="59">
    <w:nsid w:val="25413BEC"/>
    <w:multiLevelType w:val="hybridMultilevel"/>
    <w:lvl w:ilvl="0">
      <w:lvlJc w:val="left"/>
      <w:lvlText w:val="(%1)"/>
      <w:numFmt w:val="lowerLetter"/>
      <w:start w:val="1"/>
    </w:lvl>
  </w:abstractNum>
  <w:abstractNum w:abstractNumId="60">
    <w:nsid w:val="17180B0B"/>
    <w:multiLevelType w:val="hybridMultilevel"/>
    <w:lvl w:ilvl="0">
      <w:lvlJc w:val="left"/>
      <w:lvlText w:val="(%1)"/>
      <w:numFmt w:val="lowerLetter"/>
      <w:start w:val="9"/>
    </w:lvl>
  </w:abstractNum>
  <w:abstractNum w:abstractNumId="61">
    <w:nsid w:val="579328B9"/>
    <w:multiLevelType w:val="hybridMultilevel"/>
    <w:lvl w:ilvl="0">
      <w:lvlJc w:val="left"/>
      <w:lvlText w:val="(%1)"/>
      <w:numFmt w:val="lowerLetter"/>
      <w:start w:val="1"/>
    </w:lvl>
  </w:abstractNum>
  <w:abstractNum w:abstractNumId="62">
    <w:nsid w:val="5D205E20"/>
    <w:multiLevelType w:val="hybridMultilevel"/>
    <w:lvl w:ilvl="0">
      <w:lvlJc w:val="left"/>
      <w:lvlText w:val="(%1)"/>
      <w:numFmt w:val="lowerLetter"/>
      <w:start w:val="2"/>
    </w:lvl>
    <w:lvl w:ilvl="1">
      <w:lvlJc w:val="left"/>
      <w:lvlText w:val="(%2)"/>
      <w:numFmt w:val="lowerRoman"/>
      <w:start w:val="1"/>
    </w:lvl>
  </w:abstractNum>
  <w:abstractNum w:abstractNumId="63">
    <w:nsid w:val="11CCA8BA"/>
    <w:multiLevelType w:val="hybridMultilevel"/>
    <w:lvl w:ilvl="0">
      <w:lvlJc w:val="left"/>
      <w:lvlText w:val="(%1)"/>
      <w:numFmt w:val="lowerLetter"/>
      <w:start w:val="4"/>
    </w:lvl>
    <w:lvl w:ilvl="1">
      <w:lvlJc w:val="left"/>
      <w:lvlText w:val="(%2)"/>
      <w:numFmt w:val="lowerRoman"/>
      <w:start w:val="1"/>
    </w:lvl>
  </w:abstractNum>
  <w:abstractNum w:abstractNumId="64">
    <w:nsid w:val="4D32AB86"/>
    <w:multiLevelType w:val="hybridMultilevel"/>
    <w:lvl w:ilvl="0">
      <w:lvlJc w:val="left"/>
      <w:lvlText w:val="(%1)"/>
      <w:numFmt w:val="lowerLetter"/>
      <w:start w:val="2"/>
    </w:lvl>
  </w:abstractNum>
  <w:abstractNum w:abstractNumId="65">
    <w:nsid w:val="3F07ACC3"/>
    <w:multiLevelType w:val="hybridMultilevel"/>
    <w:lvl w:ilvl="0">
      <w:lvlJc w:val="left"/>
      <w:lvlText w:val="(%1)"/>
      <w:numFmt w:val="lowerLetter"/>
      <w:start w:val="1"/>
    </w:lvl>
  </w:abstractNum>
  <w:abstractNum w:abstractNumId="66">
    <w:nsid w:val="6B47F63E"/>
    <w:multiLevelType w:val="hybridMultilevel"/>
    <w:lvl w:ilvl="0">
      <w:lvlJc w:val="left"/>
      <w:lvlText w:val="(%1)"/>
      <w:numFmt w:val="lowerLetter"/>
      <w:start w:val="1"/>
    </w:lvl>
  </w:abstractNum>
  <w:abstractNum w:abstractNumId="67">
    <w:nsid w:val="5CB44A05"/>
    <w:multiLevelType w:val="hybridMultilevel"/>
    <w:lvl w:ilvl="0">
      <w:lvlJc w:val="left"/>
      <w:lvlText w:val="(%1)"/>
      <w:numFmt w:val="lowerLetter"/>
      <w:start w:val="2"/>
    </w:lvl>
    <w:lvl w:ilvl="1">
      <w:lvlJc w:val="left"/>
      <w:lvlText w:val="(%2)"/>
      <w:numFmt w:val="lowerRoman"/>
      <w:start w:val="1"/>
    </w:lvl>
  </w:abstractNum>
  <w:abstractNum w:abstractNumId="68">
    <w:nsid w:val="16CF80F1"/>
    <w:multiLevelType w:val="hybridMultilevel"/>
    <w:lvl w:ilvl="0">
      <w:lvlJc w:val="left"/>
      <w:lvlText w:val="(%1)"/>
      <w:numFmt w:val="lowerLetter"/>
      <w:start w:val="3"/>
    </w:lvl>
  </w:abstractNum>
  <w:abstractNum w:abstractNumId="69">
    <w:nsid w:val="1C695DEC"/>
    <w:multiLevelType w:val="hybridMultilevel"/>
    <w:lvl w:ilvl="0">
      <w:lvlJc w:val="left"/>
      <w:lvlText w:val="%1"/>
      <w:numFmt w:val="lowerLetter"/>
      <w:start w:val="1"/>
    </w:lvl>
    <w:lvl w:ilvl="1">
      <w:lvlJc w:val="left"/>
      <w:lvlText w:val="(%2)"/>
      <w:numFmt w:val="lowerLetter"/>
      <w:start w:val="9"/>
    </w:lvl>
  </w:abstractNum>
  <w:abstractNum w:abstractNumId="70">
    <w:nsid w:val="3FCFAED9"/>
    <w:multiLevelType w:val="hybridMultilevel"/>
    <w:lvl w:ilvl="0">
      <w:lvlJc w:val="left"/>
      <w:lvlText w:val="(%1)"/>
      <w:numFmt w:val="lowerLetter"/>
      <w:start w:val="5"/>
    </w:lvl>
    <w:lvl w:ilvl="1">
      <w:lvlJc w:val="left"/>
      <w:lvlText w:val="%2"/>
      <w:numFmt w:val="lowerLetter"/>
      <w:start w:val="1"/>
    </w:lvl>
  </w:abstractNum>
  <w:abstractNum w:abstractNumId="71">
    <w:nsid w:val="F856867"/>
    <w:multiLevelType w:val="hybridMultilevel"/>
    <w:lvl w:ilvl="0">
      <w:lvlJc w:val="left"/>
      <w:lvlText w:val="(%1)"/>
      <w:numFmt w:val="lowerLetter"/>
      <w:start w:val="6"/>
    </w:lvl>
  </w:abstractNum>
  <w:abstractNum w:abstractNumId="72">
    <w:nsid w:val="11B1CC33"/>
    <w:multiLevelType w:val="hybridMultilevel"/>
    <w:lvl w:ilvl="0">
      <w:lvlJc w:val="left"/>
      <w:lvlText w:val="(%1)"/>
      <w:numFmt w:val="lowerLetter"/>
      <w:start w:val="1"/>
    </w:lvl>
    <w:lvl w:ilvl="1">
      <w:lvlJc w:val="left"/>
      <w:lvlText w:val="(%2)"/>
      <w:numFmt w:val="lowerRoman"/>
      <w:start w:val="1"/>
    </w:lvl>
  </w:abstractNum>
  <w:abstractNum w:abstractNumId="73">
    <w:nsid w:val="2E22FBB7"/>
    <w:multiLevelType w:val="hybridMultilevel"/>
    <w:lvl w:ilvl="0">
      <w:lvlJc w:val="left"/>
      <w:lvlText w:val="%1"/>
      <w:numFmt w:val="lowerLetter"/>
      <w:start w:val="1"/>
    </w:lvl>
    <w:lvl w:ilvl="1">
      <w:lvlJc w:val="left"/>
      <w:lvlText w:val="(%2)"/>
      <w:numFmt w:val="lowerLetter"/>
      <w:start w:val="61"/>
    </w:lvl>
  </w:abstractNum>
  <w:abstractNum w:abstractNumId="74">
    <w:nsid w:val="29934699"/>
    <w:multiLevelType w:val="hybridMultilevel"/>
    <w:lvl w:ilvl="0">
      <w:lvlJc w:val="left"/>
      <w:lvlText w:val="(%1)"/>
      <w:numFmt w:val="lowerLetter"/>
      <w:start w:val="2"/>
    </w:lvl>
    <w:lvl w:ilvl="1">
      <w:lvlJc w:val="left"/>
      <w:lvlText w:val="%2"/>
      <w:numFmt w:val="lowerLetter"/>
      <w:start w:val="1"/>
    </w:lvl>
  </w:abstractNum>
  <w:abstractNum w:abstractNumId="75">
    <w:nsid w:val="77485850"/>
    <w:multiLevelType w:val="hybridMultilevel"/>
    <w:lvl w:ilvl="0">
      <w:lvlJc w:val="left"/>
      <w:lvlText w:val="(%1)"/>
      <w:numFmt w:val="lowerLetter"/>
      <w:start w:val="1"/>
    </w:lvl>
  </w:abstractNum>
  <w:abstractNum w:abstractNumId="76">
    <w:nsid w:val="744939A3"/>
    <w:multiLevelType w:val="hybridMultilevel"/>
    <w:lvl w:ilvl="0">
      <w:lvlJc w:val="left"/>
      <w:lvlText w:val="(%1)"/>
      <w:numFmt w:val="lowerLetter"/>
      <w:start w:val="2"/>
    </w:lvl>
  </w:abstractNum>
  <w:abstractNum w:abstractNumId="77">
    <w:nsid w:val="4FA0D2E3"/>
    <w:multiLevelType w:val="hybridMultilevel"/>
    <w:lvl w:ilvl="0">
      <w:lvlJc w:val="left"/>
      <w:lvlText w:val="(%1)"/>
      <w:numFmt w:val="lowerLetter"/>
      <w:start w:val="1"/>
    </w:lvl>
  </w:abstractNum>
  <w:abstractNum w:abstractNumId="78">
    <w:nsid w:val="6B1D2C14"/>
    <w:multiLevelType w:val="hybridMultilevel"/>
    <w:lvl w:ilvl="0">
      <w:lvlJc w:val="left"/>
      <w:lvlText w:val="%1"/>
      <w:numFmt w:val="lowerLetter"/>
      <w:start w:val="1"/>
    </w:lvl>
    <w:lvl w:ilvl="1">
      <w:lvlJc w:val="left"/>
      <w:lvlText w:val="(%2)"/>
      <w:numFmt w:val="lowerLetter"/>
      <w:start w:val="2"/>
    </w:lvl>
  </w:abstractNum>
  <w:abstractNum w:abstractNumId="79">
    <w:nsid w:val="68B867D3"/>
    <w:multiLevelType w:val="hybridMultilevel"/>
    <w:lvl w:ilvl="0">
      <w:lvlJc w:val="left"/>
      <w:lvlText w:val="(%1)"/>
      <w:numFmt w:val="lowerLetter"/>
      <w:start w:val="24"/>
    </w:lvl>
    <w:lvl w:ilvl="1">
      <w:lvlJc w:val="left"/>
      <w:lvlText w:val="%2"/>
      <w:numFmt w:val="lowerLetter"/>
      <w:start w:val="1"/>
    </w:lvl>
  </w:abstractNum>
  <w:abstractNum w:abstractNumId="80">
    <w:nsid w:val="3F7F5DD9"/>
    <w:multiLevelType w:val="hybridMultilevel"/>
    <w:lvl w:ilvl="0">
      <w:lvlJc w:val="left"/>
      <w:lvlText w:val="(%1)"/>
      <w:numFmt w:val="lowerLetter"/>
      <w:start w:val="61"/>
    </w:lvl>
    <w:lvl w:ilvl="1">
      <w:lvlJc w:val="left"/>
      <w:lvlText w:val="%2"/>
      <w:numFmt w:val="lowerLetter"/>
      <w:start w:val="1"/>
    </w:lvl>
  </w:abstractNum>
  <w:abstractNum w:abstractNumId="81">
    <w:nsid w:val="2AE05A34"/>
    <w:multiLevelType w:val="hybridMultilevel"/>
    <w:lvl w:ilvl="0">
      <w:lvlJc w:val="left"/>
      <w:lvlText w:val="(%1)"/>
      <w:numFmt w:val="lowerLetter"/>
      <w:start w:val="3"/>
    </w:lvl>
  </w:abstractNum>
  <w:abstractNum w:abstractNumId="82">
    <w:nsid w:val="32794FF7"/>
    <w:multiLevelType w:val="hybridMultilevel"/>
    <w:lvl w:ilvl="0">
      <w:lvlJc w:val="left"/>
      <w:lvlText w:val="(%1)"/>
      <w:numFmt w:val="lowerLetter"/>
      <w:start w:val="7"/>
    </w:lvl>
  </w:abstractNum>
  <w:abstractNum w:abstractNumId="83">
    <w:nsid w:val="5454945E"/>
    <w:multiLevelType w:val="hybridMultilevel"/>
    <w:lvl w:ilvl="0">
      <w:lvlJc w:val="left"/>
      <w:lvlText w:val="(%1)"/>
      <w:numFmt w:val="lowerLetter"/>
      <w:start w:val="1"/>
    </w:lvl>
    <w:lvl w:ilvl="1">
      <w:lvlJc w:val="left"/>
      <w:lvlText w:val="(%2)"/>
      <w:numFmt w:val="upperLetter"/>
      <w:start w:val="1"/>
    </w:lvl>
  </w:abstractNum>
  <w:abstractNum w:abstractNumId="84">
    <w:nsid w:val="4DEFDFA0"/>
    <w:multiLevelType w:val="hybridMultilevel"/>
    <w:lvl w:ilvl="0">
      <w:lvlJc w:val="left"/>
      <w:lvlText w:val="%1"/>
      <w:numFmt w:val="lowerRoman"/>
      <w:start w:val="1"/>
    </w:lvl>
    <w:lvl w:ilvl="1">
      <w:lvlJc w:val="left"/>
      <w:lvlText w:val="(%2)"/>
      <w:numFmt w:val="upperLetter"/>
      <w:start w:val="2"/>
    </w:lvl>
  </w:abstractNum>
  <w:abstractNum w:abstractNumId="85">
    <w:nsid w:val="2123D5F2"/>
    <w:multiLevelType w:val="hybridMultilevel"/>
    <w:lvl w:ilvl="0">
      <w:lvlJc w:val="left"/>
      <w:lvlText w:val="(%1)"/>
      <w:numFmt w:val="lowerRoman"/>
      <w:start w:val="2"/>
    </w:lvl>
    <w:lvl w:ilvl="1">
      <w:lvlJc w:val="left"/>
      <w:lvlText w:val="(%2)"/>
      <w:numFmt w:val="upperLetter"/>
      <w:start w:val="1"/>
    </w:lvl>
  </w:abstractNum>
  <w:abstractNum w:abstractNumId="86">
    <w:nsid w:val="135B8110"/>
    <w:multiLevelType w:val="hybridMultilevel"/>
    <w:lvl w:ilvl="0">
      <w:lvlJc w:val="left"/>
      <w:lvlText w:val="%1"/>
      <w:numFmt w:val="lowerLetter"/>
      <w:start w:val="1"/>
    </w:lvl>
    <w:lvl w:ilvl="1">
      <w:lvlJc w:val="left"/>
      <w:lvlText w:val="(%2)"/>
      <w:numFmt w:val="lowerRoman"/>
      <w:start w:val="4"/>
    </w:lvl>
  </w:abstractNum>
  <w:abstractNum w:abstractNumId="87">
    <w:nsid w:val="94927A8"/>
    <w:multiLevelType w:val="hybridMultilevel"/>
    <w:lvl w:ilvl="0">
      <w:lvlJc w:val="left"/>
      <w:lvlText w:val="(%1)"/>
      <w:numFmt w:val="lowerLetter"/>
      <w:start w:val="3"/>
    </w:lvl>
    <w:lvl w:ilvl="1">
      <w:lvlJc w:val="left"/>
      <w:lvlText w:val="%2"/>
      <w:numFmt w:val="lowerRoman"/>
      <w:start w:val="1"/>
    </w:lvl>
  </w:abstractNum>
  <w:abstractNum w:abstractNumId="88">
    <w:nsid w:val="DCDF8F6"/>
    <w:multiLevelType w:val="hybridMultilevel"/>
    <w:lvl w:ilvl="0">
      <w:lvlJc w:val="left"/>
      <w:lvlText w:val="%1"/>
      <w:numFmt w:val="lowerLetter"/>
      <w:start w:val="1"/>
    </w:lvl>
    <w:lvl w:ilvl="1">
      <w:lvlJc w:val="left"/>
      <w:lvlText w:val="(%2)"/>
      <w:numFmt w:val="lowerRoman"/>
      <w:start w:val="2"/>
    </w:lvl>
  </w:abstractNum>
  <w:abstractNum w:abstractNumId="89">
    <w:nsid w:val="52D7B105"/>
    <w:multiLevelType w:val="hybridMultilevel"/>
    <w:lvl w:ilvl="0">
      <w:lvlJc w:val="left"/>
      <w:lvlText w:val="(%1)"/>
      <w:numFmt w:val="lowerLetter"/>
      <w:start w:val="4"/>
    </w:lvl>
    <w:lvl w:ilvl="1">
      <w:lvlJc w:val="left"/>
      <w:lvlText w:val="%2"/>
      <w:numFmt w:val="lowerRoman"/>
      <w:start w:val="1"/>
    </w:lvl>
  </w:abstractNum>
  <w:abstractNum w:abstractNumId="90">
    <w:nsid w:val="2E8A6394"/>
    <w:multiLevelType w:val="hybridMultilevel"/>
    <w:lvl w:ilvl="0">
      <w:lvlJc w:val="left"/>
      <w:lvlText w:val="(%1)"/>
      <w:numFmt w:val="lowerLetter"/>
      <w:start w:val="1"/>
    </w:lvl>
  </w:abstractNum>
  <w:abstractNum w:abstractNumId="91">
    <w:nsid w:val="24E60401"/>
    <w:multiLevelType w:val="hybridMultilevel"/>
    <w:lvl w:ilvl="0">
      <w:lvlJc w:val="left"/>
      <w:lvlText w:val="(%1)"/>
      <w:numFmt w:val="lowerLetter"/>
      <w:start w:val="1"/>
    </w:lvl>
  </w:abstractNum>
  <w:abstractNum w:abstractNumId="92">
    <w:nsid w:val="2A6AD9BE"/>
    <w:multiLevelType w:val="hybridMultilevel"/>
    <w:lvl w:ilvl="0">
      <w:lvlJc w:val="left"/>
      <w:lvlText w:val="(%1)"/>
      <w:numFmt w:val="lowerLetter"/>
      <w:start w:val="3"/>
    </w:lvl>
  </w:abstractNum>
  <w:abstractNum w:abstractNumId="93">
    <w:nsid w:val="BAAC1B4"/>
    <w:multiLevelType w:val="hybridMultilevel"/>
    <w:lvl w:ilvl="0">
      <w:lvlJc w:val="left"/>
      <w:lvlText w:val="(%1)"/>
      <w:numFmt w:val="lowerLetter"/>
      <w:start w:val="1"/>
    </w:lvl>
  </w:abstractNum>
  <w:abstractNum w:abstractNumId="94">
    <w:nsid w:val="36B2ACBC"/>
    <w:multiLevelType w:val="hybridMultilevel"/>
    <w:lvl w:ilvl="0">
      <w:lvlJc w:val="left"/>
      <w:lvlText w:val="(%1)"/>
      <w:numFmt w:val="lowerLetter"/>
      <w:start w:val="3"/>
    </w:lvl>
  </w:abstractNum>
  <w:abstractNum w:abstractNumId="95">
    <w:nsid w:val="779D8544"/>
    <w:multiLevelType w:val="hybridMultilevel"/>
    <w:lvl w:ilvl="0">
      <w:lvlJc w:val="left"/>
      <w:lvlText w:val="(%1)"/>
      <w:numFmt w:val="lowerLetter"/>
      <w:start w:val="1"/>
    </w:lvl>
    <w:lvl w:ilvl="1">
      <w:lvlJc w:val="left"/>
      <w:lvlText w:val="(%2)"/>
      <w:numFmt w:val="lowerRoman"/>
      <w:start w:val="1"/>
    </w:lvl>
  </w:abstractNum>
  <w:abstractNum w:abstractNumId="96">
    <w:nsid w:val="4AB26E78"/>
    <w:multiLevelType w:val="hybridMultilevel"/>
    <w:lvl w:ilvl="0">
      <w:lvlJc w:val="left"/>
      <w:lvlText w:val="(%1)"/>
      <w:numFmt w:val="lowerLetter"/>
      <w:start w:val="1"/>
    </w:lvl>
    <w:lvl w:ilvl="1">
      <w:lvlJc w:val="left"/>
      <w:lvlText w:val="(%2)"/>
      <w:numFmt w:val="lowerRoman"/>
      <w:start w:val="1"/>
    </w:lvl>
  </w:abstractNum>
  <w:abstractNum w:abstractNumId="97">
    <w:nsid w:val="21FAA2FA"/>
    <w:multiLevelType w:val="hybridMultilevel"/>
    <w:lvl w:ilvl="0">
      <w:lvlJc w:val="left"/>
      <w:lvlText w:val="%1"/>
      <w:numFmt w:val="lowerLetter"/>
      <w:start w:val="1"/>
    </w:lvl>
    <w:lvl w:ilvl="1">
      <w:lvlJc w:val="left"/>
      <w:lvlText w:val="(%2)"/>
      <w:numFmt w:val="lowerRoman"/>
      <w:start w:val="4"/>
    </w:lvl>
  </w:abstractNum>
  <w:abstractNum w:abstractNumId="98">
    <w:nsid w:val="5451CF49"/>
    <w:multiLevelType w:val="hybridMultilevel"/>
    <w:lvl w:ilvl="0">
      <w:lvlJc w:val="left"/>
      <w:lvlText w:val="(%1)"/>
      <w:numFmt w:val="lowerLetter"/>
      <w:start w:val="2"/>
    </w:lvl>
    <w:lvl w:ilvl="1">
      <w:lvlJc w:val="left"/>
      <w:lvlText w:val="%2"/>
      <w:numFmt w:val="lowerRoman"/>
      <w:start w:val="1"/>
    </w:lvl>
  </w:abstractNum>
  <w:abstractNum w:abstractNumId="99">
    <w:nsid w:val="6181EF69"/>
    <w:multiLevelType w:val="hybridMultilevel"/>
    <w:lvl w:ilvl="0">
      <w:lvlJc w:val="left"/>
      <w:lvlText w:val="(%1)"/>
      <w:numFmt w:val="lowerLetter"/>
      <w:start w:val="1"/>
    </w:lvl>
  </w:abstractNum>
  <w:abstractNum w:abstractNumId="100">
    <w:nsid w:val="3E6400E6"/>
    <w:multiLevelType w:val="hybridMultilevel"/>
    <w:lvl w:ilvl="0">
      <w:lvlJc w:val="left"/>
      <w:lvlText w:val="(%1)"/>
      <w:numFmt w:val="lowerLetter"/>
      <w:start w:val="2"/>
    </w:lvl>
    <w:lvl w:ilvl="1">
      <w:lvlJc w:val="left"/>
      <w:lvlText w:val="(%2)"/>
      <w:numFmt w:val="lowerRoman"/>
      <w:start w:val="1"/>
    </w:lvl>
  </w:abstractNum>
  <w:abstractNum w:abstractNumId="101">
    <w:nsid w:val="14217E23"/>
    <w:multiLevelType w:val="hybridMultilevel"/>
    <w:lvl w:ilvl="0">
      <w:lvlJc w:val="left"/>
      <w:lvlText w:val="["/>
      <w:numFmt w:val="bullet"/>
      <w:start w:val="1"/>
    </w:lvl>
  </w:abstractNum>
  <w:abstractNum w:abstractNumId="102">
    <w:nsid w:val="710757D0"/>
    <w:multiLevelType w:val="hybridMultilevel"/>
    <w:lvl w:ilvl="0">
      <w:lvlJc w:val="left"/>
      <w:lvlText w:val="(%1)"/>
      <w:numFmt w:val="lowerRoman"/>
      <w:start w:val="3"/>
    </w:lvl>
  </w:abstractNum>
  <w:abstractNum w:abstractNumId="103">
    <w:nsid w:val="5015CD1A"/>
    <w:multiLevelType w:val="hybridMultilevel"/>
    <w:lvl w:ilvl="0">
      <w:lvlJc w:val="left"/>
      <w:lvlText w:val="(%1)"/>
      <w:numFmt w:val="lowerRoman"/>
      <w:start w:val="5"/>
    </w:lvl>
  </w:abstractNum>
  <w:abstractNum w:abstractNumId="104">
    <w:nsid w:val="424479DA"/>
    <w:multiLevelType w:val="hybridMultilevel"/>
    <w:lvl w:ilvl="0">
      <w:lvlJc w:val="left"/>
      <w:lvlText w:val="["/>
      <w:numFmt w:val="bullet"/>
      <w:start w:val="1"/>
    </w:lvl>
  </w:abstractNum>
  <w:abstractNum w:abstractNumId="105">
    <w:nsid w:val="1A9A9E69"/>
    <w:multiLevelType w:val="hybridMultilevel"/>
    <w:lvl w:ilvl="0">
      <w:lvlJc w:val="left"/>
      <w:lvlText w:val="(%1)"/>
      <w:numFmt w:val="lowerRoman"/>
      <w:start w:val="1"/>
    </w:lvl>
  </w:abstractNum>
  <w:abstractNum w:abstractNumId="106">
    <w:nsid w:val="475E256A"/>
    <w:multiLevelType w:val="hybridMultilevel"/>
    <w:lvl w:ilvl="0">
      <w:lvlJc w:val="left"/>
      <w:lvlText w:val="(%1)"/>
      <w:numFmt w:val="lowerRoman"/>
      <w:start w:val="3"/>
    </w:lvl>
  </w:abstractNum>
  <w:abstractNum w:abstractNumId="107">
    <w:nsid w:val="368DB37E"/>
    <w:multiLevelType w:val="hybridMultilevel"/>
    <w:lvl w:ilvl="0">
      <w:lvlJc w:val="left"/>
      <w:lvlText w:val="["/>
      <w:numFmt w:val="bullet"/>
      <w:start w:val="1"/>
    </w:lvl>
  </w:abstractNum>
  <w:abstractNum w:abstractNumId="108">
    <w:nsid w:val="6A3B714C"/>
    <w:multiLevelType w:val="hybridMultilevel"/>
    <w:lvl w:ilvl="0">
      <w:lvlJc w:val="left"/>
      <w:lvlText w:val="(%1)"/>
      <w:numFmt w:val="lowerLetter"/>
      <w:start w:val="1"/>
    </w:lvl>
  </w:abstractNum>
  <w:abstractNum w:abstractNumId="109">
    <w:nsid w:val="327B517E"/>
    <w:multiLevelType w:val="hybridMultilevel"/>
    <w:lvl w:ilvl="0">
      <w:lvlJc w:val="left"/>
      <w:lvlText w:val="1"/>
      <w:numFmt w:val="bullet"/>
      <w:start w:val="1"/>
    </w:lvl>
  </w:abstractNum>
  <w:abstractNum w:abstractNumId="110">
    <w:nsid w:val="1F461B51"/>
    <w:multiLevelType w:val="hybridMultilevel"/>
    <w:lvl w:ilvl="0">
      <w:lvlJc w:val="left"/>
      <w:lvlText w:val="%1."/>
      <w:numFmt w:val="decimal"/>
      <w:start w:val="4"/>
    </w:lvl>
  </w:abstractNum>
  <w:abstractNum w:abstractNumId="111">
    <w:nsid w:val="29BACF25"/>
    <w:multiLevelType w:val="hybridMultilevel"/>
    <w:lvl w:ilvl="0">
      <w:lvlJc w:val="left"/>
      <w:lvlText w:val="%1."/>
      <w:numFmt w:val="decimal"/>
      <w:start w:val="1"/>
    </w:lvl>
  </w:abstractNum>
  <w:abstractNum w:abstractNumId="112">
    <w:nsid w:val="5D5BABB3"/>
    <w:multiLevelType w:val="hybridMultilevel"/>
    <w:lvl w:ilvl="0">
      <w:lvlJc w:val="left"/>
      <w:lvlText w:val="%1."/>
      <w:numFmt w:val="decimal"/>
      <w:start w:val="2"/>
    </w:lvl>
  </w:abstractNum>
  <w:abstractNum w:abstractNumId="113">
    <w:nsid w:val="51BF6B48"/>
    <w:multiLevelType w:val="hybridMultilevel"/>
    <w:lvl w:ilvl="0">
      <w:lvlJc w:val="left"/>
      <w:lvlText w:val="%1."/>
      <w:numFmt w:val="decimal"/>
      <w:start w:val="3"/>
    </w:lvl>
  </w:abstractNum>
  <w:abstractNum w:abstractNumId="114">
    <w:nsid w:val="7E0F6384"/>
    <w:multiLevelType w:val="hybridMultilevel"/>
    <w:lvl w:ilvl="0">
      <w:lvlJc w:val="left"/>
      <w:lvlText w:val="(%1)"/>
      <w:numFmt w:val="lowerRoman"/>
      <w:start w:val="3"/>
    </w:lvl>
  </w:abstractNum>
  <w:abstractNum w:abstractNumId="115">
    <w:nsid w:val="2B4B8B53"/>
    <w:multiLevelType w:val="hybridMultilevel"/>
    <w:lvl w:ilvl="0">
      <w:lvlJc w:val="left"/>
      <w:lvlText w:val="(%1)"/>
      <w:numFmt w:val="decimal"/>
      <w:start w:val="1"/>
    </w:lvl>
  </w:abstractNum>
  <w:abstractNum w:abstractNumId="116">
    <w:nsid w:val="72E3413A"/>
    <w:multiLevelType w:val="hybridMultilevel"/>
    <w:lvl w:ilvl="0">
      <w:lvlJc w:val="left"/>
      <w:lvlText w:val="%1."/>
      <w:numFmt w:val="upperLetter"/>
      <w:start w:val="1"/>
    </w:lvl>
  </w:abstractNum>
  <w:abstractNum w:abstractNumId="117">
    <w:nsid w:val="116AE494"/>
    <w:multiLevelType w:val="hybridMultilevel"/>
    <w:lvl w:ilvl="0">
      <w:lvlJc w:val="left"/>
      <w:lvlText w:val="%1."/>
      <w:numFmt w:val="upperLetter"/>
      <w:start w:val="1"/>
    </w:lvl>
  </w:abstractNum>
  <w:abstractNum w:abstractNumId="118">
    <w:nsid w:val="3494B2FB"/>
    <w:multiLevelType w:val="hybridMultilevel"/>
    <w:lvl w:ilvl="0">
      <w:lvlJc w:val="left"/>
      <w:lvlText w:val="(%1)"/>
      <w:numFmt w:val="lowerRoman"/>
      <w:start w:val="1"/>
    </w:lvl>
  </w:abstractNum>
  <w:abstractNum w:abstractNumId="119">
    <w:nsid w:val="B13A31"/>
    <w:multiLevelType w:val="hybridMultilevel"/>
    <w:lvl w:ilvl="0">
      <w:lvlJc w:val="left"/>
      <w:lvlText w:val="(%1)"/>
      <w:numFmt w:val="lowerLetter"/>
      <w:start w:val="1"/>
    </w:lvl>
  </w:abstractNum>
  <w:abstractNum w:abstractNumId="120">
    <w:nsid w:val="64429599"/>
    <w:multiLevelType w:val="hybridMultilevel"/>
    <w:lvl w:ilvl="0">
      <w:lvlJc w:val="left"/>
      <w:lvlText w:val="(%1)"/>
      <w:numFmt w:val="lowerLetter"/>
      <w:start w:val="1"/>
    </w:lvl>
  </w:abstractNum>
  <w:abstractNum w:abstractNumId="121">
    <w:nsid w:val="631F1690"/>
    <w:multiLevelType w:val="hybridMultilevel"/>
    <w:lvl w:ilvl="0">
      <w:lvlJc w:val="left"/>
      <w:lvlText w:val="(%1)"/>
      <w:numFmt w:val="lowerLetter"/>
      <w:start w:val="11"/>
    </w:lvl>
  </w:abstractNum>
  <w:abstractNum w:abstractNumId="122">
    <w:nsid w:val="25973E32"/>
    <w:multiLevelType w:val="hybridMultilevel"/>
    <w:lvl w:ilvl="0">
      <w:lvlJc w:val="left"/>
      <w:lvlText w:val="(%1)"/>
      <w:numFmt w:val="lowerLetter"/>
      <w:start w:val="1"/>
    </w:lvl>
  </w:abstractNum>
  <w:abstractNum w:abstractNumId="123">
    <w:nsid w:val="EAD6F57"/>
    <w:multiLevelType w:val="hybridMultilevel"/>
    <w:lvl w:ilvl="0">
      <w:lvlJc w:val="left"/>
      <w:lvlText w:val="(%1)"/>
      <w:numFmt w:val="lowerLetter"/>
      <w:start w:val="1"/>
    </w:lvl>
  </w:abstractNum>
  <w:abstractNum w:abstractNumId="124">
    <w:nsid w:val="6EC9D844"/>
    <w:multiLevelType w:val="hybridMultilevel"/>
    <w:lvl w:ilvl="0">
      <w:lvlJc w:val="left"/>
      <w:lvlText w:val="(%1)"/>
      <w:numFmt w:val="lowerRoman"/>
      <w:start w:val="1"/>
    </w:lvl>
  </w:abstractNum>
  <w:abstractNum w:abstractNumId="125">
    <w:nsid w:val="5C49EAEE"/>
    <w:multiLevelType w:val="hybridMultilevel"/>
    <w:lvl w:ilvl="0">
      <w:lvlJc w:val="left"/>
      <w:lvlText w:val="(%1)"/>
      <w:numFmt w:val="lowerLetter"/>
      <w:start w:val="1"/>
    </w:lvl>
  </w:abstractNum>
  <w:abstractNum w:abstractNumId="126">
    <w:nsid w:val="64AF49B"/>
    <w:multiLevelType w:val="hybridMultilevel"/>
    <w:lvl w:ilvl="0">
      <w:lvlJc w:val="left"/>
      <w:lvlText w:val="(%1)"/>
      <w:numFmt w:val="lowerLetter"/>
      <w:start w:val="5"/>
    </w:lvl>
    <w:lvl w:ilvl="1">
      <w:lvlJc w:val="left"/>
      <w:lvlText w:val="(%2)"/>
      <w:numFmt w:val="lowerRoman"/>
      <w:start w:val="1"/>
    </w:lvl>
  </w:abstractNum>
  <w:abstractNum w:abstractNumId="127">
    <w:nsid w:val="397C46BC"/>
    <w:multiLevelType w:val="hybridMultilevel"/>
    <w:lvl w:ilvl="0">
      <w:lvlJc w:val="left"/>
      <w:lvlText w:val="(%1)"/>
      <w:numFmt w:val="lowerRoman"/>
      <w:start w:val="1"/>
    </w:lvl>
  </w:abstractNum>
  <w:abstractNum w:abstractNumId="128">
    <w:nsid w:val="7E448DE9"/>
    <w:multiLevelType w:val="hybridMultilevel"/>
    <w:lvl w:ilvl="0">
      <w:lvlJc w:val="left"/>
      <w:lvlText w:val="(%1)"/>
      <w:numFmt w:val="lowerLetter"/>
      <w:start w:val="1"/>
    </w:lvl>
  </w:abstractNum>
  <w:abstractNum w:abstractNumId="129">
    <w:nsid w:val="5A9CC3E5"/>
    <w:multiLevelType w:val="hybridMultilevel"/>
    <w:lvl w:ilvl="0">
      <w:lvlJc w:val="left"/>
      <w:lvlText w:val="(%1)"/>
      <w:numFmt w:val="lowerLetter"/>
      <w:start w:val="2"/>
    </w:lvl>
    <w:lvl w:ilvl="1">
      <w:lvlJc w:val="left"/>
      <w:lvlText w:val="(%2)"/>
      <w:numFmt w:val="lowerRoman"/>
      <w:start w:val="1"/>
    </w:lvl>
  </w:abstractNum>
  <w:abstractNum w:abstractNumId="130">
    <w:nsid w:val="1AFE3625"/>
    <w:multiLevelType w:val="hybridMultilevel"/>
    <w:lvl w:ilvl="0">
      <w:lvlJc w:val="left"/>
      <w:lvlText w:val="(%1)"/>
      <w:numFmt w:val="lowerLetter"/>
      <w:start w:val="4"/>
    </w:lvl>
  </w:abstractNum>
  <w:abstractNum w:abstractNumId="131">
    <w:nsid w:val="3CA88ECF"/>
    <w:multiLevelType w:val="hybridMultilevel"/>
    <w:lvl w:ilvl="0">
      <w:lvlJc w:val="left"/>
      <w:lvlText w:val="(%1)"/>
      <w:numFmt w:val="lowerLetter"/>
      <w:start w:val="1"/>
    </w:lvl>
  </w:abstractNum>
  <w:abstractNum w:abstractNumId="132">
    <w:nsid w:val="6EBE4208"/>
    <w:multiLevelType w:val="hybridMultilevel"/>
    <w:lvl w:ilvl="0">
      <w:lvlJc w:val="left"/>
      <w:lvlText w:val="(%1)"/>
      <w:numFmt w:val="lowerLetter"/>
      <w:start w:val="1"/>
    </w:lvl>
  </w:abstractNum>
  <w:abstractNum w:abstractNumId="133">
    <w:nsid w:val="C058DF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4">
    <w:nsid w:val="CBE5BE9"/>
    <w:multiLevelType w:val="hybridMultilevel"/>
    <w:lvl w:ilvl="0">
      <w:lvlJc w:val="left"/>
      <w:lvlText w:val="%1"/>
      <w:numFmt w:val="lowerRoman"/>
      <w:start w:val="1"/>
    </w:lvl>
    <w:lvl w:ilvl="1">
      <w:lvlJc w:val="left"/>
      <w:lvlText w:val="(%2)"/>
      <w:numFmt w:val="upperLetter"/>
      <w:start w:val="3"/>
    </w:lvl>
  </w:abstractNum>
  <w:abstractNum w:abstractNumId="135">
    <w:nsid w:val="3102BBE2"/>
    <w:multiLevelType w:val="hybridMultilevel"/>
    <w:lvl w:ilvl="0">
      <w:lvlJc w:val="left"/>
      <w:lvlText w:val="(%1)"/>
      <w:numFmt w:val="lowerRoman"/>
      <w:start w:val="3"/>
    </w:lvl>
    <w:lvl w:ilvl="1">
      <w:lvlJc w:val="left"/>
      <w:lvlText w:val="%2"/>
      <w:numFmt w:val="upperLetter"/>
      <w:start w:val="1"/>
    </w:lvl>
  </w:abstractNum>
  <w:abstractNum w:abstractNumId="136">
    <w:nsid w:val="26A02C5E"/>
    <w:multiLevelType w:val="hybridMultilevel"/>
    <w:lvl w:ilvl="0">
      <w:lvlJc w:val="left"/>
      <w:lvlText w:val="(%1)"/>
      <w:numFmt w:val="lowerRoman"/>
      <w:start w:val="4"/>
    </w:lvl>
  </w:abstractNum>
  <w:abstractNum w:abstractNumId="137">
    <w:nsid w:val="541C8153"/>
    <w:multiLevelType w:val="hybridMultilevel"/>
    <w:lvl w:ilvl="0">
      <w:lvlJc w:val="left"/>
      <w:lvlText w:val="(%1)"/>
      <w:numFmt w:val="lowerLetter"/>
      <w:start w:val="1"/>
    </w:lvl>
  </w:abstractNum>
  <w:abstractNum w:abstractNumId="138">
    <w:nsid w:val="67906F60"/>
    <w:multiLevelType w:val="hybridMultilevel"/>
    <w:lvl w:ilvl="0">
      <w:lvlJc w:val="left"/>
      <w:lvlText w:val="(%1)"/>
      <w:numFmt w:val="lowerLetter"/>
      <w:start w:val="2"/>
    </w:lvl>
    <w:lvl w:ilvl="1">
      <w:lvlJc w:val="left"/>
      <w:lvlText w:val="(%2)"/>
      <w:numFmt w:val="lowerRoman"/>
      <w:start w:val="1"/>
    </w:lvl>
  </w:abstractNum>
  <w:abstractNum w:abstractNumId="139">
    <w:nsid w:val="10DB9DAA"/>
    <w:multiLevelType w:val="hybridMultilevel"/>
    <w:lvl w:ilvl="0">
      <w:lvlJc w:val="left"/>
      <w:lvlText w:val="(%1)"/>
      <w:numFmt w:val="lowerLetter"/>
      <w:start w:val="3"/>
    </w:lvl>
  </w:abstractNum>
  <w:abstractNum w:abstractNumId="140">
    <w:nsid w:val="697D2D2"/>
    <w:multiLevelType w:val="hybridMultilevel"/>
    <w:lvl w:ilvl="0">
      <w:lvlJc w:val="left"/>
      <w:lvlText w:val="(%1)"/>
      <w:numFmt w:val="lowerLetter"/>
      <w:start w:val="6"/>
    </w:lvl>
  </w:abstractNum>
  <w:abstractNum w:abstractNumId="141">
    <w:nsid w:val="6D68AB2"/>
    <w:multiLevelType w:val="hybridMultilevel"/>
    <w:lvl w:ilvl="0">
      <w:lvlJc w:val="left"/>
      <w:lvlText w:val="(%1)"/>
      <w:numFmt w:val="lowerLetter"/>
      <w:start w:val="7"/>
    </w:lvl>
  </w:abstractNum>
  <w:abstractNum w:abstractNumId="142">
    <w:nsid w:val="3A966CD0"/>
    <w:multiLevelType w:val="hybridMultilevel"/>
    <w:lvl w:ilvl="0">
      <w:lvlJc w:val="left"/>
      <w:lvlText w:val="(%1)"/>
      <w:numFmt w:val="lowerLetter"/>
      <w:start w:val="10"/>
    </w:lvl>
  </w:abstractNum>
  <w:abstractNum w:abstractNumId="143">
    <w:nsid w:val="63F37E85"/>
    <w:multiLevelType w:val="hybridMultilevel"/>
    <w:lvl w:ilvl="0">
      <w:lvlJc w:val="left"/>
      <w:lvlText w:val="(%1)"/>
      <w:numFmt w:val="lowerLetter"/>
      <w:start w:val="1"/>
    </w:lvl>
  </w:abstractNum>
  <w:abstractNum w:abstractNumId="144">
    <w:nsid w:val="5895F5FA"/>
    <w:multiLevelType w:val="hybridMultilevel"/>
    <w:lvl w:ilvl="0">
      <w:lvlJc w:val="left"/>
      <w:lvlText w:val="(%1)"/>
      <w:numFmt w:val="lowerRoman"/>
      <w:start w:val="1"/>
    </w:lvl>
  </w:abstractNum>
  <w:abstractNum w:abstractNumId="145">
    <w:nsid w:val="38A5D054"/>
    <w:multiLevelType w:val="hybridMultilevel"/>
    <w:lvl w:ilvl="0">
      <w:lvlJc w:val="left"/>
      <w:lvlText w:val="(%1)"/>
      <w:numFmt w:val="lowerLetter"/>
      <w:start w:val="1"/>
    </w:lvl>
    <w:lvl w:ilvl="1">
      <w:lvlJc w:val="left"/>
      <w:lvlText w:val="(%2)"/>
      <w:numFmt w:val="lowerLetter"/>
      <w:start w:val="9"/>
    </w:lvl>
  </w:abstractNum>
  <w:abstractNum w:abstractNumId="146">
    <w:nsid w:val="F3F09D8"/>
    <w:multiLevelType w:val="hybridMultilevel"/>
    <w:lvl w:ilvl="0">
      <w:lvlJc w:val="left"/>
      <w:lvlText w:val="(%1)"/>
      <w:numFmt w:val="lowerRoman"/>
      <w:start w:val="2"/>
    </w:lvl>
    <w:lvl w:ilvl="1">
      <w:lvlJc w:val="left"/>
      <w:lvlText w:val="(%2)"/>
      <w:numFmt w:val="upperLetter"/>
      <w:start w:val="1"/>
    </w:lvl>
  </w:abstractNum>
  <w:abstractNum w:abstractNumId="147">
    <w:nsid w:val="4B7937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48">
    <w:nsid w:val="4A10B4E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49">
    <w:nsid w:val="43D3BC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0">
    <w:nsid w:val="4C2A7166"/>
    <w:multiLevelType w:val="hybridMultilevel"/>
    <w:lvl w:ilvl="0">
      <w:lvlJc w:val="left"/>
      <w:lvlText w:val="(%1)"/>
      <w:numFmt w:val="lowerLetter"/>
      <w:start w:val="3"/>
    </w:lvl>
  </w:abstractNum>
  <w:abstractNum w:abstractNumId="151">
    <w:nsid w:val="2E534A82"/>
    <w:multiLevelType w:val="hybridMultilevel"/>
    <w:lvl w:ilvl="0">
      <w:lvlJc w:val="left"/>
      <w:lvlText w:val="(%1)"/>
      <w:numFmt w:val="lowerLetter"/>
      <w:start w:val="1"/>
    </w:lvl>
  </w:abstractNum>
  <w:abstractNum w:abstractNumId="152">
    <w:nsid w:val="26F2D364"/>
    <w:multiLevelType w:val="hybridMultilevel"/>
    <w:lvl w:ilvl="0">
      <w:lvlJc w:val="left"/>
      <w:lvlText w:val="(%1)"/>
      <w:numFmt w:val="lowerLetter"/>
      <w:start w:val="3"/>
    </w:lvl>
  </w:abstractNum>
  <w:abstractNum w:abstractNumId="153">
    <w:nsid w:val="71C1AF98"/>
    <w:multiLevelType w:val="hybridMultilevel"/>
    <w:lvl w:ilvl="0">
      <w:lvlJc w:val="left"/>
      <w:lvlText w:val="(%1)"/>
      <w:numFmt w:val="lowerLetter"/>
      <w:start w:val="1"/>
    </w:lvl>
  </w:abstractNum>
  <w:abstractNum w:abstractNumId="154">
    <w:nsid w:val="3D00B9D9"/>
    <w:multiLevelType w:val="hybridMultilevel"/>
    <w:lvl w:ilvl="0">
      <w:lvlJc w:val="left"/>
      <w:lvlText w:val="(%1)"/>
      <w:numFmt w:val="lowerLetter"/>
      <w:start w:val="7"/>
    </w:lvl>
  </w:abstractNum>
  <w:abstractNum w:abstractNumId="155">
    <w:nsid w:val="15BCABA8"/>
    <w:multiLevelType w:val="hybridMultilevel"/>
    <w:lvl w:ilvl="0">
      <w:lvlJc w:val="left"/>
      <w:lvlText w:val="(%1)"/>
      <w:numFmt w:val="lowerLetter"/>
      <w:start w:val="1"/>
    </w:lvl>
  </w:abstractNum>
  <w:abstractNum w:abstractNumId="156">
    <w:nsid w:val="4E0B9A87"/>
    <w:multiLevelType w:val="hybridMultilevel"/>
    <w:lvl w:ilvl="0">
      <w:lvlJc w:val="left"/>
      <w:lvlText w:val="(%1)"/>
      <w:numFmt w:val="lowerLetter"/>
      <w:start w:val="2"/>
    </w:lvl>
  </w:abstractNum>
  <w:abstractNum w:abstractNumId="157">
    <w:nsid w:val="434BAE75"/>
    <w:multiLevelType w:val="hybridMultilevel"/>
    <w:lvl w:ilvl="0">
      <w:lvlJc w:val="left"/>
      <w:lvlText w:val="(%1)"/>
      <w:numFmt w:val="lowerRoman"/>
      <w:start w:val="1"/>
    </w:lvl>
  </w:abstractNum>
  <w:abstractNum w:abstractNumId="158">
    <w:nsid w:val="4F38F265"/>
    <w:multiLevelType w:val="hybridMultilevel"/>
    <w:lvl w:ilvl="0">
      <w:lvlJc w:val="left"/>
      <w:lvlText w:val="(%1)"/>
      <w:numFmt w:val="lowerRoman"/>
      <w:start w:val="2"/>
    </w:lvl>
  </w:abstractNum>
  <w:abstractNum w:abstractNumId="159">
    <w:nsid w:val="4C502870"/>
    <w:multiLevelType w:val="hybridMultilevel"/>
    <w:lvl w:ilvl="0">
      <w:lvlJc w:val="left"/>
      <w:lvlText w:val="(%1)"/>
      <w:numFmt w:val="lowerRoman"/>
      <w:start w:val="4"/>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lowerLetter"/>
      <w:start w:val="2"/>
    </w:lvl>
    <w:lvl w:ilvl="1">
      <w:lvlJc w:val="left"/>
      <w:lvlText w:val="(%2)"/>
      <w:numFmt w:val="lowerRoman"/>
      <w:start w:val="1"/>
    </w:lvl>
  </w:abstractNum>
  <w:abstractNum w:abstractNumId="162">
    <w:nsid w:val="8F8B73F"/>
    <w:multiLevelType w:val="hybridMultilevel"/>
    <w:lvl w:ilvl="0">
      <w:lvlJc w:val="left"/>
      <w:lvlText w:val="(%1)"/>
      <w:numFmt w:val="lowerLetter"/>
      <w:start w:val="1"/>
    </w:lvl>
    <w:lvl w:ilvl="1">
      <w:lvlJc w:val="left"/>
      <w:lvlText w:val="(%2)"/>
      <w:numFmt w:val="lowerRoman"/>
      <w:start w:val="1"/>
    </w:lvl>
  </w:abstractNum>
  <w:abstractNum w:abstractNumId="163">
    <w:nsid w:val="CA6B462"/>
    <w:multiLevelType w:val="hybridMultilevel"/>
    <w:lvl w:ilvl="0">
      <w:lvlJc w:val="left"/>
      <w:lvlText w:val="(%1)"/>
      <w:numFmt w:val="lowerLetter"/>
      <w:start w:val="2"/>
    </w:lvl>
  </w:abstractNum>
  <w:abstractNum w:abstractNumId="164">
    <w:nsid w:val="763CB680"/>
    <w:multiLevelType w:val="hybridMultilevel"/>
    <w:lvl w:ilvl="0">
      <w:lvlJc w:val="left"/>
      <w:lvlText w:val="(%1)"/>
      <w:numFmt w:val="lowerLetter"/>
      <w:start w:val="3"/>
    </w:lvl>
  </w:abstractNum>
  <w:abstractNum w:abstractNumId="165">
    <w:nsid w:val="15B71329"/>
    <w:multiLevelType w:val="hybridMultilevel"/>
    <w:lvl w:ilvl="0">
      <w:lvlJc w:val="left"/>
      <w:lvlText w:val="(%1)"/>
      <w:numFmt w:val="lowerLetter"/>
      <w:start w:val="1"/>
    </w:lvl>
  </w:abstractNum>
  <w:abstractNum w:abstractNumId="166">
    <w:nsid w:val="3DA97044"/>
    <w:multiLevelType w:val="hybridMultilevel"/>
    <w:lvl w:ilvl="0">
      <w:lvlJc w:val="left"/>
      <w:lvlText w:val="(%1)"/>
      <w:numFmt w:val="lowerLetter"/>
      <w:start w:val="3"/>
    </w:lvl>
  </w:abstractNum>
  <w:abstractNum w:abstractNumId="167">
    <w:nsid w:val="1CDCE2DE"/>
    <w:multiLevelType w:val="hybridMultilevel"/>
    <w:lvl w:ilvl="0">
      <w:lvlJc w:val="left"/>
      <w:lvlText w:val="(%1)"/>
      <w:numFmt w:val="lowerLetter"/>
      <w:start w:val="1"/>
    </w:lvl>
    <w:lvl w:ilvl="1">
      <w:lvlJc w:val="left"/>
      <w:lvlText w:val="(%2)"/>
      <w:numFmt w:val="lowerLetter"/>
      <w:start w:val="9"/>
    </w:lvl>
  </w:abstractNum>
  <w:abstractNum w:abstractNumId="168">
    <w:nsid w:val="69D3947C"/>
    <w:multiLevelType w:val="hybridMultilevel"/>
    <w:lvl w:ilvl="0">
      <w:lvlJc w:val="left"/>
      <w:lvlText w:val="(%1)"/>
      <w:numFmt w:val="lowerRoman"/>
      <w:start w:val="2"/>
    </w:lvl>
  </w:abstractNum>
  <w:abstractNum w:abstractNumId="169">
    <w:nsid w:val="2539DFA5"/>
    <w:multiLevelType w:val="hybridMultilevel"/>
    <w:lvl w:ilvl="0">
      <w:lvlJc w:val="left"/>
      <w:lvlText w:val="(%1)"/>
      <w:numFmt w:val="lowerLetter"/>
      <w:start w:val="2"/>
    </w:lvl>
  </w:abstractNum>
  <w:abstractNum w:abstractNumId="170">
    <w:nsid w:val="2DB88089"/>
    <w:multiLevelType w:val="hybridMultilevel"/>
    <w:lvl w:ilvl="0">
      <w:lvlJc w:val="left"/>
      <w:lvlText w:val="(%1)"/>
      <w:numFmt w:val="lowerLetter"/>
      <w:start w:val="2"/>
    </w:lvl>
  </w:abstractNum>
  <w:abstractNum w:abstractNumId="171">
    <w:nsid w:val="706B674E"/>
    <w:multiLevelType w:val="hybridMultilevel"/>
    <w:lvl w:ilvl="0">
      <w:lvlJc w:val="left"/>
      <w:lvlText w:val="(%1)"/>
      <w:numFmt w:val="lowerLetter"/>
      <w:start w:val="5"/>
    </w:lvl>
    <w:lvl w:ilvl="1">
      <w:lvlJc w:val="left"/>
      <w:lvlText w:val="(%2)"/>
      <w:numFmt w:val="lowerLetter"/>
      <w:start w:val="9"/>
    </w:lvl>
  </w:abstractNum>
  <w:abstractNum w:abstractNumId="172">
    <w:nsid w:val="2C106A57"/>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73">
    <w:nsid w:val="684EED59"/>
    <w:multiLevelType w:val="hybridMultilevel"/>
    <w:lvl w:ilvl="0">
      <w:lvlJc w:val="left"/>
      <w:lvlText w:val="(%1)"/>
      <w:numFmt w:val="upperLetter"/>
      <w:start w:val="35"/>
    </w:lvl>
  </w:abstractNum>
  <w:abstractNum w:abstractNumId="174">
    <w:nsid w:val="545EE5D3"/>
    <w:multiLevelType w:val="hybridMultilevel"/>
    <w:lvl w:ilvl="0">
      <w:lvlJc w:val="left"/>
      <w:lvlText w:val="(%1)"/>
      <w:numFmt w:val="upperLetter"/>
      <w:start w:val="61"/>
    </w:lvl>
  </w:abstractNum>
  <w:abstractNum w:abstractNumId="175">
    <w:nsid w:val="4A66051"/>
    <w:multiLevelType w:val="hybridMultilevel"/>
    <w:lvl w:ilvl="0">
      <w:lvlJc w:val="left"/>
      <w:lvlText w:val="(%1)"/>
      <w:numFmt w:val="upperLetter"/>
      <w:start w:val="3"/>
    </w:lvl>
  </w:abstractNum>
  <w:abstractNum w:abstractNumId="176">
    <w:nsid w:val="20F4BDAD"/>
    <w:multiLevelType w:val="hybridMultilevel"/>
    <w:lvl w:ilvl="0">
      <w:lvlJc w:val="left"/>
      <w:lvlText w:val="(%1)"/>
      <w:numFmt w:val="lowerLetter"/>
      <w:start w:val="8"/>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Letter"/>
      <w:start w:val="2"/>
    </w:lvl>
  </w:abstractNum>
  <w:abstractNum w:abstractNumId="179">
    <w:nsid w:val="6B057295"/>
    <w:multiLevelType w:val="hybridMultilevel"/>
    <w:lvl w:ilvl="0">
      <w:lvlJc w:val="left"/>
      <w:lvlText w:val="(%1)"/>
      <w:numFmt w:val="lowerLetter"/>
      <w:start w:val="7"/>
    </w:lvl>
  </w:abstractNum>
  <w:abstractNum w:abstractNumId="180">
    <w:nsid w:val="2771AC80"/>
    <w:multiLevelType w:val="hybridMultilevel"/>
    <w:lvl w:ilvl="0">
      <w:lvlJc w:val="left"/>
      <w:lvlText w:val="(%1)"/>
      <w:numFmt w:val="lowerLetter"/>
      <w:start w:val="13"/>
    </w:lvl>
  </w:abstractNum>
  <w:abstractNum w:abstractNumId="181">
    <w:nsid w:val="1C4A08EC"/>
    <w:multiLevelType w:val="hybridMultilevel"/>
    <w:lvl w:ilvl="0">
      <w:lvlJc w:val="left"/>
      <w:lvlText w:val="(%1)"/>
      <w:numFmt w:val="lowerLetter"/>
      <w:start w:val="1"/>
    </w:lvl>
  </w:abstractNum>
  <w:abstractNum w:abstractNumId="182">
    <w:nsid w:val="1958BD17"/>
    <w:multiLevelType w:val="hybridMultilevel"/>
    <w:lvl w:ilvl="0">
      <w:lvlJc w:val="left"/>
      <w:lvlText w:val="(%1)"/>
      <w:numFmt w:val="lowerLetter"/>
      <w:start w:val="1"/>
    </w:lvl>
    <w:lvl w:ilvl="1">
      <w:lvlJc w:val="left"/>
      <w:lvlText w:val="(%2)"/>
      <w:numFmt w:val="lowerRoman"/>
      <w:start w:val="1"/>
    </w:lvl>
  </w:abstractNum>
  <w:abstractNum w:abstractNumId="183">
    <w:nsid w:val="4E647FE4"/>
    <w:multiLevelType w:val="hybridMultilevel"/>
    <w:lvl w:ilvl="0">
      <w:lvlJc w:val="left"/>
      <w:lvlText w:val="(%1)"/>
      <w:numFmt w:val="lowerLetter"/>
      <w:start w:val="2"/>
    </w:lvl>
    <w:lvl w:ilvl="1">
      <w:lvlJc w:val="left"/>
      <w:lvlText w:val="(%2)"/>
      <w:numFmt w:val="lowerRoman"/>
      <w:start w:val="1"/>
    </w:lvl>
  </w:abstractNum>
  <w:abstractNum w:abstractNumId="184">
    <w:nsid w:val="E0BB885"/>
    <w:multiLevelType w:val="hybridMultilevel"/>
    <w:lvl w:ilvl="0">
      <w:lvlJc w:val="left"/>
      <w:lvlText w:val="(%1)"/>
      <w:numFmt w:val="lowerLetter"/>
      <w:start w:val="1"/>
    </w:lvl>
  </w:abstractNum>
  <w:abstractNum w:abstractNumId="185">
    <w:nsid w:val="565976F1"/>
    <w:multiLevelType w:val="hybridMultilevel"/>
    <w:lvl w:ilvl="0">
      <w:lvlJc w:val="left"/>
      <w:lvlText w:val="(%1)"/>
      <w:numFmt w:val="lowerLetter"/>
      <w:start w:val="1"/>
    </w:lvl>
  </w:abstractNum>
  <w:abstractNum w:abstractNumId="186">
    <w:nsid w:val="64212B8C"/>
    <w:multiLevelType w:val="hybridMultilevel"/>
    <w:lvl w:ilvl="0">
      <w:lvlJc w:val="left"/>
      <w:lvlText w:val="(%1)"/>
      <w:numFmt w:val="lowerLetter"/>
      <w:start w:val="4"/>
    </w:lvl>
  </w:abstractNum>
  <w:abstractNum w:abstractNumId="187">
    <w:nsid w:val="5C17530C"/>
    <w:multiLevelType w:val="hybridMultilevel"/>
    <w:lvl w:ilvl="0">
      <w:lvlJc w:val="left"/>
      <w:lvlText w:val="(%1)"/>
      <w:numFmt w:val="lowerLetter"/>
      <w:start w:val="4"/>
    </w:lvl>
  </w:abstractNum>
  <w:abstractNum w:abstractNumId="188">
    <w:nsid w:val="19A52566"/>
    <w:multiLevelType w:val="hybridMultilevel"/>
    <w:lvl w:ilvl="0">
      <w:lvlJc w:val="left"/>
      <w:lvlText w:val="(%1)"/>
      <w:numFmt w:val="lowerLetter"/>
      <w:start w:val="2"/>
    </w:lvl>
  </w:abstractNum>
  <w:abstractNum w:abstractNumId="189">
    <w:nsid w:val="335A1DF1"/>
    <w:multiLevelType w:val="hybridMultilevel"/>
    <w:lvl w:ilvl="0">
      <w:lvlJc w:val="left"/>
      <w:lvlText w:val="(%1)"/>
      <w:numFmt w:val="lowerLetter"/>
      <w:start w:val="1"/>
    </w:lvl>
  </w:abstractNum>
  <w:abstractNum w:abstractNumId="190">
    <w:nsid w:val="28677B7C"/>
    <w:multiLevelType w:val="hybridMultilevel"/>
    <w:lvl w:ilvl="0">
      <w:lvlJc w:val="left"/>
      <w:lvlText w:val="%1"/>
      <w:numFmt w:val="lowerLetter"/>
      <w:start w:val="1"/>
    </w:lvl>
    <w:lvl w:ilvl="1">
      <w:lvlJc w:val="left"/>
      <w:lvlText w:val="(%2)"/>
      <w:numFmt w:val="lowerLetter"/>
      <w:start w:val="1"/>
    </w:lvl>
  </w:abstractNum>
  <w:abstractNum w:abstractNumId="191">
    <w:nsid w:val="378D97C0"/>
    <w:multiLevelType w:val="hybridMultilevel"/>
    <w:lvl w:ilvl="0">
      <w:lvlJc w:val="left"/>
      <w:lvlText w:val="(%1)"/>
      <w:numFmt w:val="lowerLetter"/>
      <w:start w:val="2"/>
    </w:lvl>
    <w:lvl w:ilvl="1">
      <w:lvlJc w:val="left"/>
      <w:lvlText w:val="%2"/>
      <w:numFmt w:val="lowerLetter"/>
      <w:start w:val="1"/>
    </w:lvl>
  </w:abstractNum>
  <w:abstractNum w:abstractNumId="192">
    <w:nsid w:val="1D91467C"/>
    <w:multiLevelType w:val="hybridMultilevel"/>
    <w:lvl w:ilvl="0">
      <w:lvlJc w:val="left"/>
      <w:lvlText w:val="(%1)"/>
      <w:numFmt w:val="lowerLetter"/>
      <w:start w:val="1"/>
    </w:lvl>
  </w:abstractNum>
  <w:abstractNum w:abstractNumId="193">
    <w:nsid w:val="316032BB"/>
    <w:multiLevelType w:val="hybridMultilevel"/>
    <w:lvl w:ilvl="0">
      <w:lvlJc w:val="left"/>
      <w:lvlText w:val="(%1)"/>
      <w:numFmt w:val="lowerLetter"/>
      <w:start w:val="2"/>
    </w:lvl>
  </w:abstractNum>
  <w:abstractNum w:abstractNumId="194">
    <w:nsid w:val="44344C22"/>
    <w:multiLevelType w:val="hybridMultilevel"/>
    <w:lvl w:ilvl="0">
      <w:lvlJc w:val="left"/>
      <w:lvlText w:val="(%1)"/>
      <w:numFmt w:val="lowerLetter"/>
      <w:start w:val="3"/>
    </w:lvl>
  </w:abstractNum>
  <w:abstractNum w:abstractNumId="195">
    <w:nsid w:val="13CDFCFC"/>
    <w:multiLevelType w:val="hybridMultilevel"/>
    <w:lvl w:ilvl="0">
      <w:lvlJc w:val="left"/>
      <w:lvlText w:val="(%1)"/>
      <w:numFmt w:val="lowerLetter"/>
      <w:start w:val="5"/>
    </w:lvl>
  </w:abstractNum>
  <w:abstractNum w:abstractNumId="196">
    <w:nsid w:val="471745E4"/>
    <w:multiLevelType w:val="hybridMultilevel"/>
    <w:lvl w:ilvl="0">
      <w:lvlJc w:val="left"/>
      <w:lvlText w:val="(%1)"/>
      <w:numFmt w:val="lowerLetter"/>
      <w:start w:val="1"/>
    </w:lvl>
    <w:lvl w:ilvl="1">
      <w:lvlJc w:val="left"/>
      <w:lvlText w:val="(%2)"/>
      <w:numFmt w:val="lowerLetter"/>
      <w:start w:val="2"/>
    </w:lvl>
  </w:abstractNum>
  <w:abstractNum w:abstractNumId="197">
    <w:nsid w:val="1DDBC66"/>
    <w:multiLevelType w:val="hybridMultilevel"/>
    <w:lvl w:ilvl="0">
      <w:lvlJc w:val="left"/>
      <w:lvlText w:val="(%1)"/>
      <w:numFmt w:val="lowerLetter"/>
      <w:start w:val="1"/>
    </w:lvl>
  </w:abstractNum>
  <w:abstractNum w:abstractNumId="198">
    <w:nsid w:val="30AADFDA"/>
    <w:multiLevelType w:val="hybridMultilevel"/>
    <w:lvl w:ilvl="0">
      <w:lvlJc w:val="left"/>
      <w:lvlText w:val="(%1)"/>
      <w:numFmt w:val="lowerLetter"/>
      <w:start w:val="1"/>
    </w:lvl>
  </w:abstractNum>
  <w:abstractNum w:abstractNumId="199">
    <w:nsid w:val="30EADA61"/>
    <w:multiLevelType w:val="hybridMultilevel"/>
    <w:lvl w:ilvl="0">
      <w:lvlJc w:val="left"/>
      <w:lvlText w:val="(%1)"/>
      <w:numFmt w:val="lowerLetter"/>
      <w:start w:val="1"/>
    </w:lvl>
  </w:abstractNum>
  <w:abstractNum w:abstractNumId="200">
    <w:nsid w:val="27179C0B"/>
    <w:multiLevelType w:val="hybridMultilevel"/>
    <w:lvl w:ilvl="0">
      <w:lvlJc w:val="left"/>
      <w:lvlText w:val="(%1)"/>
      <w:numFmt w:val="lowerLetter"/>
      <w:start w:val="7"/>
    </w:lvl>
  </w:abstractNum>
  <w:abstractNum w:abstractNumId="201">
    <w:nsid w:val="5E636063"/>
    <w:multiLevelType w:val="hybridMultilevel"/>
    <w:lvl w:ilvl="0">
      <w:lvlJc w:val="left"/>
      <w:lvlText w:val="(%1)"/>
      <w:numFmt w:val="lowerLetter"/>
      <w:start w:val="1"/>
    </w:lvl>
  </w:abstractNum>
  <w:abstractNum w:abstractNumId="202">
    <w:nsid w:val="215641AF"/>
    <w:multiLevelType w:val="hybridMultilevel"/>
    <w:lvl w:ilvl="0">
      <w:lvlJc w:val="left"/>
      <w:lvlText w:val="(%1)"/>
      <w:numFmt w:val="lowerLetter"/>
      <w:start w:val="10"/>
    </w:lvl>
  </w:abstractNum>
  <w:abstractNum w:abstractNumId="203">
    <w:nsid w:val="53280662"/>
    <w:multiLevelType w:val="hybridMultilevel"/>
    <w:lvl w:ilvl="0">
      <w:lvlJc w:val="left"/>
      <w:lvlText w:val="(%1)"/>
      <w:numFmt w:val="decimal"/>
      <w:start w:val="5"/>
    </w:lvl>
  </w:abstractNum>
  <w:abstractNum w:abstractNumId="204">
    <w:nsid w:val="46B24DBC"/>
    <w:multiLevelType w:val="hybridMultilevel"/>
    <w:lvl w:ilvl="0">
      <w:lvlJc w:val="left"/>
      <w:lvlText w:val="(%1)"/>
      <w:numFmt w:val="lowerLetter"/>
      <w:start w:val="1"/>
    </w:lvl>
  </w:abstractNum>
  <w:abstractNum w:abstractNumId="205">
    <w:nsid w:val="75B52783"/>
    <w:multiLevelType w:val="hybridMultilevel"/>
    <w:lvl w:ilvl="0">
      <w:lvlJc w:val="left"/>
      <w:lvlText w:val="(%1)"/>
      <w:numFmt w:val="lowerLetter"/>
      <w:start w:val="1"/>
    </w:lvl>
  </w:abstractNum>
  <w:abstractNum w:abstractNumId="206">
    <w:nsid w:val="57CE66B4"/>
    <w:multiLevelType w:val="hybridMultilevel"/>
    <w:lvl w:ilvl="0">
      <w:lvlJc w:val="left"/>
      <w:lvlText w:val="(%1)"/>
      <w:numFmt w:val="lowerLetter"/>
      <w:start w:val="8"/>
    </w:lvl>
  </w:abstractNum>
  <w:abstractNum w:abstractNumId="207">
    <w:nsid w:val="67A70B69"/>
    <w:multiLevelType w:val="hybridMultilevel"/>
    <w:lvl w:ilvl="0">
      <w:lvlJc w:val="left"/>
      <w:lvlText w:val="(%1)"/>
      <w:numFmt w:val="lowerLetter"/>
      <w:start w:val="1"/>
    </w:lvl>
    <w:lvl w:ilvl="1">
      <w:lvlJc w:val="left"/>
      <w:lvlText w:val="(%2)"/>
      <w:numFmt w:val="lowerRoman"/>
      <w:start w:val="1"/>
    </w:lvl>
  </w:abstractNum>
  <w:abstractNum w:abstractNumId="208">
    <w:nsid w:val="5953172F"/>
    <w:multiLevelType w:val="hybridMultilevel"/>
    <w:lvl w:ilvl="0">
      <w:lvlJc w:val="left"/>
      <w:lvlText w:val="(%1)"/>
      <w:numFmt w:val="lowerRoman"/>
      <w:start w:val="6"/>
    </w:lvl>
  </w:abstractNum>
  <w:abstractNum w:abstractNumId="209">
    <w:nsid w:val="27EDFE3A"/>
    <w:multiLevelType w:val="hybridMultilevel"/>
    <w:lvl w:ilvl="0">
      <w:lvlJc w:val="left"/>
      <w:lvlText w:val="(%1)"/>
      <w:numFmt w:val="lowerLetter"/>
      <w:start w:val="2"/>
    </w:lvl>
  </w:abstractNum>
  <w:abstractNum w:abstractNumId="210">
    <w:nsid w:val="52AC7DFF"/>
    <w:multiLevelType w:val="hybridMultilevel"/>
    <w:lvl w:ilvl="0">
      <w:lvlJc w:val="left"/>
      <w:lvlText w:val="(%1)"/>
      <w:numFmt w:val="lowerLetter"/>
      <w:start w:val="1"/>
    </w:lvl>
  </w:abstractNum>
  <w:abstractNum w:abstractNumId="211">
    <w:nsid w:val="C4C3AF"/>
    <w:multiLevelType w:val="hybridMultilevel"/>
    <w:lvl w:ilvl="0">
      <w:lvlJc w:val="left"/>
      <w:lvlText w:val="(%1)"/>
      <w:numFmt w:val="lowerLetter"/>
      <w:start w:val="1"/>
    </w:lvl>
  </w:abstractNum>
  <w:abstractNum w:abstractNumId="212">
    <w:nsid w:val="44380727"/>
    <w:multiLevelType w:val="hybridMultilevel"/>
    <w:lvl w:ilvl="0">
      <w:lvlJc w:val="left"/>
      <w:lvlText w:val="(%1)"/>
      <w:numFmt w:val="lowerLetter"/>
      <w:start w:val="4"/>
    </w:lvl>
  </w:abstractNum>
  <w:abstractNum w:abstractNumId="213">
    <w:nsid w:val="6C053B16"/>
    <w:multiLevelType w:val="hybridMultilevel"/>
    <w:lvl w:ilvl="0">
      <w:lvlJc w:val="left"/>
      <w:lvlText w:val="(%1)"/>
      <w:numFmt w:val="lowerLetter"/>
      <w:start w:val="1"/>
    </w:lvl>
    <w:lvl w:ilvl="1">
      <w:lvlJc w:val="left"/>
      <w:lvlText w:val="(%2)"/>
      <w:numFmt w:val="lowerRoman"/>
      <w:start w:val="1"/>
    </w:lvl>
  </w:abstractNum>
  <w:abstractNum w:abstractNumId="214">
    <w:nsid w:val="4F294393"/>
    <w:multiLevelType w:val="hybridMultilevel"/>
    <w:lvl w:ilvl="0">
      <w:lvlJc w:val="left"/>
      <w:lvlText w:val="(%1)"/>
      <w:numFmt w:val="lowerRoman"/>
      <w:start w:val="3"/>
    </w:lvl>
  </w:abstractNum>
  <w:abstractNum w:abstractNumId="215">
    <w:nsid w:val="5243BFAC"/>
    <w:multiLevelType w:val="hybridMultilevel"/>
    <w:lvl w:ilvl="0">
      <w:lvlJc w:val="left"/>
      <w:lvlText w:val="(%1)"/>
      <w:numFmt w:val="lowerLetter"/>
      <w:start w:val="2"/>
    </w:lvl>
  </w:abstractNum>
  <w:abstractNum w:abstractNumId="216">
    <w:nsid w:val="425EB207"/>
    <w:multiLevelType w:val="hybridMultilevel"/>
    <w:lvl w:ilvl="0">
      <w:lvlJc w:val="left"/>
      <w:lvlText w:val="(%1)"/>
      <w:numFmt w:val="lowerLetter"/>
      <w:start w:val="1"/>
    </w:lvl>
  </w:abstractNum>
  <w:abstractNum w:abstractNumId="217">
    <w:nsid w:val="334A6F1F"/>
    <w:multiLevelType w:val="hybridMultilevel"/>
    <w:lvl w:ilvl="0">
      <w:lvlJc w:val="left"/>
      <w:lvlText w:val="(%1)"/>
      <w:numFmt w:val="lowerLetter"/>
      <w:start w:val="2"/>
    </w:lvl>
  </w:abstractNum>
  <w:abstractNum w:abstractNumId="218">
    <w:nsid w:val="2E5B12B8"/>
    <w:multiLevelType w:val="hybridMultilevel"/>
    <w:lvl w:ilvl="0">
      <w:lvlJc w:val="left"/>
      <w:lvlText w:val="%1"/>
      <w:numFmt w:val="lowerLetter"/>
      <w:start w:val="1"/>
    </w:lvl>
    <w:lvl w:ilvl="1">
      <w:lvlJc w:val="left"/>
      <w:lvlText w:val="(%2)"/>
      <w:numFmt w:val="lowerLetter"/>
      <w:start w:val="1"/>
    </w:lvl>
  </w:abstractNum>
  <w:abstractNum w:abstractNumId="219">
    <w:nsid w:val="5C03D76D"/>
    <w:multiLevelType w:val="hybridMultilevel"/>
    <w:lvl w:ilvl="0">
      <w:lvlJc w:val="left"/>
      <w:lvlText w:val="(%1)"/>
      <w:numFmt w:val="lowerLetter"/>
      <w:start w:val="61"/>
    </w:lvl>
    <w:lvl w:ilvl="1">
      <w:lvlJc w:val="left"/>
      <w:lvlText w:val="%2"/>
      <w:numFmt w:val="lowerLetter"/>
      <w:start w:val="1"/>
    </w:lvl>
  </w:abstractNum>
  <w:abstractNum w:abstractNumId="220">
    <w:nsid w:val="66A48D11"/>
    <w:multiLevelType w:val="hybridMultilevel"/>
    <w:lvl w:ilvl="0">
      <w:lvlJc w:val="left"/>
      <w:lvlText w:val="(%1)"/>
      <w:numFmt w:val="lowerLetter"/>
      <w:start w:val="2"/>
    </w:lvl>
  </w:abstractNum>
  <w:abstractNum w:abstractNumId="221">
    <w:nsid w:val="56C28E34"/>
    <w:multiLevelType w:val="hybridMultilevel"/>
    <w:lvl w:ilvl="0">
      <w:lvlJc w:val="left"/>
      <w:lvlText w:val="(%1)"/>
      <w:numFmt w:val="lowerLetter"/>
      <w:start w:val="3"/>
    </w:lvl>
  </w:abstractNum>
  <w:abstractNum w:abstractNumId="222">
    <w:nsid w:val="13916F2D"/>
    <w:multiLevelType w:val="hybridMultilevel"/>
    <w:lvl w:ilvl="0">
      <w:lvlJc w:val="left"/>
      <w:lvlText w:val="(%1)"/>
      <w:numFmt w:val="lowerLetter"/>
      <w:start w:val="1"/>
    </w:lvl>
  </w:abstractNum>
  <w:abstractNum w:abstractNumId="223">
    <w:nsid w:val="435D38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4">
    <w:nsid w:val="822C0EF"/>
    <w:multiLevelType w:val="hybridMultilevel"/>
    <w:lvl w:ilvl="0">
      <w:lvlJc w:val="left"/>
      <w:lvlText w:val="%1"/>
      <w:numFmt w:val="lowerLetter"/>
      <w:start w:val="1"/>
    </w:lvl>
    <w:lvl w:ilvl="1">
      <w:lvlJc w:val="left"/>
      <w:lvlText w:val="(%2)"/>
      <w:numFmt w:val="lowerRoman"/>
      <w:start w:val="3"/>
    </w:lvl>
  </w:abstractNum>
  <w:abstractNum w:abstractNumId="225">
    <w:nsid w:val="57C5BB4F"/>
    <w:multiLevelType w:val="hybridMultilevel"/>
    <w:lvl w:ilvl="0">
      <w:lvlJc w:val="left"/>
      <w:lvlText w:val="(%1)"/>
      <w:numFmt w:val="lowerLetter"/>
      <w:start w:val="3"/>
    </w:lvl>
    <w:lvl w:ilvl="1">
      <w:lvlJc w:val="left"/>
      <w:lvlText w:val="%2"/>
      <w:numFmt w:val="lowerRoman"/>
      <w:start w:val="1"/>
    </w:lvl>
  </w:abstractNum>
  <w:abstractNum w:abstractNumId="226">
    <w:nsid w:val="1803D089"/>
    <w:multiLevelType w:val="hybridMultilevel"/>
    <w:lvl w:ilvl="0">
      <w:lvlJc w:val="left"/>
      <w:lvlText w:val="%1"/>
      <w:numFmt w:val="lowerLetter"/>
      <w:start w:val="1"/>
    </w:lvl>
    <w:lvl w:ilvl="1">
      <w:lvlJc w:val="left"/>
      <w:lvlText w:val="(%2)"/>
      <w:numFmt w:val="lowerRoman"/>
      <w:start w:val="2"/>
    </w:lvl>
  </w:abstractNum>
  <w:abstractNum w:abstractNumId="227">
    <w:nsid w:val="4F3A06D4"/>
    <w:multiLevelType w:val="hybridMultilevel"/>
    <w:lvl w:ilvl="0">
      <w:lvlJc w:val="left"/>
      <w:lvlText w:val="(%1)"/>
      <w:numFmt w:val="lowerLetter"/>
      <w:start w:val="4"/>
    </w:lvl>
    <w:lvl w:ilvl="1">
      <w:lvlJc w:val="left"/>
      <w:lvlText w:val="%2"/>
      <w:numFmt w:val="lowerRoman"/>
      <w:start w:val="1"/>
    </w:lvl>
  </w:abstractNum>
  <w:abstractNum w:abstractNumId="228">
    <w:nsid w:val="59A377B6"/>
    <w:multiLevelType w:val="hybridMultilevel"/>
    <w:lvl w:ilvl="0">
      <w:lvlJc w:val="left"/>
      <w:lvlText w:val="(%1)"/>
      <w:numFmt w:val="lowerLetter"/>
      <w:start w:val="5"/>
    </w:lvl>
  </w:abstractNum>
  <w:abstractNum w:abstractNumId="229">
    <w:nsid w:val="48AEB063"/>
    <w:multiLevelType w:val="hybridMultilevel"/>
    <w:lvl w:ilvl="0">
      <w:lvlJc w:val="left"/>
      <w:lvlText w:val="(%1)"/>
      <w:numFmt w:val="lowerLetter"/>
      <w:start w:val="1"/>
    </w:lvl>
  </w:abstractNum>
  <w:abstractNum w:abstractNumId="230">
    <w:nsid w:val="24E135"/>
    <w:multiLevelType w:val="hybridMultilevel"/>
    <w:lvl w:ilvl="0">
      <w:lvlJc w:val="left"/>
      <w:lvlText w:val="(%1)"/>
      <w:numFmt w:val="lowerLetter"/>
      <w:start w:val="1"/>
    </w:lvl>
  </w:abstractNum>
  <w:abstractNum w:abstractNumId="231">
    <w:nsid w:val="BB13C1"/>
    <w:multiLevelType w:val="hybridMultilevel"/>
    <w:lvl w:ilvl="0">
      <w:lvlJc w:val="left"/>
      <w:lvlText w:val="(%1)"/>
      <w:numFmt w:val="lowerLetter"/>
      <w:start w:val="3"/>
    </w:lvl>
  </w:abstractNum>
  <w:abstractNum w:abstractNumId="232">
    <w:nsid w:val="271210C7"/>
    <w:multiLevelType w:val="hybridMultilevel"/>
    <w:lvl w:ilvl="0">
      <w:lvlJc w:val="left"/>
      <w:lvlText w:val="(%1)"/>
      <w:numFmt w:val="lowerLetter"/>
      <w:start w:val="1"/>
    </w:lvl>
  </w:abstractNum>
  <w:abstractNum w:abstractNumId="233">
    <w:nsid w:val="217B22E4"/>
    <w:multiLevelType w:val="hybridMultilevel"/>
    <w:lvl w:ilvl="0">
      <w:lvlJc w:val="left"/>
      <w:lvlText w:val="(%1)"/>
      <w:numFmt w:val="lowerLetter"/>
      <w:start w:val="1"/>
    </w:lvl>
    <w:lvl w:ilvl="1">
      <w:lvlJc w:val="left"/>
      <w:lvlText w:val="(%2)"/>
      <w:numFmt w:val="lowerRoman"/>
      <w:start w:val="1"/>
    </w:lvl>
  </w:abstractNum>
  <w:abstractNum w:abstractNumId="234">
    <w:nsid w:val="53E31A24"/>
    <w:multiLevelType w:val="hybridMultilevel"/>
    <w:lvl w:ilvl="0">
      <w:lvlJc w:val="left"/>
      <w:lvlText w:val="(%1)"/>
      <w:numFmt w:val="lowerLetter"/>
      <w:start w:val="1"/>
    </w:lvl>
    <w:lvl w:ilvl="1">
      <w:lvlJc w:val="left"/>
      <w:lvlText w:val="(%2)"/>
      <w:numFmt w:val="lowerRoman"/>
      <w:start w:val="1"/>
    </w:lvl>
  </w:abstractNum>
  <w:abstractNum w:abstractNumId="235">
    <w:nsid w:val="6DC45E83"/>
    <w:multiLevelType w:val="hybridMultilevel"/>
    <w:lvl w:ilvl="0">
      <w:lvlJc w:val="left"/>
      <w:lvlText w:val="(%1)"/>
      <w:numFmt w:val="lowerLetter"/>
      <w:start w:val="1"/>
    </w:lvl>
    <w:lvl w:ilvl="1">
      <w:lvlJc w:val="left"/>
      <w:lvlText w:val="(%2)"/>
      <w:numFmt w:val="lowerRoman"/>
      <w:start w:val="1"/>
    </w:lvl>
  </w:abstractNum>
  <w:abstractNum w:abstractNumId="236">
    <w:nsid w:val="17304A67"/>
    <w:multiLevelType w:val="hybridMultilevel"/>
    <w:lvl w:ilvl="0">
      <w:lvlJc w:val="left"/>
      <w:lvlText w:val="["/>
      <w:numFmt w:val="bullet"/>
      <w:start w:val="1"/>
    </w:lvl>
  </w:abstractNum>
  <w:abstractNum w:abstractNumId="237">
    <w:nsid w:val="2BB180D8"/>
    <w:multiLevelType w:val="hybridMultilevel"/>
    <w:lvl w:ilvl="0">
      <w:lvlJc w:val="left"/>
      <w:lvlText w:val="["/>
      <w:numFmt w:val="bullet"/>
      <w:start w:val="1"/>
    </w:lvl>
  </w:abstractNum>
  <w:abstractNum w:abstractNumId="238">
    <w:nsid w:val="556B69ED"/>
    <w:multiLevelType w:val="hybridMultilevel"/>
    <w:lvl w:ilvl="0">
      <w:lvlJc w:val="left"/>
      <w:lvlText w:val="(%1)"/>
      <w:numFmt w:val="lowerRoman"/>
      <w:start w:val="3"/>
    </w:lvl>
  </w:abstractNum>
  <w:abstractNum w:abstractNumId="239">
    <w:nsid w:val="70836196"/>
    <w:multiLevelType w:val="hybridMultilevel"/>
    <w:lvl w:ilvl="0">
      <w:lvlJc w:val="left"/>
      <w:lvlText w:val="(%1)"/>
      <w:numFmt w:val="lowerRoman"/>
      <w:start w:val="5"/>
    </w:lvl>
  </w:abstractNum>
  <w:abstractNum w:abstractNumId="240">
    <w:nsid w:val="539F7F12"/>
    <w:multiLevelType w:val="hybridMultilevel"/>
    <w:lvl w:ilvl="0">
      <w:lvlJc w:val="left"/>
      <w:lvlText w:val="(%1)"/>
      <w:numFmt w:val="lowerRoman"/>
      <w:start w:val="7"/>
    </w:lvl>
  </w:abstractNum>
  <w:abstractNum w:abstractNumId="241">
    <w:nsid w:val="2817E7EC"/>
    <w:multiLevelType w:val="hybridMultilevel"/>
    <w:lvl w:ilvl="0">
      <w:lvlJc w:val="left"/>
      <w:lvlText w:val="["/>
      <w:numFmt w:val="bullet"/>
      <w:start w:val="1"/>
    </w:lvl>
  </w:abstractNum>
  <w:abstractNum w:abstractNumId="242">
    <w:nsid w:val="71482545"/>
    <w:multiLevelType w:val="hybridMultilevel"/>
    <w:lvl w:ilvl="0">
      <w:lvlJc w:val="left"/>
      <w:lvlText w:val="(%1)"/>
      <w:numFmt w:val="lowerRoman"/>
      <w:start w:val="1"/>
    </w:lvl>
  </w:abstractNum>
  <w:abstractNum w:abstractNumId="243">
    <w:nsid w:val="17D78639"/>
    <w:multiLevelType w:val="hybridMultilevel"/>
    <w:lvl w:ilvl="0">
      <w:lvlJc w:val="left"/>
      <w:lvlText w:val="(%1)"/>
      <w:numFmt w:val="lowerRoman"/>
      <w:start w:val="3"/>
    </w:lvl>
  </w:abstractNum>
  <w:abstractNum w:abstractNumId="244">
    <w:nsid w:val="141D2302"/>
    <w:multiLevelType w:val="hybridMultilevel"/>
    <w:lvl w:ilvl="0">
      <w:lvlJc w:val="left"/>
      <w:lvlText w:val="["/>
      <w:numFmt w:val="bullet"/>
      <w:start w:val="1"/>
    </w:lvl>
  </w:abstractNum>
  <w:abstractNum w:abstractNumId="245">
    <w:nsid w:val="407168D8"/>
    <w:multiLevelType w:val="hybridMultilevel"/>
    <w:lvl w:ilvl="0">
      <w:lvlJc w:val="left"/>
      <w:lvlText w:val="(%1)"/>
      <w:numFmt w:val="lowerLetter"/>
      <w:start w:val="1"/>
    </w:lvl>
  </w:abstractNum>
  <w:abstractNum w:abstractNumId="246">
    <w:nsid w:val="6A1B45E5"/>
    <w:multiLevelType w:val="hybridMultilevel"/>
    <w:lvl w:ilvl="0">
      <w:lvlJc w:val="left"/>
      <w:lvlText w:val="1"/>
      <w:numFmt w:val="bullet"/>
      <w:start w:val="1"/>
    </w:lvl>
  </w:abstractNum>
  <w:abstractNum w:abstractNumId="247">
    <w:nsid w:val="567BD50A"/>
    <w:multiLevelType w:val="hybridMultilevel"/>
    <w:lvl w:ilvl="0">
      <w:lvlJc w:val="left"/>
      <w:lvlText w:val="%1."/>
      <w:numFmt w:val="decimal"/>
      <w:start w:val="1"/>
    </w:lvl>
  </w:abstractNum>
  <w:abstractNum w:abstractNumId="248">
    <w:nsid w:val="73BBD7F8"/>
    <w:multiLevelType w:val="hybridMultilevel"/>
    <w:lvl w:ilvl="0">
      <w:lvlJc w:val="left"/>
      <w:lvlText w:val="%1."/>
      <w:numFmt w:val="decimal"/>
      <w:start w:val="3"/>
    </w:lvl>
  </w:abstractNum>
  <w:abstractNum w:abstractNumId="249">
    <w:nsid w:val="1876589D"/>
    <w:multiLevelType w:val="hybridMultilevel"/>
    <w:lvl w:ilvl="0">
      <w:lvlJc w:val="left"/>
      <w:lvlText w:val="%1."/>
      <w:numFmt w:val="decimal"/>
      <w:start w:val="1"/>
    </w:lvl>
  </w:abstractNum>
  <w:abstractNum w:abstractNumId="250">
    <w:nsid w:val="327FAC77"/>
    <w:multiLevelType w:val="hybridMultilevel"/>
    <w:lvl w:ilvl="0">
      <w:lvlJc w:val="left"/>
      <w:lvlText w:val="%1."/>
      <w:numFmt w:val="decimal"/>
      <w:start w:val="2"/>
    </w:lvl>
  </w:abstractNum>
  <w:abstractNum w:abstractNumId="251">
    <w:nsid w:val="5A606509"/>
    <w:multiLevelType w:val="hybridMultilevel"/>
    <w:lvl w:ilvl="0">
      <w:lvlJc w:val="left"/>
      <w:lvlText w:val="%1."/>
      <w:numFmt w:val="decimal"/>
      <w:start w:val="3"/>
    </w:lvl>
  </w:abstractNum>
  <w:abstractNum w:abstractNumId="252">
    <w:nsid w:val="6F38E6D1"/>
    <w:multiLevelType w:val="hybridMultilevel"/>
    <w:lvl w:ilvl="0">
      <w:lvlJc w:val="left"/>
      <w:lvlText w:val="(%1)"/>
      <w:numFmt w:val="lowerRoman"/>
      <w:start w:val="3"/>
    </w:lvl>
  </w:abstractNum>
  <w:abstractNum w:abstractNumId="253">
    <w:nsid w:val="46111B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2024-03-06T16:11:41Z</dcterms:created>
  <dcterms:modified xsi:type="dcterms:W3CDTF">2024-03-06T16:11:41Z</dcterms:modified>
</cp:coreProperties>
</file>