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93"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71"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1200</w:t>
            </w:r>
          </w:p>
        </w:tc>
        <w:tc>
          <w:tcPr>
            <w:tcW w:w="3640" w:type="dxa"/>
            <w:vAlign w:val="bottom"/>
          </w:tcPr>
          <w:p>
            <w:pPr>
              <w:spacing w:after="0"/>
              <w:rPr>
                <w:sz w:val="18"/>
                <w:szCs w:val="18"/>
                <w:color w:val="auto"/>
              </w:rPr>
            </w:pPr>
          </w:p>
        </w:tc>
      </w:tr>
      <w:tr>
        <w:trPr>
          <w:trHeight w:val="216"/>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706"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706"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706"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706" w:right="339" w:bottom="1440" w:gutter="0" w:footer="0" w:header="0"/>
          <w:type w:val="continuous"/>
        </w:sectPr>
      </w:pPr>
    </w:p>
    <w:p>
      <w:pPr>
        <w:spacing w:after="0" w:line="354"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April 29, 2022, the registrant had 177,492,631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60" w:type="dxa"/>
            <w:vAlign w:val="bottom"/>
            <w:gridSpan w:val="23"/>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60"/>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380" w:type="dxa"/>
            <w:vAlign w:val="bottom"/>
            <w:gridSpan w:val="2"/>
          </w:tcPr>
          <w:p>
            <w:pPr>
              <w:jc w:val="center"/>
              <w:ind w:left="190"/>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Operations</w:t>
              </w:r>
            </w:hyperlink>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3</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Stockholders’ Equity</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4</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5</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Notes to Consolidated Financial Statements</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6</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Item 3. Quantitative and Qualitative Disclosures About Market Risk</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47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4. Controls and Procedures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48</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OTHER INFORMATION</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1. Legal Proceedings</w:t>
              </w:r>
            </w:hyperlink>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49</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1A. Risk Factors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49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2. Unregistered Sales of Equity Securities and Use of Proceeds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6. Exhibits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51</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52</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Basin</w:t>
            </w:r>
          </w:p>
        </w:tc>
        <w:tc>
          <w:tcPr>
            <w:tcW w:w="85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A large depression on the earth’s surface in which sediments accumulate.</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Bbl or barrel</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4"/>
              </w:rPr>
              <w:t>One stock tank barrel, or 42 U.S. gallons liquid volume, used in this report in reference to crude oil or other liquid</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hydrocarbons.</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One barrel of crude oil.</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BOE</w:t>
            </w:r>
          </w:p>
        </w:tc>
        <w:tc>
          <w:tcPr>
            <w:tcW w:w="8560" w:type="dxa"/>
            <w:vAlign w:val="bottom"/>
          </w:tcPr>
          <w:p>
            <w:pPr>
              <w:ind w:left="540"/>
              <w:spacing w:after="0"/>
              <w:rPr>
                <w:sz w:val="20"/>
                <w:szCs w:val="20"/>
                <w:color w:val="auto"/>
              </w:rPr>
            </w:pPr>
            <w:r>
              <w:rPr>
                <w:rFonts w:ascii="Arial" w:cs="Arial" w:eastAsia="Arial" w:hAnsi="Arial"/>
                <w:sz w:val="17"/>
                <w:szCs w:val="17"/>
                <w:color w:val="auto"/>
                <w:w w:val="99"/>
              </w:rPr>
              <w:t>One barrel of oil equivalent, with six thousand cubic feet of natural gas being equivalent to one barrel of oil.</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BOE/d</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BOE per day.</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British Thermal Unit or Btu</w:t>
            </w:r>
          </w:p>
        </w:tc>
        <w:tc>
          <w:tcPr>
            <w:tcW w:w="8560" w:type="dxa"/>
            <w:vAlign w:val="bottom"/>
          </w:tcPr>
          <w:p>
            <w:pPr>
              <w:ind w:left="54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Completion</w:t>
            </w: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7"/>
              </w:rPr>
              <w:t>The process of treating a drilled well followed by the installation of permanent equipment for the production of</w:t>
            </w:r>
          </w:p>
        </w:tc>
      </w:tr>
      <w:tr>
        <w:trPr>
          <w:trHeight w:val="216"/>
        </w:trPr>
        <w:tc>
          <w:tcPr>
            <w:tcW w:w="2680" w:type="dxa"/>
            <w:vAlign w:val="bottom"/>
            <w:shd w:val="clear" w:color="auto" w:fill="CCEEFF"/>
          </w:tcPr>
          <w:p>
            <w:pPr>
              <w:spacing w:after="0"/>
              <w:rPr>
                <w:sz w:val="18"/>
                <w:szCs w:val="18"/>
                <w:color w:val="auto"/>
              </w:rPr>
            </w:pP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natural gas or oil, or in the case of a dry hole, the reporting of abandonment to the appropriate agency.</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Finding and development costs</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3"/>
              </w:rPr>
              <w:t>Capital costs incurred in the acquisition, exploitation and exploration of proved oil and natural gas reserves divided</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by proved reserve additions and revisions to proved reserves.</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acres or gross wells</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Horizontal wells</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3"/>
              </w:rPr>
              <w:t>Wells drilled directionally horizontal to allow for development of structures not reachable through traditional vertical</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drilling mechanisms.</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One thousand barrels of crude oil and other liquid hydrocarbons.</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MBO/d</w:t>
            </w:r>
          </w:p>
        </w:tc>
        <w:tc>
          <w:tcPr>
            <w:tcW w:w="8560" w:type="dxa"/>
            <w:vAlign w:val="bottom"/>
          </w:tcPr>
          <w:p>
            <w:pPr>
              <w:ind w:left="540"/>
              <w:spacing w:after="0"/>
              <w:rPr>
                <w:sz w:val="20"/>
                <w:szCs w:val="20"/>
                <w:color w:val="auto"/>
              </w:rPr>
            </w:pPr>
            <w:r>
              <w:rPr>
                <w:rFonts w:ascii="Arial" w:cs="Arial" w:eastAsia="Arial" w:hAnsi="Arial"/>
                <w:sz w:val="17"/>
                <w:szCs w:val="17"/>
                <w:color w:val="auto"/>
              </w:rPr>
              <w:t>One thousand BO per day.</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MBOE/d</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One thousand BOE per day.</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Mcf</w:t>
            </w:r>
          </w:p>
        </w:tc>
        <w:tc>
          <w:tcPr>
            <w:tcW w:w="8560" w:type="dxa"/>
            <w:vAlign w:val="bottom"/>
          </w:tcPr>
          <w:p>
            <w:pPr>
              <w:ind w:left="540"/>
              <w:spacing w:after="0"/>
              <w:rPr>
                <w:sz w:val="20"/>
                <w:szCs w:val="20"/>
                <w:color w:val="auto"/>
              </w:rPr>
            </w:pPr>
            <w:r>
              <w:rPr>
                <w:rFonts w:ascii="Arial" w:cs="Arial" w:eastAsia="Arial" w:hAnsi="Arial"/>
                <w:sz w:val="17"/>
                <w:szCs w:val="17"/>
                <w:color w:val="auto"/>
              </w:rPr>
              <w:t>One thousand cubic feet of natural gas.</w:t>
            </w: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Mineral interests</w:t>
            </w: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3"/>
              </w:rPr>
              <w:t>The interests in ownership of the resource and mineral rights, giving an owner the right to profit from the extracted</w:t>
            </w:r>
          </w:p>
        </w:tc>
      </w:tr>
      <w:tr>
        <w:trPr>
          <w:trHeight w:val="216"/>
        </w:trPr>
        <w:tc>
          <w:tcPr>
            <w:tcW w:w="2680" w:type="dxa"/>
            <w:vAlign w:val="bottom"/>
            <w:shd w:val="clear" w:color="auto" w:fill="CCEEFF"/>
          </w:tcPr>
          <w:p>
            <w:pPr>
              <w:spacing w:after="0"/>
              <w:rPr>
                <w:sz w:val="18"/>
                <w:szCs w:val="18"/>
                <w:color w:val="auto"/>
              </w:rPr>
            </w:pP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resources.</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MMBtu</w:t>
            </w:r>
          </w:p>
        </w:tc>
        <w:tc>
          <w:tcPr>
            <w:tcW w:w="8560" w:type="dxa"/>
            <w:vAlign w:val="bottom"/>
          </w:tcPr>
          <w:p>
            <w:pPr>
              <w:ind w:left="540"/>
              <w:spacing w:after="0"/>
              <w:rPr>
                <w:sz w:val="20"/>
                <w:szCs w:val="20"/>
                <w:color w:val="auto"/>
              </w:rPr>
            </w:pPr>
            <w:r>
              <w:rPr>
                <w:rFonts w:ascii="Arial" w:cs="Arial" w:eastAsia="Arial" w:hAnsi="Arial"/>
                <w:sz w:val="17"/>
                <w:szCs w:val="17"/>
                <w:color w:val="auto"/>
              </w:rPr>
              <w:t>One million British Thermal Units.</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acres or net wells</w:t>
            </w: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The sum of the fractional working interest owned in gross acres.</w:t>
            </w:r>
          </w:p>
        </w:tc>
      </w:tr>
      <w:tr>
        <w:trPr>
          <w:trHeight w:val="216"/>
        </w:trPr>
        <w:tc>
          <w:tcPr>
            <w:tcW w:w="2680" w:type="dxa"/>
            <w:vAlign w:val="bottom"/>
          </w:tcPr>
          <w:p>
            <w:pPr>
              <w:ind w:left="20"/>
              <w:spacing w:after="0"/>
              <w:rPr>
                <w:sz w:val="20"/>
                <w:szCs w:val="20"/>
                <w:color w:val="auto"/>
              </w:rPr>
            </w:pPr>
            <w:r>
              <w:rPr>
                <w:rFonts w:ascii="Arial" w:cs="Arial" w:eastAsia="Arial" w:hAnsi="Arial"/>
                <w:sz w:val="17"/>
                <w:szCs w:val="17"/>
                <w:color w:val="auto"/>
              </w:rPr>
              <w:t>Oil and natural gas properties</w:t>
            </w:r>
          </w:p>
        </w:tc>
        <w:tc>
          <w:tcPr>
            <w:tcW w:w="8560" w:type="dxa"/>
            <w:vAlign w:val="bottom"/>
          </w:tcPr>
          <w:p>
            <w:pPr>
              <w:ind w:left="54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Prospect</w:t>
            </w: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4"/>
              </w:rPr>
              <w:t>A specific geographic area which, based on supporting geological, geophysical or other data and also preliminary</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3"/>
              </w:rPr>
              <w:t>economic analysis using reasonably anticipated prices and costs, is deemed to have potential for the discovery of</w:t>
            </w:r>
          </w:p>
        </w:tc>
      </w:tr>
      <w:tr>
        <w:trPr>
          <w:trHeight w:val="216"/>
        </w:trPr>
        <w:tc>
          <w:tcPr>
            <w:tcW w:w="2680" w:type="dxa"/>
            <w:vAlign w:val="bottom"/>
            <w:shd w:val="clear" w:color="auto" w:fill="CCEEFF"/>
          </w:tcPr>
          <w:p>
            <w:pPr>
              <w:spacing w:after="0"/>
              <w:rPr>
                <w:sz w:val="18"/>
                <w:szCs w:val="18"/>
                <w:color w:val="auto"/>
              </w:rPr>
            </w:pP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commercial hydrocarbons.</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Proved reserves</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rPr>
              <w:t>The estimated quantities of oil, natural gas and natural gas liquids which geological and engineering data</w:t>
            </w:r>
          </w:p>
        </w:tc>
      </w:tr>
      <w:tr>
        <w:trPr>
          <w:trHeight w:val="162"/>
        </w:trPr>
        <w:tc>
          <w:tcPr>
            <w:tcW w:w="2680" w:type="dxa"/>
            <w:vAlign w:val="bottom"/>
          </w:tcPr>
          <w:p>
            <w:pPr>
              <w:spacing w:after="0"/>
              <w:rPr>
                <w:sz w:val="14"/>
                <w:szCs w:val="14"/>
                <w:color w:val="auto"/>
              </w:rPr>
            </w:pP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3"/>
              </w:rPr>
              <w:t>demonstrate with reasonable certainty to be commercially recoverable in future years from known reservoirs under</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existing economic and operating conditions.</w:t>
            </w: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Reserves</w:t>
            </w: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5"/>
              </w:rPr>
              <w:t>The estimated remaining quantities of oil and natural gas and related substances anticipated to be economically</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4"/>
              </w:rPr>
              <w:t>producible, as of a given date, by application of development projects to known accumulations. In addition, there</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4"/>
              </w:rPr>
              <w:t>must exist, or there must be a reasonable expectation that there will exist, the legal right to produce or a revenue</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0"/>
              </w:rPr>
              <w:t>interest in the production, installed means of delivering oil and natural gas or related substances to the market and all</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0"/>
              </w:rPr>
              <w:t>permits and financing required to implement the project. Reserves are not assigned to adjacent reservoirs isolated by</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5"/>
              </w:rPr>
              <w:t>major, potentially sealing, faults until those reservoirs are penetrated and evaluated as economically producible.</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0"/>
              </w:rPr>
              <w:t>Reserves should not be assigned to areas that are clearly separated from a known accumulation by a non-productive</w:t>
            </w:r>
          </w:p>
        </w:tc>
      </w:tr>
      <w:tr>
        <w:trPr>
          <w:trHeight w:val="162"/>
        </w:trPr>
        <w:tc>
          <w:tcPr>
            <w:tcW w:w="2680" w:type="dxa"/>
            <w:vAlign w:val="bottom"/>
            <w:shd w:val="clear" w:color="auto" w:fill="CCEEFF"/>
          </w:tcPr>
          <w:p>
            <w:pPr>
              <w:spacing w:after="0"/>
              <w:rPr>
                <w:sz w:val="14"/>
                <w:szCs w:val="14"/>
                <w:color w:val="auto"/>
              </w:rPr>
            </w:pP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6"/>
              </w:rPr>
              <w:t>reservoir (i.e., absence of reservoir, structurally low reservoir or negative test results). Such areas may contain</w:t>
            </w:r>
          </w:p>
        </w:tc>
      </w:tr>
      <w:tr>
        <w:trPr>
          <w:trHeight w:val="216"/>
        </w:trPr>
        <w:tc>
          <w:tcPr>
            <w:tcW w:w="2680" w:type="dxa"/>
            <w:vAlign w:val="bottom"/>
            <w:shd w:val="clear" w:color="auto" w:fill="CCEEFF"/>
          </w:tcPr>
          <w:p>
            <w:pPr>
              <w:spacing w:after="0"/>
              <w:rPr>
                <w:sz w:val="18"/>
                <w:szCs w:val="18"/>
                <w:color w:val="auto"/>
              </w:rPr>
            </w:pP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prospective resources (i.e., potentially recoverable resources from undiscovered accumulations).</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Reservoir</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2"/>
              </w:rPr>
              <w:t>A porous and permeable underground formation containing a natural accumulation of producible natural gas and/or</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crude oil that is confined by impermeable rock or water barriers and is separate from other reservoirs.</w:t>
            </w: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Royalty interest</w:t>
            </w:r>
          </w:p>
        </w:tc>
        <w:tc>
          <w:tcPr>
            <w:tcW w:w="8560" w:type="dxa"/>
            <w:vAlign w:val="bottom"/>
            <w:shd w:val="clear" w:color="auto" w:fill="CCEEFF"/>
          </w:tcPr>
          <w:p>
            <w:pPr>
              <w:ind w:left="540"/>
              <w:spacing w:after="0" w:line="162" w:lineRule="exact"/>
              <w:rPr>
                <w:sz w:val="20"/>
                <w:szCs w:val="20"/>
                <w:color w:val="auto"/>
              </w:rPr>
            </w:pPr>
            <w:r>
              <w:rPr>
                <w:rFonts w:ascii="Arial" w:cs="Arial" w:eastAsia="Arial" w:hAnsi="Arial"/>
                <w:sz w:val="17"/>
                <w:szCs w:val="17"/>
                <w:color w:val="auto"/>
                <w:w w:val="91"/>
              </w:rPr>
              <w:t>An interest that gives an owner the right to receive a portion of the resources or revenues without having to carry any</w:t>
            </w:r>
          </w:p>
        </w:tc>
      </w:tr>
      <w:tr>
        <w:trPr>
          <w:trHeight w:val="216"/>
        </w:trPr>
        <w:tc>
          <w:tcPr>
            <w:tcW w:w="2680" w:type="dxa"/>
            <w:vAlign w:val="bottom"/>
            <w:shd w:val="clear" w:color="auto" w:fill="CCEEFF"/>
          </w:tcPr>
          <w:p>
            <w:pPr>
              <w:spacing w:after="0"/>
              <w:rPr>
                <w:sz w:val="18"/>
                <w:szCs w:val="18"/>
                <w:color w:val="auto"/>
              </w:rPr>
            </w:pPr>
          </w:p>
        </w:tc>
        <w:tc>
          <w:tcPr>
            <w:tcW w:w="85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costs of development, which may be subject to expiration.</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7"/>
                <w:szCs w:val="17"/>
                <w:color w:val="auto"/>
              </w:rPr>
              <w:t>Working interest</w:t>
            </w: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2"/>
              </w:rPr>
              <w:t>An operating interest that gives the owner the right to drill, produce and conduct operating activities on the property</w:t>
            </w:r>
          </w:p>
        </w:tc>
      </w:tr>
      <w:tr>
        <w:trPr>
          <w:trHeight w:val="162"/>
        </w:trPr>
        <w:tc>
          <w:tcPr>
            <w:tcW w:w="2680" w:type="dxa"/>
            <w:vAlign w:val="bottom"/>
          </w:tcPr>
          <w:p>
            <w:pPr>
              <w:spacing w:after="0"/>
              <w:rPr>
                <w:sz w:val="14"/>
                <w:szCs w:val="14"/>
                <w:color w:val="auto"/>
              </w:rPr>
            </w:pPr>
          </w:p>
        </w:tc>
        <w:tc>
          <w:tcPr>
            <w:tcW w:w="8560" w:type="dxa"/>
            <w:vAlign w:val="bottom"/>
          </w:tcPr>
          <w:p>
            <w:pPr>
              <w:ind w:left="540"/>
              <w:spacing w:after="0" w:line="162" w:lineRule="exact"/>
              <w:rPr>
                <w:sz w:val="20"/>
                <w:szCs w:val="20"/>
                <w:color w:val="auto"/>
              </w:rPr>
            </w:pPr>
            <w:r>
              <w:rPr>
                <w:rFonts w:ascii="Arial" w:cs="Arial" w:eastAsia="Arial" w:hAnsi="Arial"/>
                <w:sz w:val="17"/>
                <w:szCs w:val="17"/>
                <w:color w:val="auto"/>
                <w:w w:val="96"/>
              </w:rPr>
              <w:t>and receive a share of production and requires the owner to pay a share of the costs of drilling and production</w:t>
            </w:r>
          </w:p>
        </w:tc>
      </w:tr>
      <w:tr>
        <w:trPr>
          <w:trHeight w:val="216"/>
        </w:trPr>
        <w:tc>
          <w:tcPr>
            <w:tcW w:w="26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7"/>
                <w:szCs w:val="17"/>
                <w:color w:val="auto"/>
              </w:rPr>
              <w:t>operations.</w:t>
            </w:r>
          </w:p>
        </w:tc>
      </w:tr>
      <w:tr>
        <w:trPr>
          <w:trHeight w:val="216"/>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85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3860" w:firstLine="3211"/>
        <w:spacing w:after="0" w:line="497" w:lineRule="auto"/>
        <w:rPr>
          <w:sz w:val="20"/>
          <w:szCs w:val="20"/>
          <w:color w:val="auto"/>
        </w:rPr>
      </w:pPr>
      <w:r>
        <w:rPr>
          <w:rFonts w:ascii="Arial" w:cs="Arial" w:eastAsia="Arial" w:hAnsi="Arial"/>
          <w:sz w:val="17"/>
          <w:szCs w:val="17"/>
          <w:b w:val="1"/>
          <w:bCs w:val="1"/>
          <w:color w:val="auto"/>
        </w:rPr>
        <w:t xml:space="preserve">GLOSSARY OF CERTAIN OTHER TERMS </w:t>
      </w:r>
      <w:r>
        <w:rPr>
          <w:rFonts w:ascii="Arial" w:cs="Arial" w:eastAsia="Arial" w:hAnsi="Arial"/>
          <w:sz w:val="17"/>
          <w:szCs w:val="17"/>
          <w:color w:val="auto"/>
        </w:rPr>
        <w:t>The following is a glossary of certain other terms that are used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ASU</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December 2019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Accounting Standards Codification.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Update.</w:t>
      </w:r>
    </w:p>
    <w:p>
      <w:pPr>
        <w:spacing w:after="0" w:line="3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Company’s 3.250% senior unsecured notes due 2026 and the Company’s 3.500% senior unsecured notes due 2029 issued under the IG Indenture and the related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-236855</wp:posOffset>
            </wp:positionV>
            <wp:extent cx="71323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00" w:space="720"/>
            <w:col w:w="8020"/>
          </w:cols>
          <w:pgMar w:left="320" w:top="122" w:right="33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Exchange Act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IG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Company’s Equity Incentive Plan.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Financial Accounting Standards Board.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Accounting principles generally accepted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The indenture, dated as of December 5, 2019, among the Company, the subsidiary guarantors party thereto and Wells Fargo, as the trustee, as supplemented by the supplemental indentures relating to the outstanding December 2019 Notes (defined above), the March 2021 Notes (defined below) and the March 2022 Notes (defined below).</w:t>
      </w:r>
    </w:p>
    <w:p>
      <w:pPr>
        <w:spacing w:after="0" w:line="10" w:lineRule="exact"/>
        <w:rPr>
          <w:sz w:val="20"/>
          <w:szCs w:val="20"/>
          <w:color w:val="auto"/>
        </w:rPr>
      </w:pPr>
    </w:p>
    <w:p>
      <w:pPr>
        <w:sectPr>
          <w:pgSz w:w="11900" w:h="16838" w:orient="portrait"/>
          <w:cols w:equalWidth="0" w:num="2">
            <w:col w:w="2500" w:space="720"/>
            <w:col w:w="80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9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The London interbank offered rate.</w:t>
            </w:r>
          </w:p>
        </w:tc>
      </w:tr>
      <w:tr>
        <w:trPr>
          <w:trHeight w:val="172"/>
        </w:trPr>
        <w:tc>
          <w:tcPr>
            <w:tcW w:w="2280" w:type="dxa"/>
            <w:vAlign w:val="bottom"/>
          </w:tcPr>
          <w:p>
            <w:pPr>
              <w:ind w:left="20"/>
              <w:spacing w:after="0" w:line="172" w:lineRule="exact"/>
              <w:rPr>
                <w:sz w:val="20"/>
                <w:szCs w:val="20"/>
                <w:color w:val="auto"/>
              </w:rPr>
            </w:pPr>
            <w:r>
              <w:rPr>
                <w:rFonts w:ascii="Arial" w:cs="Arial" w:eastAsia="Arial" w:hAnsi="Arial"/>
                <w:sz w:val="18"/>
                <w:szCs w:val="18"/>
                <w:color w:val="auto"/>
              </w:rPr>
              <w:t>March 2021 Notes</w:t>
            </w:r>
          </w:p>
        </w:tc>
        <w:tc>
          <w:tcPr>
            <w:tcW w:w="8960" w:type="dxa"/>
            <w:vAlign w:val="bottom"/>
          </w:tcPr>
          <w:p>
            <w:pPr>
              <w:ind w:left="940"/>
              <w:spacing w:after="0" w:line="172" w:lineRule="exact"/>
              <w:rPr>
                <w:sz w:val="20"/>
                <w:szCs w:val="20"/>
                <w:color w:val="auto"/>
              </w:rPr>
            </w:pPr>
            <w:r>
              <w:rPr>
                <w:rFonts w:ascii="Arial" w:cs="Arial" w:eastAsia="Arial" w:hAnsi="Arial"/>
                <w:sz w:val="17"/>
                <w:szCs w:val="17"/>
                <w:color w:val="auto"/>
                <w:w w:val="91"/>
              </w:rPr>
              <w:t>The Company’s 0.900% Senior Notes due 2023, the Company’s 3.125% Senior Notes due 2031 and the Company’s</w:t>
            </w:r>
          </w:p>
        </w:tc>
      </w:tr>
      <w:tr>
        <w:trPr>
          <w:trHeight w:val="216"/>
        </w:trPr>
        <w:tc>
          <w:tcPr>
            <w:tcW w:w="2280" w:type="dxa"/>
            <w:vAlign w:val="bottom"/>
          </w:tcPr>
          <w:p>
            <w:pPr>
              <w:spacing w:after="0"/>
              <w:rPr>
                <w:sz w:val="18"/>
                <w:szCs w:val="18"/>
                <w:color w:val="auto"/>
              </w:rPr>
            </w:pPr>
          </w:p>
        </w:tc>
        <w:tc>
          <w:tcPr>
            <w:tcW w:w="8960" w:type="dxa"/>
            <w:vAlign w:val="bottom"/>
          </w:tcPr>
          <w:p>
            <w:pPr>
              <w:ind w:left="940"/>
              <w:spacing w:after="0"/>
              <w:rPr>
                <w:sz w:val="20"/>
                <w:szCs w:val="20"/>
                <w:color w:val="auto"/>
              </w:rPr>
            </w:pPr>
            <w:r>
              <w:rPr>
                <w:rFonts w:ascii="Arial" w:cs="Arial" w:eastAsia="Arial" w:hAnsi="Arial"/>
                <w:sz w:val="17"/>
                <w:szCs w:val="17"/>
                <w:color w:val="auto"/>
                <w:w w:val="99"/>
              </w:rPr>
              <w:t>4.400% Senior Notes due 2051 issued under the IG Indenture and the related third supplemental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March 2022 Notes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NYMEX</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Rattler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Rattler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Viper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Viper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w:t>
      </w:r>
    </w:p>
    <w:p>
      <w:pPr>
        <w:spacing w:after="0" w:line="20" w:lineRule="exact"/>
        <w:rPr>
          <w:sz w:val="20"/>
          <w:szCs w:val="20"/>
          <w:color w:val="auto"/>
        </w:rPr>
      </w:pPr>
      <w:r>
        <w:rPr>
          <w:sz w:val="20"/>
          <w:szCs w:val="20"/>
          <w:color w:val="auto"/>
        </w:rPr>
        <w:br w:type="column"/>
      </w:r>
    </w:p>
    <w:p>
      <w:pPr>
        <w:ind w:right="20"/>
        <w:spacing w:after="0" w:line="223" w:lineRule="auto"/>
        <w:rPr>
          <w:sz w:val="20"/>
          <w:szCs w:val="20"/>
          <w:color w:val="auto"/>
        </w:rPr>
      </w:pPr>
      <w:r>
        <w:rPr>
          <w:rFonts w:ascii="Arial" w:cs="Arial" w:eastAsia="Arial" w:hAnsi="Arial"/>
          <w:sz w:val="17"/>
          <w:szCs w:val="17"/>
          <w:color w:val="auto"/>
        </w:rPr>
        <w:t>The Company’s 4.250% Senior Notes due 2052, issued under the IG Indenture and the related third supplemental indenture.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Mercantile Exchange.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Organization of the Petroleum Exporting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Rattler Midstream LP, a Delaware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Rattler Midstream Operating LLC, a Delaware limited liability company and a subsidiary of 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United States Securities and Exchange Commission.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December 2019 Notes, the March 2021 Notes and the March 2022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Viper Energy Partners LP, a Delaware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Viper Energy Partners LLC, a Delaware limited liability company and a subsidiary of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24130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500" w:space="720"/>
            <w:col w:w="8020"/>
          </w:cols>
          <w:pgMar w:left="320" w:top="122"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page55">
        <w:r>
          <w:rPr>
            <w:rFonts w:ascii="Arial" w:cs="Arial" w:eastAsia="Arial" w:hAnsi="Arial"/>
            <w:sz w:val="17"/>
            <w:szCs w:val="17"/>
            <w:u w:val="single" w:color="auto"/>
            <w:color w:val="0000FF"/>
          </w:rPr>
          <w:t>Part II, 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 this report and our </w:t>
      </w:r>
      <w:hyperlink r:id="rId2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39" w:lineRule="exact"/>
        <w:rPr>
          <w:sz w:val="20"/>
          <w:szCs w:val="20"/>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61" w:lineRule="exact"/>
        <w:rPr>
          <w:rFonts w:ascii="Arial" w:cs="Arial" w:eastAsia="Arial" w:hAnsi="Arial"/>
          <w:sz w:val="18"/>
          <w:szCs w:val="18"/>
          <w:color w:val="auto"/>
        </w:rPr>
      </w:pPr>
    </w:p>
    <w:p>
      <w:pPr>
        <w:ind w:left="1300" w:right="2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1" w:lineRule="exact"/>
        <w:rPr>
          <w:rFonts w:ascii="Arial" w:cs="Arial" w:eastAsia="Arial" w:hAnsi="Arial"/>
          <w:sz w:val="18"/>
          <w:szCs w:val="18"/>
          <w:color w:val="auto"/>
        </w:rPr>
      </w:pPr>
    </w:p>
    <w:p>
      <w:pPr>
        <w:ind w:left="1300" w:right="2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6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oilfield services;</w:t>
      </w:r>
    </w:p>
    <w:p>
      <w:pPr>
        <w:spacing w:after="0" w:line="90"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61" w:lineRule="exact"/>
        <w:rPr>
          <w:rFonts w:ascii="Arial" w:cs="Arial" w:eastAsia="Arial" w:hAnsi="Arial"/>
          <w:sz w:val="18"/>
          <w:szCs w:val="18"/>
          <w:color w:val="auto"/>
        </w:rPr>
      </w:pPr>
    </w:p>
    <w:p>
      <w:pPr>
        <w:ind w:left="1300" w:hanging="320"/>
        <w:spacing w:after="0" w:line="274"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39" w:lineRule="exact"/>
        <w:rPr>
          <w:rFonts w:ascii="Arial" w:cs="Arial" w:eastAsia="Arial" w:hAnsi="Arial"/>
          <w:sz w:val="17"/>
          <w:szCs w:val="17"/>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or disruption in, access to adequate and reliable transportation, processing, storage, and other facilities for our oil, natural gas, and natural gas liquids;</w:t>
      </w:r>
    </w:p>
    <w:p>
      <w:pPr>
        <w:spacing w:after="0" w:line="61" w:lineRule="exact"/>
        <w:rPr>
          <w:rFonts w:ascii="Arial" w:cs="Arial" w:eastAsia="Arial" w:hAnsi="Arial"/>
          <w:sz w:val="18"/>
          <w:szCs w:val="18"/>
          <w:color w:val="auto"/>
        </w:rPr>
      </w:pPr>
    </w:p>
    <w:p>
      <w:pPr>
        <w:ind w:left="1300" w:hanging="320"/>
        <w:spacing w:after="0" w:line="274"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obtaining necessary approvals and permits;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 and hedging contracts;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3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9"/>
        </w:trPr>
        <w:tc>
          <w:tcPr>
            <w:tcW w:w="8220" w:type="dxa"/>
            <w:vAlign w:val="bottom"/>
            <w:vMerge w:val="restart"/>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Joint interest and other,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220" w:type="dxa"/>
            <w:vAlign w:val="bottom"/>
          </w:tcPr>
          <w:p>
            <w:pPr>
              <w:ind w:left="680"/>
              <w:spacing w:after="0"/>
              <w:rPr>
                <w:sz w:val="20"/>
                <w:szCs w:val="20"/>
                <w:color w:val="auto"/>
              </w:rPr>
            </w:pPr>
            <w:r>
              <w:rPr>
                <w:rFonts w:ascii="Arial" w:cs="Arial" w:eastAsia="Arial" w:hAnsi="Arial"/>
                <w:sz w:val="18"/>
                <w:szCs w:val="18"/>
                <w:color w:val="auto"/>
              </w:rPr>
              <w:t>Oil and natural gas sales,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Oil and natural gas properties, full cost method of accounting ($8,512 million and $8,496 million excluded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32,914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amortization at March 31, 2022 and December 31, 2021,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Midstream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property, equipment and land</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Funds held in escrow</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Investment in real estate,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Revenues and royalties payable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$0.01 par value; 400,000,000 shares authorized; 177,550,589 and 177,551,347 shares issued</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and outstanding at March 31, 2022 and December 31, 2021, respectively</w:t>
            </w: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Diamondback Energy, Inc. stockholders’ equity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158"/>
        </w:trPr>
        <w:tc>
          <w:tcPr>
            <w:tcW w:w="8020" w:type="dxa"/>
            <w:vAlign w:val="bottom"/>
          </w:tcPr>
          <w:p>
            <w:pPr>
              <w:spacing w:after="0"/>
              <w:rPr>
                <w:sz w:val="13"/>
                <w:szCs w:val="13"/>
                <w:color w:val="auto"/>
              </w:rPr>
            </w:pPr>
          </w:p>
        </w:tc>
        <w:tc>
          <w:tcPr>
            <w:tcW w:w="3220" w:type="dxa"/>
            <w:vAlign w:val="bottom"/>
            <w:gridSpan w:val="5"/>
          </w:tcPr>
          <w:p>
            <w:pPr>
              <w:ind w:left="40"/>
              <w:spacing w:after="0" w:line="158" w:lineRule="exact"/>
              <w:rPr>
                <w:sz w:val="20"/>
                <w:szCs w:val="20"/>
                <w:color w:val="auto"/>
              </w:rPr>
            </w:pPr>
            <w:r>
              <w:rPr>
                <w:rFonts w:ascii="Arial" w:cs="Arial" w:eastAsia="Arial" w:hAnsi="Arial"/>
                <w:sz w:val="16"/>
                <w:szCs w:val="16"/>
                <w:b w:val="1"/>
                <w:bCs w:val="1"/>
                <w:color w:val="auto"/>
                <w:w w:val="89"/>
              </w:rPr>
              <w:t>(In millions, except per share amounts, shares</w:t>
            </w:r>
          </w:p>
        </w:tc>
      </w:tr>
      <w:tr>
        <w:trPr>
          <w:trHeight w:val="213"/>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Oil sales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31"/>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Natural gas liquid sales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services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operating expenses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Gathering and transportation</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Midstream services expense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1"/>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amortization and accretion</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1"/>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and integration expense</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8"/>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equity investments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2"/>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8"/>
        </w:trPr>
        <w:tc>
          <w:tcPr>
            <w:tcW w:w="802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1"/>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164,169</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178,555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164,926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 and issuance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Common units issued for acquisitions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 and issuance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3"/>
          </w:tcPr>
          <w:p>
            <w:pPr>
              <w:jc w:val="right"/>
              <w:ind w:right="676"/>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8"/>
                <w:szCs w:val="18"/>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1100" w:type="dxa"/>
            <w:vAlign w:val="bottom"/>
          </w:tcPr>
          <w:p>
            <w:pPr>
              <w:jc w:val="right"/>
              <w:ind w:right="91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1140" w:type="dxa"/>
            <w:vAlign w:val="bottom"/>
          </w:tcPr>
          <w:p>
            <w:pPr>
              <w:jc w:val="right"/>
              <w:ind w:right="936"/>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Adjustments to reconcile net income (loss) to net cash provided by (used in) operating activities: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Provision for (benefit from) deferred income taxes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Depreciation, depletion, amortization and accretion</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(Gain) loss on extinguishment of debt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derivative instruments, net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Cash received (paid) on settlement of derivative instruments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Equity-based compensation expense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tax receivable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Prepaid expenses and other</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7480" w:type="dxa"/>
            <w:vAlign w:val="bottom"/>
          </w:tcPr>
          <w:p>
            <w:pPr>
              <w:ind w:left="680"/>
              <w:spacing w:after="0"/>
              <w:rPr>
                <w:sz w:val="20"/>
                <w:szCs w:val="20"/>
                <w:color w:val="auto"/>
              </w:rPr>
            </w:pPr>
            <w:r>
              <w:rPr>
                <w:rFonts w:ascii="Arial" w:cs="Arial" w:eastAsia="Arial" w:hAnsi="Arial"/>
                <w:sz w:val="17"/>
                <w:szCs w:val="17"/>
                <w:color w:val="auto"/>
              </w:rPr>
              <w:t>Income tax payable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Revenues and royalties payable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196"/>
        </w:trPr>
        <w:tc>
          <w:tcPr>
            <w:tcW w:w="748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Drilling, completions and infrastructure additions to oil and natural gas properties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Additions to midstream assets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acquisitions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Proceeds from sale of assets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Contributions to equity method investments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Distributions from equity method investments</w:t>
            </w:r>
          </w:p>
        </w:tc>
        <w:tc>
          <w:tcPr>
            <w:tcW w:w="1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w:t>
            </w:r>
          </w:p>
        </w:tc>
      </w:tr>
      <w:tr>
        <w:trPr>
          <w:trHeight w:val="196"/>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Proceeds from borrowings under credit facilities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under credit facilities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Proceeds from senior notes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2,200</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 of senior notes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Proceeds from (repayments to) joint venture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Premium on extinguishment of debt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Repurchased shares under buyback program</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Repurchased units under buyback program</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Dividends to stockholders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Distributions to non-controlling interest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480" w:type="dxa"/>
            <w:vAlign w:val="bottom"/>
          </w:tcPr>
          <w:p>
            <w:pPr>
              <w:ind w:left="360"/>
              <w:spacing w:after="0"/>
              <w:rPr>
                <w:sz w:val="20"/>
                <w:szCs w:val="20"/>
                <w:color w:val="auto"/>
              </w:rPr>
            </w:pPr>
            <w:r>
              <w:rPr>
                <w:rFonts w:ascii="Arial" w:cs="Arial" w:eastAsia="Arial" w:hAnsi="Arial"/>
                <w:sz w:val="17"/>
                <w:szCs w:val="17"/>
                <w:color w:val="auto"/>
              </w:rPr>
              <w:t>Financing portion of net cash received (paid) for derivative instruments</w:t>
            </w:r>
          </w:p>
        </w:tc>
        <w:tc>
          <w:tcPr>
            <w:tcW w:w="1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34"/>
        </w:trPr>
        <w:tc>
          <w:tcPr>
            <w:tcW w:w="7480" w:type="dxa"/>
            <w:vAlign w:val="bottom"/>
            <w:tcBorders>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17"/>
                <w:szCs w:val="17"/>
                <w:color w:val="auto"/>
              </w:rPr>
              <w:t>Cash, cash equivalents and restricted cash at end of period</w:t>
            </w:r>
            <w:r>
              <w:rPr>
                <w:rFonts w:ascii="Arial" w:cs="Arial" w:eastAsia="Arial" w:hAnsi="Arial"/>
                <w:sz w:val="22"/>
                <w:szCs w:val="22"/>
                <w:color w:val="auto"/>
                <w:vertAlign w:val="superscript"/>
              </w:rPr>
              <w:t>(1)</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w:t>
      </w:r>
      <w:hyperlink w:anchor="page12">
        <w:r>
          <w:rPr>
            <w:rFonts w:ascii="Arial" w:cs="Arial" w:eastAsia="Arial" w:hAnsi="Arial"/>
            <w:sz w:val="16"/>
            <w:szCs w:val="16"/>
            <w:u w:val="single" w:color="auto"/>
            <w:color w:val="0000FF"/>
          </w:rPr>
          <w:t>Note 2—Summary of Significant Accounting Policies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40"/>
          </w:cols>
          <w:pgMar w:left="320" w:top="122" w:right="5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March 31, 2022, the wholly owned subsidiaries of Diamondback include Diamondback E&amp;P LLC (“Diamondback E&amp;P”), a Delaware limited liability company, Viper Energy Partners GP LLC, a Delaware limited liability company, Rattler Midstream GP LLC, a Delaware limited liability company, and QEP Resources, Inc. (“QEP”), a Delaware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Diamondback’s publicly traded subsidiaries Viper Energy Partners LP (“Viper”) and Rattler Midstream LP (“Rattler”) are consolidated in the Company’s financial statements. As of March 31, 2022, the Company owned approximately 55% of Viper’s total units outstanding. The Company’s wholly owned subsidiary, Viper Energy Partners GP LLC, is the general partner of Viper. As of March 31, 2022, the Company owned approximately 74%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2021, which contains a summary of the Company’s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and the effects of the COVID-19 pandemic. Such circumstances generally increase the uncertainty in the Company’s accounting estimates, particularly those involving financial forecasts.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acquired assets and liabilities assumed, fair value estimates of derivative instruments and estimates of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at the end of the period in the condensed consolidated statements of cash flows for the three months ended March 31, 2022 and 2021 to the line items within the condensed 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funds held in escrow</w:t>
            </w:r>
          </w:p>
        </w:tc>
        <w:tc>
          <w:tcPr>
            <w:tcW w:w="10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140" w:type="dxa"/>
            <w:vAlign w:val="bottom"/>
          </w:tcPr>
          <w:p>
            <w:pPr>
              <w:ind w:left="30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w:t>
            </w:r>
          </w:p>
        </w:tc>
      </w:tr>
      <w:tr>
        <w:trPr>
          <w:trHeight w:val="21"/>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2022</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3"/>
                <w:szCs w:val="13"/>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Acquisition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18, 2022, the Company acquired, from an unrelated third-party seller, approximately 6,200 net acres in the Delaware Basin for $232 million in cash, including customary post-closing adjustments. The acquisition was funded through cash on hand.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26, 2021, the Company completed its acquisition of all leasehold interests and related assets of Guidon Operating LLC (the “Guidon Acquisition”) which include approximately 32,500 net acres in the Northern Midland Basin in exchange for 10.68 million shares of the Company’s common stock and $375 million of cash. The cash portion of this transaction was funded through a combination of cash on hand and borrowings under the Company’s credit facility. As a result of the Guidon Acquisition, the Company added approximately 210 gross producing wells.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Guidon Acquisition has been accounted for as a business combination using the acquisition method. The following table represents the allocation of the total purchase price paid in the Guidon Acquisition to the identifiable assets acquired based on the fair values at the acquisition date. The purchase price allocation was complete as of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7980" w:type="dxa"/>
            <w:vAlign w:val="bottom"/>
          </w:tcPr>
          <w:p>
            <w:pPr>
              <w:jc w:val="center"/>
              <w:ind w:left="1150"/>
              <w:spacing w:after="0" w:line="205" w:lineRule="exact"/>
              <w:rPr>
                <w:sz w:val="20"/>
                <w:szCs w:val="20"/>
                <w:color w:val="auto"/>
              </w:rPr>
            </w:pPr>
            <w:r>
              <w:rPr>
                <w:rFonts w:ascii="Arial" w:cs="Arial" w:eastAsia="Arial" w:hAnsi="Arial"/>
                <w:sz w:val="18"/>
                <w:szCs w:val="18"/>
                <w:b w:val="1"/>
                <w:bCs w:val="1"/>
                <w:color w:val="auto"/>
                <w:w w:val="90"/>
              </w:rPr>
              <w:t>Diamondback Energy, Inc. and Subsidiaries</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Condensed Notes to Consolidated Financial Statements - (Continued)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21"/>
        </w:trPr>
        <w:tc>
          <w:tcPr>
            <w:tcW w:w="9000" w:type="dxa"/>
            <w:vAlign w:val="bottom"/>
            <w:gridSpan w:val="2"/>
          </w:tcPr>
          <w:p>
            <w:pPr>
              <w:ind w:left="660"/>
              <w:spacing w:after="0"/>
              <w:rPr>
                <w:sz w:val="20"/>
                <w:szCs w:val="20"/>
                <w:color w:val="auto"/>
              </w:rPr>
            </w:pPr>
            <w:r>
              <w:rPr>
                <w:rFonts w:ascii="Arial" w:cs="Arial" w:eastAsia="Arial" w:hAnsi="Arial"/>
                <w:sz w:val="18"/>
                <w:szCs w:val="18"/>
                <w:color w:val="auto"/>
              </w:rPr>
              <w:t>The following table sets forth the Company’s purchase price allocation (in millions):</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900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9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0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9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10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condensed consolidated statements of operations and include $28 million of total revenue and $16 million of net income for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14"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55"/>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15"/>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695"/>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83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ind w:left="1385" w:hanging="1385"/>
        <w:spacing w:after="0"/>
        <w:tabs>
          <w:tab w:leader="none" w:pos="1385" w:val="left"/>
        </w:tabs>
        <w:numPr>
          <w:ilvl w:val="0"/>
          <w:numId w:val="6"/>
        </w:numPr>
        <w:rPr>
          <w:rFonts w:ascii="Arial" w:cs="Arial" w:eastAsia="Arial" w:hAnsi="Arial"/>
          <w:sz w:val="15"/>
          <w:szCs w:val="15"/>
          <w:color w:val="auto"/>
        </w:rPr>
      </w:pP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1" w:lineRule="exact"/>
        <w:rPr>
          <w:sz w:val="20"/>
          <w:szCs w:val="20"/>
          <w:color w:val="auto"/>
        </w:rPr>
      </w:pPr>
    </w:p>
    <w:p>
      <w:pPr>
        <w:ind w:left="5"/>
        <w:spacing w:after="0"/>
        <w:tabs>
          <w:tab w:leader="none" w:pos="1485"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1183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795" w:lineRule="exact"/>
        <w:rPr>
          <w:sz w:val="20"/>
          <w:szCs w:val="20"/>
          <w:color w:val="auto"/>
        </w:rPr>
      </w:pPr>
    </w:p>
    <w:p>
      <w:pPr>
        <w:sectPr>
          <w:pgSz w:w="11900" w:h="16838" w:orient="portrait"/>
          <w:cols w:equalWidth="0" w:num="2">
            <w:col w:w="8675" w:space="720"/>
            <w:col w:w="1845"/>
          </w:cols>
          <w:pgMar w:left="320" w:top="114" w:right="339" w:bottom="1440" w:gutter="0" w:footer="0" w:header="0"/>
          <w:type w:val="continuous"/>
        </w:sectPr>
      </w:pPr>
    </w:p>
    <w:p>
      <w:pPr>
        <w:spacing w:after="0" w:line="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The purchase price allocation was complete as of the first quarter of 2022.</w:t>
      </w:r>
    </w:p>
    <w:p>
      <w:pPr>
        <w:sectPr>
          <w:pgSz w:w="11900" w:h="16838" w:orient="portrait"/>
          <w:cols w:equalWidth="0" w:num="1">
            <w:col w:w="112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7980" w:type="dxa"/>
            <w:vAlign w:val="bottom"/>
          </w:tcPr>
          <w:p>
            <w:pPr>
              <w:jc w:val="center"/>
              <w:ind w:left="1150"/>
              <w:spacing w:after="0" w:line="205" w:lineRule="exact"/>
              <w:rPr>
                <w:sz w:val="20"/>
                <w:szCs w:val="20"/>
                <w:color w:val="auto"/>
              </w:rPr>
            </w:pPr>
            <w:r>
              <w:rPr>
                <w:rFonts w:ascii="Arial" w:cs="Arial" w:eastAsia="Arial" w:hAnsi="Arial"/>
                <w:sz w:val="18"/>
                <w:szCs w:val="18"/>
                <w:b w:val="1"/>
                <w:bCs w:val="1"/>
                <w:color w:val="auto"/>
                <w:w w:val="90"/>
              </w:rPr>
              <w:t>Diamondback Energy, Inc. and Subsidiaries</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Condensed Notes to Consolidated Financial Statements - (Continued)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21"/>
        </w:trPr>
        <w:tc>
          <w:tcPr>
            <w:tcW w:w="9000" w:type="dxa"/>
            <w:vAlign w:val="bottom"/>
            <w:gridSpan w:val="2"/>
          </w:tcPr>
          <w:p>
            <w:pPr>
              <w:ind w:left="660"/>
              <w:spacing w:after="0"/>
              <w:rPr>
                <w:sz w:val="20"/>
                <w:szCs w:val="20"/>
                <w:color w:val="auto"/>
              </w:rPr>
            </w:pPr>
            <w:r>
              <w:rPr>
                <w:rFonts w:ascii="Arial" w:cs="Arial" w:eastAsia="Arial" w:hAnsi="Arial"/>
                <w:sz w:val="18"/>
                <w:szCs w:val="18"/>
                <w:color w:val="auto"/>
              </w:rPr>
              <w:t>The following table sets forth the Company’s purchase price allocation (in millions):</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900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9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90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197"/>
        </w:trPr>
        <w:tc>
          <w:tcPr>
            <w:tcW w:w="102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4"/>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1"/>
        </w:trPr>
        <w:tc>
          <w:tcPr>
            <w:tcW w:w="10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purchase price allocation above is based on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QEP Merger, the Company acquired proved properties of $2.0 billion and unproved properties of $733 million, primarily in the Midland Basin and the Williston Basin. In October 2021, the Company completed the divestiture of the Williston Basin properties, acquired as part of the QEP Merger and consisting of approximately 95,000 net acres, to Oasis Petroleum Inc. for net cash proceeds of approximately $586 million, after customary closing adjustments. See “—Williston Basin Divestiture” below.</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results of operations attributable to the QEP Merger since the acquisition date have been included in the condensed consolidated statements of operations and include $54 million of total revenue and $23 million of net income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unaudited summary pro forma financial information for the three months ended March 31, 2021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for the QEP Merger and the Guidon Acquisition of approximately $75 million for the three months ended March 31, 2021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9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4"/>
              </w:rPr>
              <w:t>March 31, 2021</w:t>
            </w:r>
          </w:p>
        </w:tc>
      </w:tr>
      <w:tr>
        <w:trPr>
          <w:trHeight w:val="158"/>
        </w:trPr>
        <w:tc>
          <w:tcPr>
            <w:tcW w:w="9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34"/>
              <w:spacing w:after="0" w:line="158" w:lineRule="exact"/>
              <w:rPr>
                <w:sz w:val="20"/>
                <w:szCs w:val="20"/>
                <w:color w:val="auto"/>
              </w:rPr>
            </w:pPr>
            <w:r>
              <w:rPr>
                <w:rFonts w:ascii="Arial" w:cs="Arial" w:eastAsia="Arial" w:hAnsi="Arial"/>
                <w:sz w:val="16"/>
                <w:szCs w:val="16"/>
                <w:b w:val="1"/>
                <w:bCs w:val="1"/>
                <w:color w:val="auto"/>
                <w:w w:val="92"/>
              </w:rPr>
              <w:t>(In millions, except per</w:t>
            </w:r>
          </w:p>
        </w:tc>
      </w:tr>
      <w:tr>
        <w:trPr>
          <w:trHeight w:val="213"/>
        </w:trPr>
        <w:tc>
          <w:tcPr>
            <w:tcW w:w="9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share amounts)</w:t>
            </w:r>
          </w:p>
        </w:tc>
      </w:tr>
      <w:tr>
        <w:trPr>
          <w:trHeight w:val="232"/>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Divestiture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Drop Down Transaction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1, 2021, Diamondback completed the sale of certain water midstream assets to Rattler in exchange for cash proceeds of approximately $164 million, including post-closing adjustments, in a drop down transaction (the “Drop Down”).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$164 million. The Company and Rattler have also mutually agreed to amend their commercial agreements covering produced water gathering and disposal and sourced water gathering services to add certain Diamondback leasehold acreage to Rattler’s dedication. The Drop Down transaction was accounted for as a transaction between entities under common control.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Swallowtail Acquisition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Viper acquired certain mineral and royalty interests from the Swallowtail entities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The Swallowtail Acquisition had an effective date of August 1, 2021. The cash portion of this transaction was funded through a combination of Viper’s cash on hand and approximately $190 million of borrowings under Viper LLC’s revolving credit facility.</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7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25,133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24,418</w:t>
            </w: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32,914</w:t>
            </w: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29"/>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19,526</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 and impairment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three months ended March 31, 2022 or 2021 based on the results of the respective quarterly ceiling tests.</w:t>
      </w:r>
    </w:p>
    <w:p>
      <w:pPr>
        <w:spacing w:after="0" w:line="19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w:t>
            </w:r>
          </w:p>
        </w:tc>
      </w:tr>
      <w:tr>
        <w:trPr>
          <w:trHeight w:val="229"/>
        </w:trPr>
        <w:tc>
          <w:tcPr>
            <w:tcW w:w="8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current portion of the asset retirement obligation is included in other accrued liabilities in the Company’s condensed consolidated balance sheets.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2021</w:t>
            </w:r>
          </w:p>
        </w:tc>
      </w:t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Medium-term Notes, Series A, due 2022</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4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5.625%</w:t>
            </w:r>
          </w:p>
        </w:tc>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Medium-term Notes, Series B, due 2028</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3.125%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2031</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4.400%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2051</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2052</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(3)</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Fair value of interest rate swap agreements</w:t>
            </w:r>
            <w:r>
              <w:rPr>
                <w:rFonts w:ascii="Arial" w:cs="Arial" w:eastAsia="Arial" w:hAnsi="Arial"/>
                <w:sz w:val="23"/>
                <w:szCs w:val="23"/>
                <w:color w:val="auto"/>
                <w:vertAlign w:val="superscript"/>
              </w:rPr>
              <w:t>(4)</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4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420" w:type="dxa"/>
            <w:vAlign w:val="bottom"/>
            <w:tcBorders>
              <w:bottom w:val="single" w:sz="8" w:color="auto"/>
            </w:tcBorders>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effective time of the QEP Merger, QEP became a wholly owned subsidiary of the Company and remained the issuer of these senior notes.</w:t>
      </w:r>
    </w:p>
    <w:p>
      <w:pPr>
        <w:spacing w:after="0" w:line="46" w:lineRule="exact"/>
        <w:rPr>
          <w:rFonts w:ascii="Arial" w:cs="Arial" w:eastAsia="Arial" w:hAnsi="Arial"/>
          <w:sz w:val="16"/>
          <w:szCs w:val="16"/>
          <w:color w:val="auto"/>
        </w:rPr>
      </w:pPr>
    </w:p>
    <w:p>
      <w:pPr>
        <w:ind w:left="340" w:hanging="332"/>
        <w:spacing w:after="0" w:line="250" w:lineRule="auto"/>
        <w:tabs>
          <w:tab w:leader="none" w:pos="4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2018, Energen became the Company’s wholly owned subsidiary and remained the issuer of these senior notes. In connection with the E&amp;P Merger, Diamondback E&amp;P became the successor issuer under the indenture.</w:t>
      </w:r>
    </w:p>
    <w:p>
      <w:pPr>
        <w:jc w:val="both"/>
        <w:ind w:left="340" w:right="20" w:hanging="332"/>
        <w:spacing w:after="0" w:line="250" w:lineRule="auto"/>
        <w:tabs>
          <w:tab w:leader="none" w:pos="5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entered into a participation and development agreement (the “DrillCo Agreement”), dated September 10, 2018, with Obsidian Resources, L.L.C. (“CEMOF”) to fund oil and natural gas development. As of March 31, 2022, the amount due to CEMOF related to this alliance was $64 million. As of March 31, 2022, 20 joint wells under this agreement have been drilled and completed.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459" w:val="left"/>
        </w:tabs>
        <w:numPr>
          <w:ilvl w:val="0"/>
          <w:numId w:val="8"/>
        </w:numPr>
        <w:rPr>
          <w:rFonts w:ascii="Arial" w:cs="Arial" w:eastAsia="Arial" w:hAnsi="Arial"/>
          <w:sz w:val="18"/>
          <w:szCs w:val="18"/>
          <w:color w:val="0000FF"/>
        </w:rPr>
      </w:pPr>
      <w:r>
        <w:rPr>
          <w:rFonts w:ascii="Arial" w:cs="Arial" w:eastAsia="Arial" w:hAnsi="Arial"/>
          <w:sz w:val="18"/>
          <w:szCs w:val="18"/>
          <w:color w:val="auto"/>
        </w:rPr>
        <w:t xml:space="preserve">The Company has two interest rate swap agreements in place on the Company’s $1.2 billion 3.500% fixed rate senior notes due 2029. See Note 11— </w:t>
      </w:r>
      <w:hyperlink w:anchor="page25">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information on the Company’s interest rate swaps designated as fair value hedges.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2022, Diamondback E&amp;P, as borrower, and Diamondback Energy, Inc., as parent guarantor, have a credit agreement, as amended, which provides for a maximum credit amount available of $1.6 billion which was fully available for future borrowings, except for an aggregate of $3 million in outstanding letters of credit, which reduce available borrowings under the credit agreement on a dollar for dollar basis. There were no borrowings under the credit agreement during the three months ended March 31, 2022. During the three months ended March 31, 2021, the weighted average interest rate on borrowings under the credit agreement was 1.65%.</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the Company was in compliance with all financial maintenance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2022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2022, Diamondback Energy, Inc. issued $750 million aggregate principal amount of 4.250% Senior Notes due March 15, 2052 (the “March 2022 Notes”) and received net proceeds of $739 million, after deducting debt issuance costs and discounts of $11 million and underwriting discounts and offering expenses. Interest on the March 2022 Notes is payable semi-annually on March 15 and September 15 of each year, beginning on September 15, 2022.</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March 2022 Notes are the Company’s senior unsecured obligations and are fully and unconditionally guaranteed by Diamondback E&amp;P. The March 2022 Notes are senior in right of payment to any of the Company’s future subordinated indebtedness and rank equal in right of payment with all of the Company’s existing and future senior indebtedness.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may redeem the March 2022 Notes in whole or in part at any time prior to September 15, 2051 at the redemption price set forth in the fifth supplemental indenture to the IG Indenture.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Redemptions of Notes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18, 2022, the Company redeemed the aggregate $500 million principal amount of its outstanding 4.750% 2025 Senior Notes for total cash consideration of $540 million, including a make-whole premium of $33 million, which resulted in a loss on extinguishment of debt during the three months ended March 31, 2022 of $35 million. The Company funded the redemption with a portion of the net proceeds from the March 2022 Notes offering.</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23, 2022, the Company redeemed the aggregate $1.0 billion principal amount of its outstanding 2.875% 2024 Senior Notes for total cash consideration of $1.0 billion, including a make-whole premium of $14 million, which resulted in a loss on extinguishment of debt during the three months ended March 31, 2022 of $19 million. The Company funded the redemption with the remaining proceeds from the March 2022 Notes offering and cash on hand.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Viper LLC’s credit agreement, as amended, provides for a revolving credit facility in the maximum credit amount of $2.0 billion with a borrowing base of $580 million based on Viper LLC’s oil and natural gas reserves and other factors. The borrowing base is scheduled to be redetermined semi-annually in May and November. As of March 31, 2022, the elected commitment amount was $500 million with $248 million of outstanding borrowings and $252 million available for future borrowings. During the three months ended March 31, 2022 and 2021, the weighted average interest rate on borrowings under the Viper credit agreement was 2.58% and 1.88%, respectively. The Viper credit agreement will mature on June 2, 2025. As of March 31, 2022, Viper LLC was in compliance with all financial maintenance covenants under the Viper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Rattler LLC’s credit agreement, as amended, provides for a revolving credit facility in the maximum credit amount of $600 million, which is expandable to $1.0 billion upon Rattler’s election, subject to obtaining additional lender commitments and satisfaction of customary conditions. As of March 31, 2022, Rattler LLC had $230 million of outstanding borrowings and $370 million available for future borrowings under the Rattler credit agreement. During the three months ended March 31, 2022 and 2021, the weighted average interest rate on borrowings under the Rattler credit agreement was, in each case, 1.40%. The revolving credit facility will mature on May 28, 2024. As of March 31, 2022, Rattler LLC was in compliance with all financial maintenance covenants under the Rattler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STOCKHOLDERS’ EQUITY AND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2021, the Company’s board of directors approved a stock repurchase program to acquire up to $2 billion of the Company’s outstanding common stock.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2022, the Company repurchased approximately $7 million of common stock under this repurchase program. As of March 31, 2022, approximately $1.6 billion remained available for use to repurchase shares under the Company’s common stock repurchase program.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in the accompanying condensed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2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6"/>
                <w:szCs w:val="16"/>
                <w:b w:val="1"/>
                <w:bCs w:val="1"/>
                <w:color w:val="auto"/>
                <w:w w:val="93"/>
              </w:rPr>
              <w:t>Three Months Ended March 31,</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center"/>
              <w:ind w:right="533"/>
              <w:spacing w:after="0"/>
              <w:rPr>
                <w:sz w:val="20"/>
                <w:szCs w:val="20"/>
                <w:color w:val="auto"/>
              </w:rPr>
            </w:pPr>
            <w:r>
              <w:rPr>
                <w:rFonts w:ascii="Arial" w:cs="Arial" w:eastAsia="Arial" w:hAnsi="Arial"/>
                <w:sz w:val="16"/>
                <w:szCs w:val="16"/>
                <w:b w:val="1"/>
                <w:bCs w:val="1"/>
                <w:color w:val="auto"/>
                <w:w w:val="95"/>
              </w:rPr>
              <w:t>(In millions)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8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Change from net income (loss) attributable to the Company's stockholders and transfers to non-controlling</w:t>
            </w: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216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158"/>
        </w:trPr>
        <w:tc>
          <w:tcPr>
            <w:tcW w:w="8280" w:type="dxa"/>
            <w:vAlign w:val="bottom"/>
          </w:tcPr>
          <w:p>
            <w:pPr>
              <w:spacing w:after="0"/>
              <w:rPr>
                <w:sz w:val="13"/>
                <w:szCs w:val="13"/>
                <w:color w:val="auto"/>
              </w:rPr>
            </w:pPr>
          </w:p>
        </w:tc>
        <w:tc>
          <w:tcPr>
            <w:tcW w:w="296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90"/>
              </w:rPr>
              <w:t>($ in millions, except per share amounts,</w:t>
            </w:r>
          </w:p>
        </w:tc>
      </w:tr>
      <w:tr>
        <w:trPr>
          <w:trHeight w:val="213"/>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6"/>
              </w:rPr>
              <w:t>shares in thousands)</w:t>
            </w:r>
          </w:p>
        </w:tc>
      </w:tr>
      <w:tr>
        <w:trPr>
          <w:trHeight w:val="232"/>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164,169</w:t>
            </w: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Potential common shares issuable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3"/>
        </w:trPr>
        <w:tc>
          <w:tcPr>
            <w:tcW w:w="828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164,926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66" w:lineRule="exact"/>
        <w:rPr>
          <w:sz w:val="20"/>
          <w:szCs w:val="20"/>
          <w:color w:val="auto"/>
        </w:rPr>
      </w:pPr>
    </w:p>
    <w:p>
      <w:pPr>
        <w:jc w:val="both"/>
        <w:ind w:left="340" w:hanging="332"/>
        <w:spacing w:after="0" w:line="259" w:lineRule="auto"/>
        <w:tabs>
          <w:tab w:leader="none" w:pos="46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three months ended March 31, 2022, there were no potential common shares excluded from the computation of diluted earnings per share because their inclusion would have been anti-dilutive under the treasury stock method. For the three months ended March 31, 2021, 241,091 potential common shares were excluded from the computation of diluted earnings per share because their inclusion would have been anti-dilutive under the treasury stock method.</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March 31, 2022, the Company had 5.1 million shares of common stock available for future grants.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March 31, 2022, the Company had outstanding restricted stock units and performance-based restricted stock units under the Equity Plan. The Company also has immaterial amounts of restricted share awards, stock options and stock appreciation rights outstanding which were issued under plans assumed in connection with previously completed mergers. The Company classifies these as equity-based awards and estimates the fair values of restricted stock awards and units as the closing price of the Company’s common stock on the grant date of the award, which is expensed over the applicable vesting period. The Company values its stock options using a Black-Scholes option valuation model.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Equity Plan, Viper and Rattler maintain their own long-term incentive plans which are not significant to the Company.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financial statement impacts of the equity compensation plans and related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2"/>
          </w:tcPr>
          <w:p>
            <w:pPr>
              <w:jc w:val="right"/>
              <w:ind w:right="653"/>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9"/>
              </w:rPr>
              <w:t>Equity-based compensation capitalized pursuant to full cost method of accounting for oil and natural gas</w:t>
            </w:r>
          </w:p>
        </w:tc>
        <w:tc>
          <w:tcPr>
            <w:tcW w:w="980" w:type="dxa"/>
            <w:vAlign w:val="bottom"/>
            <w:vMerge w:val="restart"/>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ind w:right="13"/>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jc w:val="right"/>
              <w:ind w:right="913"/>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98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 activity during the three months ended March 31, 2022 under the Equity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29"/>
        </w:trPr>
        <w:tc>
          <w:tcPr>
            <w:tcW w:w="7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309,535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131.72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three months ended March 31, 2022 was $14 million. As of March 31, 2022, the Company’s unrecognized compensation cost related to unvested restricted stock units was $81 million, which is expected to be recognized over a weighted-average period of 2.2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three months ended March 31,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1"/>
              </w:rPr>
              <w:t>Performance Restricted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Weighted Average</w:t>
            </w:r>
          </w:p>
        </w:tc>
      </w:tr>
      <w:tr>
        <w:trPr>
          <w:trHeight w:val="213"/>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Grant-Date Fair Value</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237.13</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March 31, 2022</w:t>
            </w:r>
            <w:r>
              <w:rPr>
                <w:rFonts w:ascii="Arial" w:cs="Arial" w:eastAsia="Arial" w:hAnsi="Arial"/>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583,364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1,408,973 units could be awarded based upon the Company’s final TSR ranking.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2022, the Company’s unrecognized compensation cost related to unvested performance based restricted stock awards and units was $52 million, which is expected to be recognized over a weighted-average period of 1.9 years.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2022, eligible employees received performance restricted stock unit awards totaling 126,905 units from which a minimum of 0% and a maximum of 200% of the units could be awarded based upon the measurement of total stockholder return of the Company’s common stock as compared to a designated peer group during the 3-year performance period of January 1, 2022 to December 31, 2024 and cliff vest at December 31, 2024 subject to continued employment. The initial payout of the March 2022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2022</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237.13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effective income tax rates were 21.6% and 22.6% for the three months ended March 31, 2022 and 2021, respectively. Total income tax expense from continuing operations for the three months ended March 31, 2022 and 2021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due to pre-tax income for the period. As of March 31, 2022 and 2021, Viper maintained a valuation allowance against its deferred tax assets, based on its assessment of all available evidence, both positive and negative, supporting realizability of Viper’s deferred tax assets.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March 31, 2022 and 2021, the Company’s items of discrete income tax expense or benefit were not material.</w:t>
      </w:r>
    </w:p>
    <w:p>
      <w:pPr>
        <w:spacing w:after="0" w:line="2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17, 2021, the Company completed its acquisition of QEP. For federal income tax purposes, the transaction qualified as a nontaxable merger whereby the Company acquired carryover tax basis in QEP’s assets and liabilities. As of March 31, 2022, the Company’s opening balance sheet net deferred tax asset was $39 million, primarily consisting of deferred tax assets related to tax attributes acquired from QEP, partially offset by a valuation allowance, and deferred tax liabilities resulting from the excess of financial reporting carrying value over tax basis of oil and natural gas properties and other assets acquired from QEP. The acquired income tax attributes, including federal net operating loss and credit carryforwards, are subject to an annual limitation under Internal Revenue Code Section 382. The Company has considered the positive and negative evidence regarding realizability of these federal tax attributes including taxable income in prior carryback years, the annual limitation imposed by Section 382, and the anticipated timing of reversal of its deferred tax liabilities, resulting in a valuation allowance on the portion of QEP’s federal tax attributes estimated not more likely than not to be realized prior to expiration. In addition, acquired tax attributes include state net operating loss carryforwards for which a valuation allowance has been provided, since the Company does not believe the state net operating losses are more likely than not to be realized based on its assessment of anticipated future operations in those states.</w:t>
      </w:r>
    </w:p>
    <w:p>
      <w:pPr>
        <w:spacing w:after="0" w:line="20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2022, the Company has commodity derivative contracts and receive-fixed, pay-variable interest rate hedges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has entered into commodity derivative instruments only with counterparties that are also lenders under its credit facility and have been deemed an acceptable credit risk. As such, the Company does not require collateral from its counterparties.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certain commodity derivative contracts that contained an other-than-insignificant financing element at inception during 2021 and, therefore, the cash receipts were classified as cash flows from financing activities in the condensed consolidated statements of cash flow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As of March 31, 2022, the Company had the following outstanding commodity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tcBorders>
              <w:bottom w:val="single" w:sz="8" w:color="auto"/>
            </w:tcBorders>
            <w:gridSpan w:val="2"/>
          </w:tcPr>
          <w:p>
            <w:pPr>
              <w:ind w:left="960"/>
              <w:spacing w:after="0"/>
              <w:rPr>
                <w:sz w:val="20"/>
                <w:szCs w:val="20"/>
                <w:color w:val="auto"/>
              </w:rPr>
            </w:pPr>
            <w:r>
              <w:rPr>
                <w:rFonts w:ascii="Arial" w:cs="Arial" w:eastAsia="Arial" w:hAnsi="Arial"/>
                <w:sz w:val="15"/>
                <w:szCs w:val="15"/>
                <w:b w:val="1"/>
                <w:bCs w:val="1"/>
                <w:color w:val="auto"/>
              </w:rPr>
              <w:t>Swaps</w:t>
            </w:r>
          </w:p>
        </w:tc>
        <w:tc>
          <w:tcPr>
            <w:tcW w:w="210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b w:val="1"/>
                <w:bCs w:val="1"/>
                <w:color w:val="auto"/>
              </w:rPr>
              <w:t>Collars</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Bbls/MMBtu</w:t>
            </w:r>
          </w:p>
        </w:tc>
        <w:tc>
          <w:tcPr>
            <w:tcW w:w="16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Settlement Month</w:t>
            </w:r>
          </w:p>
        </w:tc>
        <w:tc>
          <w:tcPr>
            <w:tcW w:w="1220" w:type="dxa"/>
            <w:vAlign w:val="bottom"/>
            <w:vMerge w:val="restart"/>
          </w:tcPr>
          <w:p>
            <w:pPr>
              <w:jc w:val="center"/>
              <w:ind w:right="19"/>
              <w:spacing w:after="0"/>
              <w:rPr>
                <w:sz w:val="20"/>
                <w:szCs w:val="20"/>
                <w:color w:val="auto"/>
              </w:rPr>
            </w:pPr>
            <w:r>
              <w:rPr>
                <w:rFonts w:ascii="Arial" w:cs="Arial" w:eastAsia="Arial" w:hAnsi="Arial"/>
                <w:sz w:val="15"/>
                <w:szCs w:val="15"/>
                <w:b w:val="1"/>
                <w:bCs w:val="1"/>
                <w:color w:val="auto"/>
                <w:w w:val="91"/>
              </w:rPr>
              <w:t>Settlement Year</w:t>
            </w:r>
          </w:p>
        </w:tc>
        <w:tc>
          <w:tcPr>
            <w:tcW w:w="14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200" w:type="dxa"/>
            <w:vAlign w:val="bottom"/>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Index</w:t>
            </w: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11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Fixed</w:t>
            </w:r>
          </w:p>
        </w:tc>
        <w:tc>
          <w:tcPr>
            <w:tcW w:w="10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Floor</w:t>
            </w: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200"/>
        </w:trPr>
        <w:tc>
          <w:tcPr>
            <w:tcW w:w="12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Per Day</w:t>
            </w:r>
          </w:p>
        </w:tc>
        <w:tc>
          <w:tcPr>
            <w:tcW w:w="16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Differential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Ceiling Price</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1,000</w:t>
            </w:r>
          </w:p>
        </w:tc>
        <w:tc>
          <w:tcPr>
            <w:tcW w:w="168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$45.00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13,900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$67.54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17,000</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$0.66</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$0.84</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94"/>
              </w:rPr>
              <w:t>Apr.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Roll Swap</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55,000</w:t>
            </w:r>
          </w:p>
        </w:tc>
        <w:tc>
          <w:tcPr>
            <w:tcW w:w="168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$0.89</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$80.44</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24,000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$46.67</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$77.49</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$47.50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$75.25</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4,000</w:t>
            </w:r>
          </w:p>
        </w:tc>
        <w:tc>
          <w:tcPr>
            <w:tcW w:w="168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$92.65</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July - Sep.</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$53.95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$98.59</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11,000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$89.28</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$128.01</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94"/>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$55.00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$103.06</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$95.55</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85"/>
              </w:rPr>
              <w:t>Jan.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6,000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$114.57</w:t>
            </w:r>
          </w:p>
        </w:tc>
        <w:tc>
          <w:tcPr>
            <w:tcW w:w="0" w:type="dxa"/>
            <w:vAlign w:val="bottom"/>
          </w:tcPr>
          <w:p>
            <w:pPr>
              <w:spacing w:after="0"/>
              <w:rPr>
                <w:sz w:val="1"/>
                <w:szCs w:val="1"/>
                <w:color w:val="auto"/>
              </w:rPr>
            </w:pPr>
          </w:p>
        </w:tc>
      </w:tr>
      <w:tr>
        <w:trPr>
          <w:trHeight w:val="205"/>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NATURAL GAS</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230,000</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$(0.36)</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$5.20</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6"/>
                <w:szCs w:val="16"/>
                <w:color w:val="auto"/>
                <w:w w:val="95"/>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330,000</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$(0.68)</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$2.79</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$6.24</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6"/>
                <w:szCs w:val="16"/>
                <w:color w:val="auto"/>
                <w:w w:val="85"/>
              </w:rPr>
              <w:t>Jan.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270,000</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$(1.12)</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 - Mar.</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$7.59</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Arial" w:cs="Arial" w:eastAsia="Arial" w:hAnsi="Arial"/>
                <w:sz w:val="16"/>
                <w:szCs w:val="16"/>
                <w:color w:val="auto"/>
                <w:w w:val="91"/>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230,000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$2.96</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$7.07</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250,000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$(1.17)</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1260" w:type="dxa"/>
            <w:vAlign w:val="bottom"/>
          </w:tcPr>
          <w:p>
            <w:pPr>
              <w:jc w:val="center"/>
              <w:spacing w:after="0"/>
              <w:rPr>
                <w:sz w:val="20"/>
                <w:szCs w:val="20"/>
                <w:color w:val="auto"/>
              </w:rPr>
            </w:pPr>
            <w:r>
              <w:rPr>
                <w:rFonts w:ascii="Arial" w:cs="Arial" w:eastAsia="Arial" w:hAnsi="Arial"/>
                <w:sz w:val="16"/>
                <w:szCs w:val="16"/>
                <w:color w:val="auto"/>
                <w:w w:val="95"/>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210,000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$2.96</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$7.01</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40" w:hanging="332"/>
        <w:spacing w:after="0" w:line="311" w:lineRule="auto"/>
        <w:tabs>
          <w:tab w:leader="none" w:pos="4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Settlement</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0"/>
              </w:rPr>
              <w:t>Settlement Year</w:t>
            </w:r>
          </w:p>
        </w:tc>
        <w:tc>
          <w:tcPr>
            <w:tcW w:w="15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2"/>
              </w:rPr>
              <w:t>Type of Contract</w:t>
            </w:r>
          </w:p>
        </w:tc>
        <w:tc>
          <w:tcPr>
            <w:tcW w:w="14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Bbls Per Day</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Strike Price</w:t>
            </w:r>
          </w:p>
        </w:tc>
        <w:tc>
          <w:tcPr>
            <w:tcW w:w="150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Weighted Average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Deferred Premium</w:t>
            </w:r>
          </w:p>
        </w:tc>
        <w:tc>
          <w:tcPr>
            <w:tcW w:w="0" w:type="dxa"/>
            <w:vAlign w:val="bottom"/>
          </w:tcPr>
          <w:p>
            <w:pPr>
              <w:spacing w:after="0"/>
              <w:rPr>
                <w:sz w:val="1"/>
                <w:szCs w:val="1"/>
                <w:color w:val="auto"/>
              </w:rPr>
            </w:pPr>
          </w:p>
        </w:tc>
      </w:tr>
      <w:tr>
        <w:trPr>
          <w:trHeight w:val="213"/>
        </w:trPr>
        <w:tc>
          <w:tcPr>
            <w:tcW w:w="11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Month</w:t>
            </w:r>
          </w:p>
        </w:tc>
        <w:tc>
          <w:tcPr>
            <w:tcW w:w="12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5"/>
              </w:rPr>
              <w:t>Differential</w:t>
            </w: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jc w:val="center"/>
              <w:ind w:left="19"/>
              <w:spacing w:after="0"/>
              <w:rPr>
                <w:sz w:val="20"/>
                <w:szCs w:val="20"/>
                <w:color w:val="auto"/>
              </w:rPr>
            </w:pPr>
            <w:r>
              <w:rPr>
                <w:rFonts w:ascii="Arial" w:cs="Arial" w:eastAsia="Arial" w:hAnsi="Arial"/>
                <w:sz w:val="16"/>
                <w:szCs w:val="16"/>
                <w:color w:val="auto"/>
                <w:w w:val="91"/>
              </w:rPr>
              <w:t>Apr. - June</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10,000</w:t>
            </w:r>
          </w:p>
        </w:tc>
        <w:tc>
          <w:tcPr>
            <w:tcW w:w="1760" w:type="dxa"/>
            <w:vAlign w:val="bottom"/>
          </w:tcPr>
          <w:p>
            <w:pPr>
              <w:jc w:val="center"/>
              <w:ind w:left="19"/>
              <w:spacing w:after="0"/>
              <w:rPr>
                <w:sz w:val="20"/>
                <w:szCs w:val="20"/>
                <w:color w:val="auto"/>
              </w:rPr>
            </w:pPr>
            <w:r>
              <w:rPr>
                <w:rFonts w:ascii="Arial" w:cs="Arial" w:eastAsia="Arial" w:hAnsi="Arial"/>
                <w:sz w:val="16"/>
                <w:szCs w:val="16"/>
                <w:color w:val="auto"/>
              </w:rPr>
              <w:t>WTI</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$47.50</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$1.49</w:t>
            </w:r>
          </w:p>
        </w:tc>
        <w:tc>
          <w:tcPr>
            <w:tcW w:w="0" w:type="dxa"/>
            <w:vAlign w:val="bottom"/>
          </w:tcPr>
          <w:p>
            <w:pPr>
              <w:spacing w:after="0"/>
              <w:rPr>
                <w:sz w:val="1"/>
                <w:szCs w:val="1"/>
                <w:color w:val="auto"/>
              </w:rPr>
            </w:pPr>
          </w:p>
        </w:tc>
      </w:tr>
      <w:tr>
        <w:trPr>
          <w:trHeight w:val="219"/>
        </w:trPr>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1"/>
              </w:rPr>
              <w:t>Apr. - June</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24,000</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w:t>
            </w:r>
          </w:p>
        </w:tc>
        <w:tc>
          <w:tcPr>
            <w:tcW w:w="0" w:type="dxa"/>
            <w:vAlign w:val="bottom"/>
          </w:tcPr>
          <w:p>
            <w:pPr>
              <w:spacing w:after="0"/>
              <w:rPr>
                <w:sz w:val="1"/>
                <w:szCs w:val="1"/>
                <w:color w:val="auto"/>
              </w:rPr>
            </w:pPr>
          </w:p>
        </w:tc>
      </w:tr>
      <w:tr>
        <w:trPr>
          <w:trHeight w:val="213"/>
        </w:trPr>
        <w:tc>
          <w:tcPr>
            <w:tcW w:w="1140" w:type="dxa"/>
            <w:vAlign w:val="bottom"/>
          </w:tcPr>
          <w:p>
            <w:pPr>
              <w:jc w:val="center"/>
              <w:ind w:left="19"/>
              <w:spacing w:after="0"/>
              <w:rPr>
                <w:sz w:val="20"/>
                <w:szCs w:val="20"/>
                <w:color w:val="auto"/>
              </w:rPr>
            </w:pPr>
            <w:r>
              <w:rPr>
                <w:rFonts w:ascii="Arial" w:cs="Arial" w:eastAsia="Arial" w:hAnsi="Arial"/>
                <w:sz w:val="16"/>
                <w:szCs w:val="16"/>
                <w:color w:val="auto"/>
                <w:w w:val="91"/>
              </w:rPr>
              <w:t>Apr. - June</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8,000</w:t>
            </w:r>
          </w:p>
        </w:tc>
        <w:tc>
          <w:tcPr>
            <w:tcW w:w="1760" w:type="dxa"/>
            <w:vAlign w:val="bottom"/>
          </w:tcPr>
          <w:p>
            <w:pPr>
              <w:jc w:val="center"/>
              <w:ind w:left="19"/>
              <w:spacing w:after="0"/>
              <w:rPr>
                <w:sz w:val="20"/>
                <w:szCs w:val="20"/>
                <w:color w:val="auto"/>
              </w:rPr>
            </w:pPr>
            <w:r>
              <w:rPr>
                <w:rFonts w:ascii="Arial" w:cs="Arial" w:eastAsia="Arial" w:hAnsi="Arial"/>
                <w:sz w:val="16"/>
                <w:szCs w:val="16"/>
                <w:color w:val="auto"/>
                <w:w w:val="95"/>
              </w:rPr>
              <w:t>Argus WTI Houston</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$1.87</w:t>
            </w:r>
          </w:p>
        </w:tc>
        <w:tc>
          <w:tcPr>
            <w:tcW w:w="0" w:type="dxa"/>
            <w:vAlign w:val="bottom"/>
          </w:tcPr>
          <w:p>
            <w:pPr>
              <w:spacing w:after="0"/>
              <w:rPr>
                <w:sz w:val="1"/>
                <w:szCs w:val="1"/>
                <w:color w:val="auto"/>
              </w:rPr>
            </w:pPr>
          </w:p>
        </w:tc>
      </w:tr>
      <w:tr>
        <w:trPr>
          <w:trHeight w:val="219"/>
        </w:trPr>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July - Sep.</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8,000</w:t>
            </w:r>
          </w:p>
        </w:tc>
        <w:tc>
          <w:tcPr>
            <w:tcW w:w="17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WTI</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$47.50</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$1.52</w:t>
            </w:r>
          </w:p>
        </w:tc>
        <w:tc>
          <w:tcPr>
            <w:tcW w:w="0" w:type="dxa"/>
            <w:vAlign w:val="bottom"/>
          </w:tcPr>
          <w:p>
            <w:pPr>
              <w:spacing w:after="0"/>
              <w:rPr>
                <w:sz w:val="1"/>
                <w:szCs w:val="1"/>
                <w:color w:val="auto"/>
              </w:rPr>
            </w:pPr>
          </w:p>
        </w:tc>
      </w:tr>
      <w:tr>
        <w:trPr>
          <w:trHeight w:val="213"/>
        </w:trPr>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July - Sep.</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36,000</w:t>
            </w: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$1.83</w:t>
            </w:r>
          </w:p>
        </w:tc>
        <w:tc>
          <w:tcPr>
            <w:tcW w:w="0" w:type="dxa"/>
            <w:vAlign w:val="bottom"/>
          </w:tcPr>
          <w:p>
            <w:pPr>
              <w:spacing w:after="0"/>
              <w:rPr>
                <w:sz w:val="1"/>
                <w:szCs w:val="1"/>
                <w:color w:val="auto"/>
              </w:rPr>
            </w:pPr>
          </w:p>
        </w:tc>
      </w:tr>
      <w:tr>
        <w:trPr>
          <w:trHeight w:val="219"/>
        </w:trPr>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July - Sep.</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12,000</w:t>
            </w:r>
          </w:p>
        </w:tc>
        <w:tc>
          <w:tcPr>
            <w:tcW w:w="17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5"/>
              </w:rPr>
              <w:t>Argus WTI Houston</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$1.89</w:t>
            </w:r>
          </w:p>
        </w:tc>
        <w:tc>
          <w:tcPr>
            <w:tcW w:w="0" w:type="dxa"/>
            <w:vAlign w:val="bottom"/>
          </w:tcPr>
          <w:p>
            <w:pPr>
              <w:spacing w:after="0"/>
              <w:rPr>
                <w:sz w:val="1"/>
                <w:szCs w:val="1"/>
                <w:color w:val="auto"/>
              </w:rPr>
            </w:pPr>
          </w:p>
        </w:tc>
      </w:tr>
      <w:tr>
        <w:trPr>
          <w:trHeight w:val="213"/>
        </w:trPr>
        <w:tc>
          <w:tcPr>
            <w:tcW w:w="1140" w:type="dxa"/>
            <w:vAlign w:val="bottom"/>
          </w:tcPr>
          <w:p>
            <w:pPr>
              <w:jc w:val="center"/>
              <w:ind w:left="19"/>
              <w:spacing w:after="0"/>
              <w:rPr>
                <w:sz w:val="20"/>
                <w:szCs w:val="20"/>
                <w:color w:val="auto"/>
              </w:rPr>
            </w:pPr>
            <w:r>
              <w:rPr>
                <w:rFonts w:ascii="Arial" w:cs="Arial" w:eastAsia="Arial" w:hAnsi="Arial"/>
                <w:sz w:val="16"/>
                <w:szCs w:val="16"/>
                <w:color w:val="auto"/>
                <w:w w:val="94"/>
              </w:rPr>
              <w:t>Oct. - Dec.</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32,000</w:t>
            </w: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$1.83</w:t>
            </w:r>
          </w:p>
        </w:tc>
        <w:tc>
          <w:tcPr>
            <w:tcW w:w="0" w:type="dxa"/>
            <w:vAlign w:val="bottom"/>
          </w:tcPr>
          <w:p>
            <w:pPr>
              <w:spacing w:after="0"/>
              <w:rPr>
                <w:sz w:val="1"/>
                <w:szCs w:val="1"/>
                <w:color w:val="auto"/>
              </w:rPr>
            </w:pPr>
          </w:p>
        </w:tc>
      </w:tr>
      <w:tr>
        <w:trPr>
          <w:trHeight w:val="219"/>
        </w:trPr>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Oct.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1"/>
              </w:rPr>
              <w:t>Put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7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5"/>
              </w:rPr>
              <w:t>Argus WTI Houston</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$50.00</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6"/>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$1.85</w:t>
            </w:r>
          </w:p>
        </w:tc>
        <w:tc>
          <w:tcPr>
            <w:tcW w:w="0" w:type="dxa"/>
            <w:vAlign w:val="bottom"/>
          </w:tcPr>
          <w:p>
            <w:pPr>
              <w:spacing w:after="0"/>
              <w:rPr>
                <w:sz w:val="1"/>
                <w:szCs w:val="1"/>
                <w:color w:val="auto"/>
              </w:rPr>
            </w:pPr>
          </w:p>
        </w:tc>
      </w:tr>
      <w:tr>
        <w:trPr>
          <w:trHeight w:val="279"/>
        </w:trPr>
        <w:tc>
          <w:tcPr>
            <w:tcW w:w="1140" w:type="dxa"/>
            <w:vAlign w:val="bottom"/>
          </w:tcPr>
          <w:p>
            <w:pPr>
              <w:jc w:val="center"/>
              <w:ind w:left="19"/>
              <w:spacing w:after="0"/>
              <w:rPr>
                <w:sz w:val="20"/>
                <w:szCs w:val="20"/>
                <w:color w:val="auto"/>
              </w:rPr>
            </w:pPr>
            <w:r>
              <w:rPr>
                <w:rFonts w:ascii="Arial" w:cs="Arial" w:eastAsia="Arial" w:hAnsi="Arial"/>
                <w:sz w:val="16"/>
                <w:szCs w:val="16"/>
                <w:color w:val="auto"/>
                <w:w w:val="94"/>
              </w:rPr>
              <w:t>Apr. - Dec.</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520" w:type="dxa"/>
            <w:vAlign w:val="bottom"/>
          </w:tcPr>
          <w:p>
            <w:pPr>
              <w:jc w:val="center"/>
              <w:ind w:right="139"/>
              <w:spacing w:after="0"/>
              <w:rPr>
                <w:sz w:val="20"/>
                <w:szCs w:val="20"/>
                <w:color w:val="auto"/>
              </w:rPr>
            </w:pPr>
            <w:r>
              <w:rPr>
                <w:rFonts w:ascii="Arial" w:cs="Arial" w:eastAsia="Arial" w:hAnsi="Arial"/>
                <w:sz w:val="16"/>
                <w:szCs w:val="16"/>
                <w:color w:val="auto"/>
                <w:w w:val="87"/>
              </w:rPr>
              <w:t>Basis Put</w:t>
            </w:r>
            <w:r>
              <w:rPr>
                <w:rFonts w:ascii="Arial" w:cs="Arial" w:eastAsia="Arial" w:hAnsi="Arial"/>
                <w:sz w:val="21"/>
                <w:szCs w:val="21"/>
                <w:color w:val="auto"/>
                <w:w w:val="87"/>
                <w:vertAlign w:val="superscript"/>
              </w:rPr>
              <w:t>(1)</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50,000</w:t>
            </w: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60" w:type="dxa"/>
            <w:vAlign w:val="bottom"/>
          </w:tcPr>
          <w:p>
            <w:pPr>
              <w:jc w:val="center"/>
              <w:spacing w:after="0"/>
              <w:rPr>
                <w:sz w:val="20"/>
                <w:szCs w:val="20"/>
                <w:color w:val="auto"/>
              </w:rPr>
            </w:pPr>
            <w:r>
              <w:rPr>
                <w:rFonts w:ascii="Arial" w:cs="Arial" w:eastAsia="Arial" w:hAnsi="Arial"/>
                <w:sz w:val="16"/>
                <w:szCs w:val="16"/>
                <w:color w:val="auto"/>
              </w:rPr>
              <w:t>$—</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93"/>
              </w:rPr>
              <w:t>$(10.40)</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$0.78</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Company has basis puts for the spread between the Brent crude oil price and NYMEX WTI crude oil price.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2022, the Company completed certain hedge restructurings by terminating certain commodity derivative contracts prior to their contractual maturities which resulted in net cash settlements of $135 million. The following table presents the commodity derivatives that were terminated: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Swaps</w:t>
            </w:r>
          </w:p>
        </w:tc>
        <w:tc>
          <w:tcPr>
            <w:tcW w:w="2680" w:type="dxa"/>
            <w:vAlign w:val="bottom"/>
            <w:tcBorders>
              <w:bottom w:val="single" w:sz="8" w:color="auto"/>
            </w:tcBorders>
            <w:gridSpan w:val="2"/>
          </w:tcPr>
          <w:p>
            <w:pPr>
              <w:ind w:left="1100"/>
              <w:spacing w:after="0"/>
              <w:rPr>
                <w:sz w:val="20"/>
                <w:szCs w:val="20"/>
                <w:color w:val="auto"/>
              </w:rPr>
            </w:pPr>
            <w:r>
              <w:rPr>
                <w:rFonts w:ascii="Arial" w:cs="Arial" w:eastAsia="Arial" w:hAnsi="Arial"/>
                <w:sz w:val="15"/>
                <w:szCs w:val="15"/>
                <w:b w:val="1"/>
                <w:bCs w:val="1"/>
                <w:color w:val="auto"/>
              </w:rPr>
              <w:t>Collars</w:t>
            </w:r>
          </w:p>
        </w:tc>
        <w:tc>
          <w:tcPr>
            <w:tcW w:w="0" w:type="dxa"/>
            <w:vAlign w:val="bottom"/>
          </w:tcPr>
          <w:p>
            <w:pPr>
              <w:spacing w:after="0"/>
              <w:rPr>
                <w:sz w:val="1"/>
                <w:szCs w:val="1"/>
                <w:color w:val="auto"/>
              </w:rPr>
            </w:pPr>
          </w:p>
        </w:tc>
      </w:tr>
      <w:tr>
        <w:trPr>
          <w:trHeight w:val="146"/>
        </w:trPr>
        <w:tc>
          <w:tcPr>
            <w:tcW w:w="2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9"/>
              </w:rPr>
              <w:t>Settlement Month Settlement Year</w:t>
            </w:r>
          </w:p>
        </w:tc>
        <w:tc>
          <w:tcPr>
            <w:tcW w:w="14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3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Bbls Per Day</w:t>
            </w:r>
          </w:p>
        </w:tc>
        <w:tc>
          <w:tcPr>
            <w:tcW w:w="1940" w:type="dxa"/>
            <w:vAlign w:val="bottom"/>
            <w:vMerge w:val="restart"/>
          </w:tcPr>
          <w:p>
            <w:pPr>
              <w:jc w:val="center"/>
              <w:ind w:right="40"/>
              <w:spacing w:after="0"/>
              <w:rPr>
                <w:sz w:val="20"/>
                <w:szCs w:val="20"/>
                <w:color w:val="auto"/>
              </w:rPr>
            </w:pPr>
            <w:r>
              <w:rPr>
                <w:rFonts w:ascii="Arial" w:cs="Arial" w:eastAsia="Arial" w:hAnsi="Arial"/>
                <w:sz w:val="15"/>
                <w:szCs w:val="15"/>
                <w:b w:val="1"/>
                <w:bCs w:val="1"/>
                <w:color w:val="auto"/>
                <w:w w:val="96"/>
              </w:rPr>
              <w:t>Index</w:t>
            </w: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 Average</w:t>
            </w: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 Average</w:t>
            </w: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0"/>
              </w:rPr>
              <w:t>Weighted Average</w:t>
            </w:r>
          </w:p>
        </w:tc>
        <w:tc>
          <w:tcPr>
            <w:tcW w:w="0" w:type="dxa"/>
            <w:vAlign w:val="bottom"/>
          </w:tcPr>
          <w:p>
            <w:pPr>
              <w:spacing w:after="0"/>
              <w:rPr>
                <w:sz w:val="1"/>
                <w:szCs w:val="1"/>
                <w:color w:val="auto"/>
              </w:rPr>
            </w:pPr>
          </w:p>
        </w:tc>
      </w:tr>
      <w:tr>
        <w:trPr>
          <w:trHeight w:val="200"/>
        </w:trPr>
        <w:tc>
          <w:tcPr>
            <w:tcW w:w="2480" w:type="dxa"/>
            <w:vAlign w:val="bottom"/>
            <w:tcBorders>
              <w:bottom w:val="single" w:sz="8" w:color="auto"/>
            </w:tcBorders>
            <w:gridSpan w:val="2"/>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Fixed 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Floor 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Ceiling Price</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tcPr>
          <w:p>
            <w:pPr>
              <w:ind w:left="260"/>
              <w:spacing w:after="0"/>
              <w:rPr>
                <w:sz w:val="20"/>
                <w:szCs w:val="20"/>
                <w:color w:val="auto"/>
              </w:rPr>
            </w:pPr>
            <w:r>
              <w:rPr>
                <w:rFonts w:ascii="Arial" w:cs="Arial" w:eastAsia="Arial" w:hAnsi="Arial"/>
                <w:sz w:val="16"/>
                <w:szCs w:val="16"/>
                <w:color w:val="auto"/>
              </w:rPr>
              <w:t>Apr. - June</w:t>
            </w: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8,000</w:t>
            </w:r>
          </w:p>
        </w:tc>
        <w:tc>
          <w:tcPr>
            <w:tcW w:w="1940" w:type="dxa"/>
            <w:vAlign w:val="bottom"/>
          </w:tcPr>
          <w:p>
            <w:pPr>
              <w:jc w:val="center"/>
              <w:ind w:right="40"/>
              <w:spacing w:after="0"/>
              <w:rPr>
                <w:sz w:val="20"/>
                <w:szCs w:val="20"/>
                <w:color w:val="auto"/>
              </w:rPr>
            </w:pPr>
            <w:r>
              <w:rPr>
                <w:rFonts w:ascii="Arial" w:cs="Arial" w:eastAsia="Arial" w:hAnsi="Arial"/>
                <w:sz w:val="16"/>
                <w:szCs w:val="16"/>
                <w:color w:val="auto"/>
              </w:rPr>
              <w:t>WTI</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$45.00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$71.60</w:t>
            </w:r>
          </w:p>
        </w:tc>
        <w:tc>
          <w:tcPr>
            <w:tcW w:w="0" w:type="dxa"/>
            <w:vAlign w:val="bottom"/>
          </w:tcPr>
          <w:p>
            <w:pPr>
              <w:spacing w:after="0"/>
              <w:rPr>
                <w:sz w:val="1"/>
                <w:szCs w:val="1"/>
                <w:color w:val="auto"/>
              </w:rPr>
            </w:pPr>
          </w:p>
        </w:tc>
      </w:tr>
      <w:tr>
        <w:trPr>
          <w:trHeight w:val="219"/>
        </w:trPr>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Apr. - June</w:t>
            </w:r>
          </w:p>
        </w:tc>
        <w:tc>
          <w:tcPr>
            <w:tcW w:w="11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8,000</w:t>
            </w:r>
          </w:p>
        </w:tc>
        <w:tc>
          <w:tcPr>
            <w:tcW w:w="194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4"/>
              </w:rPr>
              <w:t>Brent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$74.78</w:t>
            </w:r>
          </w:p>
        </w:tc>
        <w:tc>
          <w:tcPr>
            <w:tcW w:w="0" w:type="dxa"/>
            <w:vAlign w:val="bottom"/>
          </w:tcPr>
          <w:p>
            <w:pPr>
              <w:spacing w:after="0"/>
              <w:rPr>
                <w:sz w:val="1"/>
                <w:szCs w:val="1"/>
                <w:color w:val="auto"/>
              </w:rPr>
            </w:pPr>
          </w:p>
        </w:tc>
      </w:tr>
      <w:tr>
        <w:trPr>
          <w:trHeight w:val="213"/>
        </w:trPr>
        <w:tc>
          <w:tcPr>
            <w:tcW w:w="1320" w:type="dxa"/>
            <w:vAlign w:val="bottom"/>
          </w:tcPr>
          <w:p>
            <w:pPr>
              <w:ind w:left="260"/>
              <w:spacing w:after="0"/>
              <w:rPr>
                <w:sz w:val="20"/>
                <w:szCs w:val="20"/>
                <w:color w:val="auto"/>
              </w:rPr>
            </w:pPr>
            <w:r>
              <w:rPr>
                <w:rFonts w:ascii="Arial" w:cs="Arial" w:eastAsia="Arial" w:hAnsi="Arial"/>
                <w:sz w:val="16"/>
                <w:szCs w:val="16"/>
                <w:color w:val="auto"/>
              </w:rPr>
              <w:t>Apr. - June</w:t>
            </w: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6,000</w:t>
            </w:r>
          </w:p>
        </w:tc>
        <w:tc>
          <w:tcPr>
            <w:tcW w:w="1940" w:type="dxa"/>
            <w:vAlign w:val="bottom"/>
          </w:tcPr>
          <w:p>
            <w:pPr>
              <w:jc w:val="center"/>
              <w:ind w:right="40"/>
              <w:spacing w:after="0"/>
              <w:rPr>
                <w:sz w:val="20"/>
                <w:szCs w:val="20"/>
                <w:color w:val="auto"/>
              </w:rPr>
            </w:pPr>
            <w:r>
              <w:rPr>
                <w:rFonts w:ascii="Arial" w:cs="Arial" w:eastAsia="Arial" w:hAnsi="Arial"/>
                <w:sz w:val="16"/>
                <w:szCs w:val="16"/>
                <w:color w:val="auto"/>
                <w:w w:val="95"/>
              </w:rPr>
              <w:t>Argus WTI Houston</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$45.00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$69.53</w:t>
            </w:r>
          </w:p>
        </w:tc>
        <w:tc>
          <w:tcPr>
            <w:tcW w:w="0" w:type="dxa"/>
            <w:vAlign w:val="bottom"/>
          </w:tcPr>
          <w:p>
            <w:pPr>
              <w:spacing w:after="0"/>
              <w:rPr>
                <w:sz w:val="1"/>
                <w:szCs w:val="1"/>
                <w:color w:val="auto"/>
              </w:rPr>
            </w:pPr>
          </w:p>
        </w:tc>
      </w:tr>
      <w:tr>
        <w:trPr>
          <w:trHeight w:val="219"/>
        </w:trPr>
        <w:tc>
          <w:tcPr>
            <w:tcW w:w="1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Apr. - Sep.</w:t>
            </w:r>
          </w:p>
        </w:tc>
        <w:tc>
          <w:tcPr>
            <w:tcW w:w="11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w:t>
            </w:r>
          </w:p>
        </w:tc>
        <w:tc>
          <w:tcPr>
            <w:tcW w:w="194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4"/>
              </w:rPr>
              <w:t>Brent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$80.00</w:t>
            </w:r>
          </w:p>
        </w:tc>
        <w:tc>
          <w:tcPr>
            <w:tcW w:w="0" w:type="dxa"/>
            <w:vAlign w:val="bottom"/>
          </w:tcPr>
          <w:p>
            <w:pPr>
              <w:spacing w:after="0"/>
              <w:rPr>
                <w:sz w:val="1"/>
                <w:szCs w:val="1"/>
                <w:color w:val="auto"/>
              </w:rPr>
            </w:pPr>
          </w:p>
        </w:tc>
      </w:tr>
      <w:tr>
        <w:trPr>
          <w:trHeight w:val="213"/>
        </w:trPr>
        <w:tc>
          <w:tcPr>
            <w:tcW w:w="1320" w:type="dxa"/>
            <w:vAlign w:val="bottom"/>
          </w:tcPr>
          <w:p>
            <w:pPr>
              <w:ind w:left="280"/>
              <w:spacing w:after="0"/>
              <w:rPr>
                <w:sz w:val="20"/>
                <w:szCs w:val="20"/>
                <w:color w:val="auto"/>
              </w:rPr>
            </w:pPr>
            <w:r>
              <w:rPr>
                <w:rFonts w:ascii="Arial" w:cs="Arial" w:eastAsia="Arial" w:hAnsi="Arial"/>
                <w:sz w:val="16"/>
                <w:szCs w:val="16"/>
                <w:color w:val="auto"/>
              </w:rPr>
              <w:t>Apr. - Sep.</w:t>
            </w: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2,000</w:t>
            </w:r>
          </w:p>
        </w:tc>
        <w:tc>
          <w:tcPr>
            <w:tcW w:w="1940" w:type="dxa"/>
            <w:vAlign w:val="bottom"/>
          </w:tcPr>
          <w:p>
            <w:pPr>
              <w:jc w:val="center"/>
              <w:ind w:right="40"/>
              <w:spacing w:after="0"/>
              <w:rPr>
                <w:sz w:val="20"/>
                <w:szCs w:val="20"/>
                <w:color w:val="auto"/>
              </w:rPr>
            </w:pPr>
            <w:r>
              <w:rPr>
                <w:rFonts w:ascii="Arial" w:cs="Arial" w:eastAsia="Arial" w:hAnsi="Arial"/>
                <w:sz w:val="16"/>
                <w:szCs w:val="16"/>
                <w:color w:val="auto"/>
                <w:w w:val="95"/>
              </w:rPr>
              <w:t>Argus WTI Houston</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$76.70</w:t>
            </w:r>
          </w:p>
        </w:tc>
        <w:tc>
          <w:tcPr>
            <w:tcW w:w="0" w:type="dxa"/>
            <w:vAlign w:val="bottom"/>
          </w:tcPr>
          <w:p>
            <w:pPr>
              <w:spacing w:after="0"/>
              <w:rPr>
                <w:sz w:val="1"/>
                <w:szCs w:val="1"/>
                <w:color w:val="auto"/>
              </w:rPr>
            </w:pPr>
          </w:p>
        </w:tc>
      </w:tr>
      <w:tr>
        <w:trPr>
          <w:trHeight w:val="219"/>
        </w:trPr>
        <w:tc>
          <w:tcPr>
            <w:tcW w:w="1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July - Sep.</w:t>
            </w:r>
          </w:p>
        </w:tc>
        <w:tc>
          <w:tcPr>
            <w:tcW w:w="11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4,000</w:t>
            </w:r>
          </w:p>
        </w:tc>
        <w:tc>
          <w:tcPr>
            <w:tcW w:w="194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5"/>
              </w:rPr>
              <w:t>Argus WTI Houston</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$75.00</w:t>
            </w:r>
          </w:p>
        </w:tc>
        <w:tc>
          <w:tcPr>
            <w:tcW w:w="0" w:type="dxa"/>
            <w:vAlign w:val="bottom"/>
          </w:tcPr>
          <w:p>
            <w:pPr>
              <w:spacing w:after="0"/>
              <w:rPr>
                <w:sz w:val="1"/>
                <w:szCs w:val="1"/>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Swaption</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8,250</w:t>
            </w:r>
          </w:p>
        </w:tc>
        <w:tc>
          <w:tcPr>
            <w:tcW w:w="1940" w:type="dxa"/>
            <w:vAlign w:val="bottom"/>
          </w:tcPr>
          <w:p>
            <w:pPr>
              <w:jc w:val="center"/>
              <w:ind w:right="20"/>
              <w:spacing w:after="0"/>
              <w:rPr>
                <w:sz w:val="20"/>
                <w:szCs w:val="20"/>
                <w:color w:val="auto"/>
              </w:rPr>
            </w:pPr>
            <w:r>
              <w:rPr>
                <w:rFonts w:ascii="Arial" w:cs="Arial" w:eastAsia="Arial" w:hAnsi="Arial"/>
                <w:sz w:val="16"/>
                <w:szCs w:val="16"/>
                <w:color w:val="auto"/>
                <w:w w:val="94"/>
              </w:rPr>
              <w:t>Brent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$68.62</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3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In the second quarter of 2021, the Company entered into two interest rate swap agreements for notional amounts of $600 million each to limit the Company’s exposure to changes in the fair value of debt due to movements in LIBOR interest rates. These interest rate swaps have been designated as fair value hedges of the Company’s $1.2 billion 3.50% fixed rate senior notes due 2029 (the “2029 Notes”) whereby the Company will receive the fixed rate of interest and will pay an average variable rate of interest based on three month LIBOR plus 2.1865%. Gains and losses due to changes in the fair value of the interest rate swaps completely offset changes in the fair value of the hedged portion of the underlying debt and totaled $90 million for the three months ended March 31, 2022, as discussed further in Note 7—</w:t>
      </w:r>
      <w:hyperlink w:anchor="page19">
        <w:r>
          <w:rPr>
            <w:rFonts w:ascii="Arial" w:cs="Arial" w:eastAsia="Arial" w:hAnsi="Arial"/>
            <w:sz w:val="17"/>
            <w:szCs w:val="17"/>
            <w:u w:val="single" w:color="auto"/>
            <w:color w:val="0000FF"/>
          </w:rPr>
          <w:t>Debt.</w:t>
        </w:r>
      </w:hyperlink>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three months ended March 31, 2021. The interest swaps contained an other-than-insignificant financing element at inception, and therefore, the cash receipts were classified as cash flows from financing activities in the condensed consolidated statements of cash flow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page28">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10"/>
        </w:trPr>
        <w:tc>
          <w:tcPr>
            <w:tcW w:w="8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26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(2)</w:t>
            </w:r>
          </w:p>
        </w:tc>
        <w:tc>
          <w:tcPr>
            <w:tcW w:w="9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82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three months ended March 31, 2022 includes cash paid on commodity contracts terminated prior to their contractual maturity of $135 million.</w:t>
      </w:r>
    </w:p>
    <w:p>
      <w:pPr>
        <w:spacing w:after="0" w:line="34" w:lineRule="exact"/>
        <w:rPr>
          <w:rFonts w:ascii="Arial" w:cs="Arial" w:eastAsia="Arial" w:hAnsi="Arial"/>
          <w:sz w:val="17"/>
          <w:szCs w:val="17"/>
          <w:color w:val="auto"/>
        </w:rPr>
      </w:pPr>
    </w:p>
    <w:p>
      <w:pPr>
        <w:ind w:left="340" w:hanging="332"/>
        <w:spacing w:after="0" w:line="260"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three months ended March 31, 2021 includes cash received on interest rate swap contracts terminated prior to their contractual maturity of $80 million.</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condensed consolidated balance sheet and the net change in fair value of the Company’s interest rate swaps designated as hedges are offset by change in value of the hedged item, long-term debt, within the condensed consolidated balance sheet..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77"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condensed consolidated balance sheets as of March 31, 2022 and December 31, 2021. The net amounts of derivative instruments are classified as current or noncurrent based on their anticipated settlement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6"/>
                <w:szCs w:val="16"/>
                <w:b w:val="1"/>
                <w:bCs w:val="1"/>
                <w:color w:val="auto"/>
                <w:w w:val="92"/>
              </w:rPr>
              <w:t>As of March 31, 2022</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2"/>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742"/>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December 31,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33"/>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2"/>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6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8"/>
                <w:szCs w:val="18"/>
                <w:color w:val="auto"/>
              </w:rPr>
            </w:pPr>
          </w:p>
        </w:tc>
        <w:tc>
          <w:tcPr>
            <w:tcW w:w="2520" w:type="dxa"/>
            <w:vAlign w:val="bottom"/>
            <w:gridSpan w:val="3"/>
          </w:tcPr>
          <w:p>
            <w:pPr>
              <w:jc w:val="right"/>
              <w:ind w:right="635"/>
              <w:spacing w:after="0"/>
              <w:rPr>
                <w:sz w:val="20"/>
                <w:szCs w:val="20"/>
                <w:color w:val="auto"/>
              </w:rPr>
            </w:pPr>
            <w:r>
              <w:rPr>
                <w:rFonts w:ascii="Arial" w:cs="Arial" w:eastAsia="Arial" w:hAnsi="Arial"/>
                <w:sz w:val="16"/>
                <w:szCs w:val="16"/>
                <w:b w:val="1"/>
                <w:bCs w:val="1"/>
                <w:color w:val="auto"/>
              </w:rPr>
              <w:t>December 31, 2021</w:t>
            </w:r>
          </w:p>
        </w:tc>
      </w:tr>
      <w:tr>
        <w:trPr>
          <w:trHeight w:val="207"/>
        </w:trPr>
        <w:tc>
          <w:tcPr>
            <w:tcW w:w="5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5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897"/>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5,848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6,687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Company’s credit agreement,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hyperlink w:anchor="page14">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5—</w:t>
      </w:r>
      <w:hyperlink w:anchor="page18">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nonrecurring fair value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000" w:type="dxa"/>
            <w:vAlign w:val="bottom"/>
          </w:tcPr>
          <w:p>
            <w:pPr>
              <w:jc w:val="right"/>
              <w:ind w:right="1870"/>
              <w:spacing w:after="0"/>
              <w:rPr>
                <w:sz w:val="20"/>
                <w:szCs w:val="20"/>
                <w:color w:val="auto"/>
              </w:rPr>
            </w:pPr>
            <w:r>
              <w:rPr>
                <w:rFonts w:ascii="Arial" w:cs="Arial" w:eastAsia="Arial" w:hAnsi="Arial"/>
                <w:sz w:val="18"/>
                <w:szCs w:val="18"/>
                <w:b w:val="1"/>
                <w:bCs w:val="1"/>
                <w:color w:val="auto"/>
              </w:rPr>
              <w:t>SUPPLEMENTAL INFORMATION TO STATEMENTS OF CASH FLOWS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3"/>
        </w:trPr>
        <w:tc>
          <w:tcPr>
            <w:tcW w:w="3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r>
      <w:tr>
        <w:trPr>
          <w:trHeight w:val="210"/>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8000" w:type="dxa"/>
            <w:vAlign w:val="bottom"/>
          </w:tcPr>
          <w:p>
            <w:pPr>
              <w:jc w:val="right"/>
              <w:ind w:right="2030"/>
              <w:spacing w:after="0"/>
              <w:rPr>
                <w:sz w:val="20"/>
                <w:szCs w:val="20"/>
                <w:color w:val="auto"/>
              </w:rPr>
            </w:pPr>
            <w:r>
              <w:rPr>
                <w:rFonts w:ascii="Arial" w:cs="Arial" w:eastAsia="Arial" w:hAnsi="Arial"/>
                <w:sz w:val="18"/>
                <w:szCs w:val="18"/>
                <w:color w:val="auto"/>
                <w:w w:val="89"/>
              </w:rPr>
              <w:t>Accrued capital expenditures included in accounts payable and accrued expenses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300" w:type="dxa"/>
            <w:vAlign w:val="bottom"/>
            <w:shd w:val="clear" w:color="auto" w:fill="CCEEFF"/>
          </w:tcPr>
          <w:p>
            <w:pPr>
              <w:spacing w:after="0"/>
              <w:rPr>
                <w:sz w:val="19"/>
                <w:szCs w:val="19"/>
                <w:color w:val="auto"/>
              </w:rPr>
            </w:pPr>
          </w:p>
        </w:tc>
        <w:tc>
          <w:tcPr>
            <w:tcW w:w="8000" w:type="dxa"/>
            <w:vAlign w:val="bottom"/>
            <w:shd w:val="clear" w:color="auto" w:fill="CCEEFF"/>
          </w:tcPr>
          <w:p>
            <w:pPr>
              <w:jc w:val="right"/>
              <w:ind w:right="4350"/>
              <w:spacing w:after="0"/>
              <w:rPr>
                <w:sz w:val="20"/>
                <w:szCs w:val="20"/>
                <w:color w:val="auto"/>
              </w:rPr>
            </w:pPr>
            <w:r>
              <w:rPr>
                <w:rFonts w:ascii="Arial" w:cs="Arial" w:eastAsia="Arial" w:hAnsi="Arial"/>
                <w:sz w:val="18"/>
                <w:szCs w:val="18"/>
                <w:color w:val="auto"/>
                <w:w w:val="90"/>
              </w:rPr>
              <w:t>Common stock issued for business combinations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553"/>
        </w:trPr>
        <w:tc>
          <w:tcPr>
            <w:tcW w:w="3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000" w:type="dxa"/>
            <w:vAlign w:val="bottom"/>
          </w:tcPr>
          <w:p>
            <w:pPr>
              <w:jc w:val="right"/>
              <w:ind w:right="4350"/>
              <w:spacing w:after="0"/>
              <w:rPr>
                <w:sz w:val="20"/>
                <w:szCs w:val="20"/>
                <w:color w:val="auto"/>
              </w:rPr>
            </w:pPr>
            <w:r>
              <w:rPr>
                <w:rFonts w:ascii="Arial" w:cs="Arial" w:eastAsia="Arial" w:hAnsi="Arial"/>
                <w:sz w:val="18"/>
                <w:szCs w:val="18"/>
                <w:b w:val="1"/>
                <w:bCs w:val="1"/>
                <w:color w:val="auto"/>
              </w:rPr>
              <w:t>COMMITMENTS AND CONTINGENCIES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Dividend Declaration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27, 2022, the Board of Directors of the Company declared a cash dividend for the first quarter of 2022 of $3.05 per share of common stock, payable on May 23, 2022 to its stockholders of record at the close of business on May 12, 2022. The dividend consists of a base quarterly dividend of $0.70 per share of common stock and a variable quarterly dividend of $2.35 per share of common stock. Future base and variable dividends are at the discretion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SEGMENT INFORMATION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526"/>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729"/>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2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5">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midstream infrastructure assets in the Midland and Delaware Basins of the Permian Basin.</w:t>
      </w:r>
    </w:p>
    <w:p>
      <w:pPr>
        <w:spacing w:after="0" w:line="21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March 2022 Notes Offering</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17, 2022, we issued the March 2022 Notes for an aggregate principal amount of $750 million and received net proceeds of $739 million, after deducting debt issuance costs and discounts of $11 million and underwriting discounts and offering expenses.</w:t>
      </w:r>
    </w:p>
    <w:p>
      <w:pPr>
        <w:spacing w:after="0" w:line="19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Redemption of Notes</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18, 2022, we redeemed the aggregate $500 million principal amount of our outstanding 4.750% 2025 Senior Notes with a portion of the net proceeds from the March 2022 Notes offering.</w:t>
      </w:r>
    </w:p>
    <w:p>
      <w:pPr>
        <w:spacing w:after="0" w:line="197"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23, 2022, we redeemed the aggregate $1.0 billion principal amount of our outstanding 2.875% 2024 Senior Notes with the remaining net proceeds from the March 2022 Notes offering and cash on hand.</w:t>
      </w:r>
    </w:p>
    <w:p>
      <w:pPr>
        <w:spacing w:after="0" w:line="197" w:lineRule="exact"/>
        <w:rPr>
          <w:rFonts w:ascii="Arial" w:cs="Arial" w:eastAsia="Arial" w:hAnsi="Arial"/>
          <w:sz w:val="17"/>
          <w:szCs w:val="17"/>
          <w:i w:val="1"/>
          <w:iCs w:val="1"/>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discussion of our debt transactions during the first quarter of 2022, 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w:t>
      </w:r>
    </w:p>
    <w:p>
      <w:pPr>
        <w:spacing w:after="0" w:line="19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Stock and Unit Repurchase Programs</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we repurchased approximately $7 million of Diamondback common stock, and as of March 31, 2022, $1.6 billion remained available for future purchases of common stock under our common stock repurchase program.</w:t>
      </w:r>
    </w:p>
    <w:p>
      <w:pPr>
        <w:spacing w:after="0" w:line="197"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2022, Viper repurchased approximately $39 million of common units under its repurchase program. As of March 31, 2022, $41 million remained available for future purchases of common units under Viper’s common unit repurchase program. On April 27, 2022, Viper increased the authorization of its common unit repurchase program from $150 million to $250 million.</w:t>
      </w:r>
    </w:p>
    <w:p>
      <w:pPr>
        <w:spacing w:after="0" w:line="211" w:lineRule="exact"/>
        <w:rPr>
          <w:rFonts w:ascii="Arial" w:cs="Arial" w:eastAsia="Arial" w:hAnsi="Arial"/>
          <w:sz w:val="17"/>
          <w:szCs w:val="17"/>
          <w:i w:val="1"/>
          <w:iCs w:val="1"/>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three months ended March 31, 2022, Rattler repurchased approximately $3 million of common units under its repurchase program. As of March 31, 2022, $85 million remained available for future purchases of common units under Rattler’s common unit repurchase program.</w:t>
      </w:r>
    </w:p>
    <w:p>
      <w:pPr>
        <w:spacing w:after="0" w:line="151" w:lineRule="exact"/>
        <w:rPr>
          <w:rFonts w:ascii="Arial" w:cs="Arial" w:eastAsia="Arial" w:hAnsi="Arial"/>
          <w:sz w:val="17"/>
          <w:szCs w:val="17"/>
          <w:i w:val="1"/>
          <w:iCs w:val="1"/>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w:t>
      </w:r>
      <w:hyperlink w:anchor="page47">
        <w:r>
          <w:rPr>
            <w:rFonts w:ascii="Arial" w:cs="Arial" w:eastAsia="Arial" w:hAnsi="Arial"/>
            <w:sz w:val="18"/>
            <w:szCs w:val="18"/>
            <w:i w:val="1"/>
            <w:iCs w:val="1"/>
            <w:u w:val="single" w:color="auto"/>
            <w:color w:val="0000FF"/>
          </w:rPr>
          <w:t>—Liquidity and Capital Resources</w:t>
        </w:r>
      </w:hyperlink>
      <w:r>
        <w:rPr>
          <w:rFonts w:ascii="Arial" w:cs="Arial" w:eastAsia="Arial" w:hAnsi="Arial"/>
          <w:sz w:val="18"/>
          <w:szCs w:val="18"/>
          <w:color w:val="auto"/>
        </w:rPr>
        <w:t>” below for additional discussion.</w:t>
      </w:r>
    </w:p>
    <w:p>
      <w:pPr>
        <w:spacing w:after="0" w:line="252"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2"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2021 and the first quarter of 2022, the posted NYMEX WTI price for crude oil ranged from $47.62 to $123.70 per Bbl, and the NYMEX Henry Hub price of natural gas ranged from $2.45 to $6.31 per MMBtu. On April 13, 2022, the NYMEX WTI price for crude oil was $104.25 per Bbl and the NYMEX Henry Hub price of natural gas was $7.00 per MMBtu. The Russian-Ukrainian military conflict and the COVID-19 pandemic have contributed to economic and pricing volatility in the first quarter of 2022 as industry and market participants evaluate global demand and production outlooks. On March 31, 2022,</w:t>
      </w:r>
    </w:p>
    <w:p>
      <w:pPr>
        <w:sectPr>
          <w:pgSz w:w="11900" w:h="16838" w:orient="portrait"/>
          <w:cols w:equalWidth="0" w:num="1">
            <w:col w:w="11240"/>
          </w:cols>
          <w:pgMar w:left="320" w:top="121" w:right="339" w:bottom="1440" w:gutter="0" w:footer="0" w:header="0"/>
        </w:sectPr>
      </w:pPr>
    </w:p>
    <w:p>
      <w:pPr>
        <w:spacing w:after="0" w:line="200" w:lineRule="exact"/>
        <w:rPr>
          <w:rFonts w:ascii="Arial" w:cs="Arial" w:eastAsia="Arial" w:hAnsi="Arial"/>
          <w:sz w:val="17"/>
          <w:szCs w:val="17"/>
          <w:i w:val="1"/>
          <w:iCs w:val="1"/>
          <w:color w:val="auto"/>
        </w:rPr>
      </w:pPr>
    </w:p>
    <w:p>
      <w:pPr>
        <w:spacing w:after="0" w:line="204" w:lineRule="exact"/>
        <w:rPr>
          <w:rFonts w:ascii="Arial" w:cs="Arial" w:eastAsia="Arial" w:hAnsi="Arial"/>
          <w:sz w:val="17"/>
          <w:szCs w:val="17"/>
          <w:i w:val="1"/>
          <w:iCs w:val="1"/>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OPEC and its non-OPEC allies, known collectively as OPEC+, agreed to continue their program (commenced in August 2021) of gradual monthly output increases, raising its output target by 432,000 Bbl per day for May 2022, which is expected to further boost oil supply in response to rising demand. In its report issued on April 12, 2022 OPEC noted its expectation that world oil demand will rise by 3.7 million Bbls per day in 2022, down 480,000 Bbls per day from its previous forecast due to the impact of the Russian-Ukrainian military conflict, rising inflation and the resurgence of the Omicron coronavirus variant in China. Although this demand outlook is expected to underpin oil prices, already seen at a seven-year high in February 2022, we cannot predict any future volatility in or levels of commodity prices or demand for crude oil.</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the recovery in commodity prices and rising demand, we expect to hold our oil production levels flat during 2022, using excess cash flow for debt repayment and/or return to our stockholders rather than expanding our drilling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and Recent Operating and Environmental and Social Responsibility (ESG) Highlights</w:t>
      </w:r>
    </w:p>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We recorded net income of $779 million for the first quarter of 2022.</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381.4 MBOE/d during the first quarter of 2022.</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first quarter of 2022, we drilled 47 gross horizontal wells in the Midland Basin and 14 gross horizontal wells in the Delaware Basin.</w:t>
      </w:r>
    </w:p>
    <w:p>
      <w:pPr>
        <w:spacing w:after="0" w:line="275" w:lineRule="exact"/>
        <w:rPr>
          <w:rFonts w:ascii="Arial" w:cs="Arial" w:eastAsia="Arial" w:hAnsi="Arial"/>
          <w:sz w:val="16"/>
          <w:szCs w:val="16"/>
          <w:b w:val="1"/>
          <w:bCs w:val="1"/>
          <w:i w:val="1"/>
          <w:iCs w:val="1"/>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turned 69 gross operated horizontal wells (54 in the Midland Basin and 15 in the Delaware Basin) to production and had capital expenditures, excluding acquisitions, of $437 million during the first quarter of 2022.</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first quarter of 2022 was 9,658 feet.</w:t>
      </w:r>
    </w:p>
    <w:p>
      <w:pPr>
        <w:spacing w:after="0" w:line="252" w:lineRule="exact"/>
        <w:rPr>
          <w:rFonts w:ascii="Arial" w:cs="Arial" w:eastAsia="Arial" w:hAnsi="Arial"/>
          <w:sz w:val="18"/>
          <w:szCs w:val="18"/>
          <w:b w:val="1"/>
          <w:bCs w:val="1"/>
          <w:i w:val="1"/>
          <w:iCs w:val="1"/>
          <w:color w:val="auto"/>
        </w:rPr>
      </w:pPr>
    </w:p>
    <w:p>
      <w:pPr>
        <w:ind w:left="660" w:hanging="328"/>
        <w:spacing w:after="0" w:line="342" w:lineRule="auto"/>
        <w:tabs>
          <w:tab w:leader="none" w:pos="655"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color w:val="auto"/>
        </w:rPr>
        <w:t>Our cash operating costs for the first quarter of 2022 were $11.36 per BOE, including lease operating expenses of $4.34 per BOE, cash general and administrative expenses of $0.61 per BOE and production and ad valorem taxes and gathering and transportation expenses of $6.41 per BOE.</w:t>
      </w:r>
    </w:p>
    <w:p>
      <w:pPr>
        <w:spacing w:after="0" w:line="150" w:lineRule="exact"/>
        <w:rPr>
          <w:rFonts w:ascii="Arial" w:cs="Arial" w:eastAsia="Arial" w:hAnsi="Arial"/>
          <w:sz w:val="16"/>
          <w:szCs w:val="16"/>
          <w:b w:val="1"/>
          <w:bCs w:val="1"/>
          <w:i w:val="1"/>
          <w:iCs w:val="1"/>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27, 2022, our board of directors declared a cash dividend for the first quarter of 2022 of $3.05 per share of common stock, payable on May 23, 2022 to our stockholders of record at the close of business on May 12, 2022. The dividend consists of a base quarterly dividend of $0.70 per share of common stock and a variable quarterly dividend of $2.35 per share of common stock. Future base and variable dividends are at the discretion of our board of directors.</w:t>
      </w:r>
    </w:p>
    <w:p>
      <w:pPr>
        <w:spacing w:after="0" w:line="213"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In January 2022, we acquired approximately 6,200 net acres from a third-party seller in Ward County, Texas for a purchase price of $232 million, net of customary post-closing adjustments, with average production of 1.3 MBO/d (2.3 MBOE/d) during the first quarter of 2022. The acquisition was funded with cash on hand and included 58 estimated gross (43 net) horizontal locations with an average lateral length of over 10,300 feet. The acquired acreage is 100% operated by us, with an average 74% working interest and 66% net revenue interest (85% effective net revenue interest).</w:t>
      </w:r>
    </w:p>
    <w:p>
      <w:pPr>
        <w:spacing w:after="0" w:line="184" w:lineRule="exact"/>
        <w:rPr>
          <w:rFonts w:ascii="Arial" w:cs="Arial" w:eastAsia="Arial" w:hAnsi="Arial"/>
          <w:sz w:val="16"/>
          <w:szCs w:val="16"/>
          <w:b w:val="1"/>
          <w:bCs w:val="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2022, we flared approximately 1.5% of our gross natural gas production.</w:t>
      </w:r>
    </w:p>
    <w:p>
      <w:pPr>
        <w:spacing w:after="0" w:line="25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April 30, 2022, we have installed Continuous Emissions Monitoring Systems that cover approximately 70% of our operated oil volume production and monitor methane emissions, carbon monoxide and hydrogen sulfide (H2S) in real time. We intend to increase this monitoring effect to cover over 90% of our operated oil production by year-end 2023.</w:t>
      </w:r>
    </w:p>
    <w:p>
      <w:pPr>
        <w:spacing w:after="0" w:line="210"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By investing in infrastructure in our high activity areas, we now have the ability to run a dedicated e-frac fleet for the foreseeable future. We have partnered with Halliburton to secure our first e-fleet frac-core, which will run on our Martin County acreage off power generated from a central location and delivered via existing lines, reducing our Scope 1 emissions profile. This partnership is expected to lower our cost per foot primarily due to fuel savings, decrease our footprint on location and increase our operational efficiency as a result of lower maintenance and non-productive time. We expect this fleet to be operational in the fourth quarter of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our upstream segment, our activities are primarily directed at the horizontal development of the Wolfcamp and Spraberry formations in the Midland Basin and the Wolfcamp and Bone Spring formations in the Delaware Basin within the Permian Basin. We intend to continue to develop our reserves and increase production through development drilling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exploitation and exploration activities on our multi-year inventory of identified potential drilling locations and through acquisitions that meet our strategic and financial objectives, targeting oil-weighted reserves.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2022, we had approximately 451,295 net acres, which primarily consisted of approximately 268,850 net acres in the Midland Basin and 153,782 net acres in the Delaware Basin.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total number of operated horizontal wells drilled and completed during the first quarter of 2022: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Three Months Ended March 31, 2022</w:t>
            </w:r>
          </w:p>
        </w:tc>
        <w:tc>
          <w:tcPr>
            <w:tcW w:w="620" w:type="dxa"/>
            <w:vAlign w:val="bottom"/>
            <w:tcBorders>
              <w:bottom w:val="single" w:sz="8" w:color="auto"/>
            </w:tcBorders>
          </w:tcPr>
          <w:p>
            <w:pPr>
              <w:spacing w:after="0"/>
              <w:rPr>
                <w:sz w:val="18"/>
                <w:szCs w:val="18"/>
                <w:color w:val="auto"/>
              </w:rPr>
            </w:pPr>
          </w:p>
        </w:tc>
      </w:tr>
      <w:tr>
        <w:trPr>
          <w:trHeight w:val="213"/>
        </w:trPr>
        <w:tc>
          <w:tcPr>
            <w:tcW w:w="68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Drilled</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ind w:left="640"/>
              <w:spacing w:after="0" w:line="213" w:lineRule="exact"/>
              <w:rPr>
                <w:sz w:val="20"/>
                <w:szCs w:val="20"/>
                <w:color w:val="auto"/>
              </w:rPr>
            </w:pPr>
            <w:r>
              <w:rPr>
                <w:rFonts w:ascii="Arial" w:cs="Arial" w:eastAsia="Arial" w:hAnsi="Arial"/>
                <w:sz w:val="16"/>
                <w:szCs w:val="16"/>
                <w:b w:val="1"/>
                <w:bCs w:val="1"/>
                <w:color w:val="auto"/>
                <w:w w:val="86"/>
              </w:rPr>
              <w:t>Completed</w:t>
            </w:r>
            <w:r>
              <w:rPr>
                <w:rFonts w:ascii="Arial" w:cs="Arial" w:eastAsia="Arial" w:hAnsi="Arial"/>
                <w:sz w:val="21"/>
                <w:szCs w:val="21"/>
                <w:b w:val="1"/>
                <w:bCs w:val="1"/>
                <w:color w:val="auto"/>
                <w:w w:val="86"/>
                <w:vertAlign w:val="superscript"/>
              </w:rPr>
              <w:t>(1)</w:t>
            </w:r>
          </w:p>
        </w:tc>
        <w:tc>
          <w:tcPr>
            <w:tcW w:w="620" w:type="dxa"/>
            <w:vAlign w:val="bottom"/>
            <w:tcBorders>
              <w:bottom w:val="single" w:sz="8" w:color="auto"/>
            </w:tcBorders>
          </w:tcPr>
          <w:p>
            <w:pPr>
              <w:spacing w:after="0"/>
              <w:rPr>
                <w:sz w:val="18"/>
                <w:szCs w:val="18"/>
                <w:color w:val="auto"/>
              </w:rPr>
            </w:pPr>
          </w:p>
        </w:tc>
      </w:tr>
      <w:tr>
        <w:trPr>
          <w:trHeight w:val="207"/>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740" w:type="dxa"/>
            <w:vAlign w:val="bottom"/>
          </w:tcPr>
          <w:p>
            <w:pPr>
              <w:ind w:left="32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00"/>
              <w:spacing w:after="0"/>
              <w:rPr>
                <w:sz w:val="20"/>
                <w:szCs w:val="20"/>
                <w:color w:val="auto"/>
              </w:rPr>
            </w:pPr>
            <w:r>
              <w:rPr>
                <w:rFonts w:ascii="Arial" w:cs="Arial" w:eastAsia="Arial" w:hAnsi="Arial"/>
                <w:sz w:val="16"/>
                <w:szCs w:val="16"/>
                <w:b w:val="1"/>
                <w:bCs w:val="1"/>
                <w:color w:val="auto"/>
              </w:rPr>
              <w:t>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ind w:left="320"/>
              <w:spacing w:after="0"/>
              <w:rPr>
                <w:sz w:val="20"/>
                <w:szCs w:val="20"/>
                <w:color w:val="auto"/>
              </w:rPr>
            </w:pPr>
            <w:r>
              <w:rPr>
                <w:rFonts w:ascii="Arial" w:cs="Arial" w:eastAsia="Arial" w:hAnsi="Arial"/>
                <w:sz w:val="16"/>
                <w:szCs w:val="16"/>
                <w:b w:val="1"/>
                <w:bCs w:val="1"/>
                <w:color w:val="auto"/>
              </w:rPr>
              <w:t>Gross</w:t>
            </w:r>
          </w:p>
        </w:tc>
        <w:tc>
          <w:tcPr>
            <w:tcW w:w="620" w:type="dxa"/>
            <w:vAlign w:val="bottom"/>
          </w:tcPr>
          <w:p>
            <w:pPr>
              <w:jc w:val="right"/>
              <w:ind w:right="292"/>
              <w:spacing w:after="0"/>
              <w:rPr>
                <w:sz w:val="20"/>
                <w:szCs w:val="20"/>
                <w:color w:val="auto"/>
              </w:rPr>
            </w:pPr>
            <w:r>
              <w:rPr>
                <w:rFonts w:ascii="Arial" w:cs="Arial" w:eastAsia="Arial" w:hAnsi="Arial"/>
                <w:sz w:val="16"/>
                <w:szCs w:val="16"/>
                <w:b w:val="1"/>
                <w:bCs w:val="1"/>
                <w:color w:val="auto"/>
                <w:w w:val="85"/>
              </w:rPr>
              <w:t>Net</w:t>
            </w:r>
          </w:p>
        </w:tc>
      </w:tr>
      <w:tr>
        <w:trPr>
          <w:trHeight w:val="226"/>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quarter of 2022 was 9,658 feet. Operated completions during the first quarter of 2022 consisted of 19 Lower Spraberry wells, 15 Wolfcamp A wells, 11 Jo Mill wells, 10 Middle Spraberry wells, six Wolfcamp B wells, six Second Bone Spring wells, one Third Bone Spring well and one Barnett well.</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we operated the following wells: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2"/>
              </w:rPr>
              <w:t>As of March 31, 2022</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940" w:type="dxa"/>
            <w:vAlign w:val="bottom"/>
          </w:tcPr>
          <w:p>
            <w:pPr>
              <w:spacing w:after="0"/>
              <w:rPr>
                <w:sz w:val="17"/>
                <w:szCs w:val="17"/>
                <w:color w:val="auto"/>
              </w:rPr>
            </w:pPr>
          </w:p>
        </w:tc>
        <w:tc>
          <w:tcPr>
            <w:tcW w:w="1660" w:type="dxa"/>
            <w:vAlign w:val="bottom"/>
            <w:gridSpan w:val="3"/>
          </w:tcPr>
          <w:p>
            <w:pPr>
              <w:ind w:left="700"/>
              <w:spacing w:after="0"/>
              <w:rPr>
                <w:sz w:val="20"/>
                <w:szCs w:val="20"/>
                <w:color w:val="auto"/>
              </w:rPr>
            </w:pPr>
            <w:r>
              <w:rPr>
                <w:rFonts w:ascii="Arial" w:cs="Arial" w:eastAsia="Arial" w:hAnsi="Arial"/>
                <w:sz w:val="16"/>
                <w:szCs w:val="16"/>
                <w:b w:val="1"/>
                <w:bCs w:val="1"/>
                <w:color w:val="auto"/>
                <w:w w:val="90"/>
              </w:rPr>
              <w:t>Vertical Wells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Horizontal Wells</w:t>
            </w:r>
          </w:p>
        </w:tc>
        <w:tc>
          <w:tcPr>
            <w:tcW w:w="1540" w:type="dxa"/>
            <w:vAlign w:val="bottom"/>
            <w:gridSpan w:val="3"/>
          </w:tcPr>
          <w:p>
            <w:pPr>
              <w:ind w:left="102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7"/>
                <w:szCs w:val="17"/>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6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5"/>
              </w:rPr>
              <w:t>Net</w:t>
            </w: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w:t>
            </w:r>
          </w:p>
        </w:tc>
      </w:tr>
      <w:tr>
        <w:trPr>
          <w:trHeight w:val="20"/>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we held interests in 11,289 gross (4,601 net) wells, including wells that we do not operate.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water sourcing and distribution assets consist of water wells, hydraulic fracturing pits, pipelines and water treatment and recycling facilities, which collectively gather and distribute water from Permian Basin aquifers to the drilling and completion sites through buried pipelines and temporary surface pipelines. Rattler’s gathering and disposal system spans approximately 600 miles and consists of gathering pipelines along with produced water disposal wells and facilities which collectively gather and dispose of produced water from operations throughout our Permian Basin acreage.</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11"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midstream operations segment’s revenues and operating expenses were not significant to our condensed consolidated statements of operations for the three months ended March 31, 2022 and 2021. See Note 16—</w:t>
      </w:r>
      <w:hyperlink w:anchor="page31">
        <w:r>
          <w:rPr>
            <w:rFonts w:ascii="Arial" w:cs="Arial" w:eastAsia="Arial" w:hAnsi="Arial"/>
            <w:sz w:val="18"/>
            <w:szCs w:val="18"/>
            <w:u w:val="single" w:color="auto"/>
            <w:color w:val="0000FF"/>
          </w:rPr>
          <w:t>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details regarding acquisitions.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first quarter of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16,578</w:t>
            </w:r>
          </w:p>
        </w:tc>
      </w:tr>
      <w:tr>
        <w:trPr>
          <w:trHeight w:val="229"/>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r>
      <w:tr>
        <w:trPr>
          <w:trHeight w:val="230"/>
        </w:trPr>
        <w:tc>
          <w:tcPr>
            <w:tcW w:w="786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5,405</w:t>
            </w:r>
          </w:p>
        </w:tc>
      </w:tr>
      <w:tr>
        <w:trPr>
          <w:trHeight w:val="229"/>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70"/>
        </w:trPr>
        <w:tc>
          <w:tcPr>
            <w:tcW w:w="7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oil volumes (BO/d)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222,833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381,378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307,422</w:t>
            </w:r>
          </w:p>
        </w:tc>
      </w:tr>
      <w:tr>
        <w:trPr>
          <w:trHeight w:val="270"/>
        </w:trPr>
        <w:tc>
          <w:tcPr>
            <w:tcW w:w="7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2"/>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r>
      <w:tr>
        <w:trPr>
          <w:trHeight w:val="230"/>
        </w:trPr>
        <w:tc>
          <w:tcPr>
            <w:tcW w:w="786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30"/>
        </w:trPr>
        <w:tc>
          <w:tcPr>
            <w:tcW w:w="786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42.36</w:t>
            </w:r>
          </w:p>
        </w:tc>
      </w:tr>
      <w:tr>
        <w:trPr>
          <w:trHeight w:val="270"/>
        </w:trPr>
        <w:tc>
          <w:tcPr>
            <w:tcW w:w="7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786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46.81</w:t>
            </w:r>
          </w:p>
        </w:tc>
      </w:tr>
      <w:tr>
        <w:trPr>
          <w:trHeight w:val="230"/>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786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30"/>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r>
    </w:tbl>
    <w:p>
      <w:pPr>
        <w:spacing w:after="0" w:line="8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set forth the mix of our production data by product and basin for the first quarter of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84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Three Months Ended March 31, 2022</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Three Months Ended March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13,921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6,101</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760" w:type="dxa"/>
            <w:vAlign w:val="bottom"/>
          </w:tcPr>
          <w:p>
            <w:pPr>
              <w:jc w:val="right"/>
              <w:spacing w:after="0"/>
              <w:rPr>
                <w:sz w:val="20"/>
                <w:szCs w:val="20"/>
                <w:color w:val="auto"/>
              </w:rPr>
            </w:pPr>
            <w:r>
              <w:rPr>
                <w:rFonts w:ascii="Arial" w:cs="Arial" w:eastAsia="Arial" w:hAnsi="Arial"/>
                <w:sz w:val="18"/>
                <w:szCs w:val="18"/>
                <w:color w:val="auto"/>
              </w:rPr>
              <w:t>20,055</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9,840</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6,436</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302</w:t>
            </w:r>
          </w:p>
        </w:tc>
        <w:tc>
          <w:tcPr>
            <w:tcW w:w="740" w:type="dxa"/>
            <w:vAlign w:val="bottom"/>
          </w:tcPr>
          <w:p>
            <w:pPr>
              <w:jc w:val="right"/>
              <w:spacing w:after="0"/>
              <w:rPr>
                <w:sz w:val="20"/>
                <w:szCs w:val="20"/>
                <w:color w:val="auto"/>
              </w:rPr>
            </w:pPr>
            <w:r>
              <w:rPr>
                <w:rFonts w:ascii="Arial" w:cs="Arial" w:eastAsia="Arial" w:hAnsi="Arial"/>
                <w:sz w:val="18"/>
                <w:szCs w:val="18"/>
                <w:color w:val="auto"/>
              </w:rPr>
              <w:t>16,578</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26,873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15,681</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18,457</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15,055</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4,750</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2,390</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3,236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2,069</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5,405</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23,150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11,105</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16,152</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11,014</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r>
    </w:tbl>
    <w:p>
      <w:pPr>
        <w:spacing w:after="0" w:line="1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Eagle Ford Shale and Rockies.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oil, natural gas and natural gas liquids revenues for the first quarter of 2022 increased by $1.2 billion, or 104%, to $2.4 billion from $1.2 billion during the same period in 2021. Higher average oil prices, and to a lesser extent natural gas and natural gas liquids prices, contributed $1.0 billion of the total increase. The remainder of the overall change is due to a 24% increase in combined volumes sold.</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i w:val="1"/>
          <w:iCs w:val="1"/>
          <w:color w:val="0000FF"/>
        </w:rPr>
      </w:pPr>
      <w:r>
        <w:rPr>
          <w:rFonts w:ascii="Arial" w:cs="Arial" w:eastAsia="Arial" w:hAnsi="Arial"/>
          <w:sz w:val="18"/>
          <w:szCs w:val="18"/>
          <w:color w:val="auto"/>
        </w:rPr>
        <w:t>Higher commodity prices in the first quarter of 2022 compared to the same period in 2021 primarily reflect the increase in demand for oil due to economic recovery from the COVID-19 pandemic and other macroeconomic factors such as the Russian-Ukrainian military conflict as discussed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hyperlink w:anchor="page33">
        <w:r>
          <w:rPr>
            <w:rFonts w:ascii="Arial" w:cs="Arial" w:eastAsia="Arial" w:hAnsi="Arial"/>
            <w:sz w:val="18"/>
            <w:szCs w:val="18"/>
            <w:i w:val="1"/>
            <w:iCs w:val="1"/>
            <w:u w:val="single" w:color="auto"/>
            <w:color w:val="0000FF"/>
          </w:rPr>
          <w:t>Recent Developments</w:t>
        </w:r>
      </w:hyperlink>
      <w:r>
        <w:rPr>
          <w:rFonts w:ascii="Arial" w:cs="Arial" w:eastAsia="Arial" w:hAnsi="Arial"/>
          <w:sz w:val="18"/>
          <w:szCs w:val="18"/>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above. The increase in production for the first quarter of 2022 compared to the same period in 2021 resulted primarily from</w:t>
      </w:r>
      <w:r>
        <w:rPr>
          <w:rFonts w:ascii="Arial" w:cs="Arial" w:eastAsia="Arial" w:hAnsi="Arial"/>
          <w:sz w:val="18"/>
          <w:szCs w:val="18"/>
          <w:i w:val="1"/>
          <w:iCs w:val="1"/>
          <w:color w:val="0000FF"/>
        </w:rPr>
        <w:t xml:space="preserve"> </w:t>
      </w:r>
      <w:r>
        <w:rPr>
          <w:rFonts w:ascii="Arial" w:cs="Arial" w:eastAsia="Arial" w:hAnsi="Arial"/>
          <w:sz w:val="18"/>
          <w:szCs w:val="18"/>
          <w:color w:val="000000"/>
        </w:rPr>
        <w:t>recognizing a full quarter’s production in the first quarter of 2022 related to the Guidon Acquisition and QEP Merger, which occurred late in the first quarter of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The following table shows the other insignificant revenues for the three months ended March 31,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00" w:type="dxa"/>
            <w:vAlign w:val="bottom"/>
            <w:gridSpan w:val="2"/>
          </w:tcPr>
          <w:p>
            <w:pPr>
              <w:jc w:val="right"/>
              <w:ind w:right="793"/>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34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340" w:type="dxa"/>
            <w:vAlign w:val="bottom"/>
          </w:tcPr>
          <w:p>
            <w:pPr>
              <w:jc w:val="right"/>
              <w:ind w:right="10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three months ended March 31, 2022 and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r>
      <w:tr>
        <w:trPr>
          <w:trHeight w:val="209"/>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w w:val="95"/>
              </w:rPr>
              <w:t>Amount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8"/>
              </w:rPr>
              <w:t>Per BOE</w:t>
            </w:r>
          </w:p>
        </w:tc>
      </w:tr>
      <w:tr>
        <w:trPr>
          <w:trHeight w:val="209"/>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8"/>
          </w:tcPr>
          <w:p>
            <w:pPr>
              <w:jc w:val="right"/>
              <w:ind w:right="575"/>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bl>
    <w:p>
      <w:pPr>
        <w:spacing w:after="0" w:line="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Lease operating expenses increased by $47 million, or $0.65 per BOE for the first quarter of 2022 compared to the first quarter of 2021. This increase is primarily due to recording a full quarter of production and operating expenses from the Guidon Acquisition and the QEP Merger in the first quarter of 2022. The increase on a per BOE basis is primarily due to the impact of production acquired from the Guidon Acquisition and the QEP Merger, which on average have higher lease operating expenses per BOE than our historical properties and, to a lesser extent, an increase in well workover activity.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9"/>
              </w:rPr>
              <w:t>2022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0"/>
          </w:tcPr>
          <w:p>
            <w:pPr>
              <w:jc w:val="right"/>
              <w:spacing w:after="0"/>
              <w:rPr>
                <w:sz w:val="20"/>
                <w:szCs w:val="20"/>
                <w:color w:val="auto"/>
              </w:rPr>
            </w:pPr>
            <w:r>
              <w:rPr>
                <w:rFonts w:ascii="Arial" w:cs="Arial" w:eastAsia="Arial" w:hAnsi="Arial"/>
                <w:sz w:val="16"/>
                <w:szCs w:val="16"/>
                <w:b w:val="1"/>
                <w:bCs w:val="1"/>
                <w:color w:val="auto"/>
              </w:rPr>
              <w:t>(In millions, except per BOE amounts)</w:t>
            </w:r>
          </w:p>
        </w:tc>
        <w:tc>
          <w:tcPr>
            <w:tcW w:w="780" w:type="dxa"/>
            <w:vAlign w:val="bottom"/>
          </w:tcPr>
          <w:p>
            <w:pPr>
              <w:spacing w:after="0"/>
              <w:rPr>
                <w:sz w:val="18"/>
                <w:szCs w:val="18"/>
                <w:color w:val="auto"/>
              </w:rPr>
            </w:pPr>
          </w:p>
        </w:tc>
      </w:tr>
      <w:tr>
        <w:trPr>
          <w:trHeight w:val="232"/>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production revenues remained consistent for the first quarter of 2022 compared to the same period in 2021.</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first quarter of 2022 as compared to the same period in 2021 increased by $26 million primarily due to higher overall valuations resulting from an increase in commodity prices between valuation periods.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78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2"/>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8"/>
          </w:tcPr>
          <w:p>
            <w:pPr>
              <w:jc w:val="right"/>
              <w:ind w:right="535"/>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increase in gathering and transportation expenses for the first quarter of 2022, compared to the same period in 2021 is primarily attributable to the increase in production between periods. The increase on a per BOE basis is primarily attributable to several individually insignificant factors including an increase in third-party gas gathering expenses related to the sale of certain gas gathering assets during the fourth quarter of 2021, production added from the QEP Merger which has higher average gathering and transportation costs per BOE than our historical properties and annual contractual rate escalations.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months ended March 31,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18"/>
                <w:szCs w:val="18"/>
                <w:color w:val="auto"/>
              </w:rPr>
            </w:pPr>
          </w:p>
        </w:tc>
        <w:tc>
          <w:tcPr>
            <w:tcW w:w="2980" w:type="dxa"/>
            <w:vAlign w:val="bottom"/>
            <w:gridSpan w:val="5"/>
          </w:tcPr>
          <w:p>
            <w:pPr>
              <w:jc w:val="right"/>
              <w:ind w:right="191"/>
              <w:spacing w:after="0"/>
              <w:rPr>
                <w:sz w:val="20"/>
                <w:szCs w:val="20"/>
                <w:color w:val="auto"/>
              </w:rPr>
            </w:pPr>
            <w:r>
              <w:rPr>
                <w:rFonts w:ascii="Arial" w:cs="Arial" w:eastAsia="Arial" w:hAnsi="Arial"/>
                <w:sz w:val="16"/>
                <w:szCs w:val="16"/>
                <w:b w:val="1"/>
                <w:bCs w:val="1"/>
                <w:color w:val="auto"/>
              </w:rPr>
              <w:t>(In millions, except BOE amounts)</w:t>
            </w: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980" w:type="dxa"/>
            <w:vAlign w:val="bottom"/>
          </w:tcPr>
          <w:p>
            <w:pPr>
              <w:jc w:val="right"/>
              <w:ind w:right="775"/>
              <w:spacing w:after="0" w:line="204"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4"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c>
          <w:tcPr>
            <w:tcW w:w="340" w:type="dxa"/>
            <w:vAlign w:val="bottom"/>
          </w:tcPr>
          <w:p>
            <w:pPr>
              <w:jc w:val="right"/>
              <w:ind w:right="130"/>
              <w:spacing w:after="0" w:line="204"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depletion of proved oil and natural gas properties of $29 million for the first quarter of 2022 as compared to the same period in 2021 resulted largely from higher production volumes partially offset by a lower average depletion rate. The decline in rate resulted primarily from higher SEC prices utilized in the reserve calculations in the 2022 period, lengthening the economic life of the reserve base and resulting in higher projected remaining reserve volumes on our wells.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No impairment expense was recorded for the first quarter of 2022. In connection with the QEP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and the Guidon Acquisition in the first quarter of 2021,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in the first quarter of 2021. The properties acquired in the QEP Merger and the Guidon Acquisition had total unamortized costs at March 31, 2021 of $3.0 billion and $1.1 billion, respectively.</w:t>
      </w:r>
    </w:p>
    <w:p>
      <w:pPr>
        <w:spacing w:after="0" w:line="219"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significantly as compared to the commodity prices used in prior quarters, we may have material write-downs in subsequent quarters. See Note 5—</w:t>
      </w:r>
      <w:hyperlink w:anchor="page18">
        <w:r>
          <w:rPr>
            <w:rFonts w:ascii="Arial" w:cs="Arial" w:eastAsia="Arial" w:hAnsi="Arial"/>
            <w:sz w:val="16"/>
            <w:szCs w:val="16"/>
            <w:u w:val="single" w:color="auto"/>
            <w:color w:val="0000FF"/>
          </w:rPr>
          <w:t>Property and Equipment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condensed notes to the consolidated financial statements included elsewhere in this report for further details regarding factors that impact the impairment of oil and natural gas properties.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84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2022</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2021</w:t>
            </w:r>
          </w:p>
        </w:tc>
        <w:tc>
          <w:tcPr>
            <w:tcW w:w="84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2"/>
          </w:tcPr>
          <w:p>
            <w:pPr>
              <w:jc w:val="right"/>
              <w:ind w:right="612"/>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increase in general and administrative expenses for the first quarter of 2022 compared to the same period in 2021 was due primarily to higher compensation costs resulting from growth in our headcount and an increase in salary and bonus costs in the current year. Additionally, equity compensation increased by $5 million for the first quarter of 2022 compared to the same period in 2021, primarily due to a higher grant-date fair value for performance stock units issued in the first quarter of 2022 and the accelerated vesting of restricted stock held by transitional employees related to the QEP Merger.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Merger and Integration Expense. </w:t>
      </w:r>
      <w:r>
        <w:rPr>
          <w:rFonts w:ascii="Arial" w:cs="Arial" w:eastAsia="Arial" w:hAnsi="Arial"/>
          <w:sz w:val="16"/>
          <w:szCs w:val="16"/>
          <w:color w:val="auto"/>
        </w:rPr>
        <w:t>The following tables shows merger and integration expense for the three months ended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p>
      <w:pPr>
        <w:jc w:val="center"/>
        <w:ind w:left="82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20320</wp:posOffset>
            </wp:positionV>
            <wp:extent cx="18688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6" w:lineRule="exact"/>
        <w:rPr>
          <w:sz w:val="20"/>
          <w:szCs w:val="20"/>
          <w:color w:val="auto"/>
        </w:rPr>
      </w:pPr>
    </w:p>
    <w:p>
      <w:pPr>
        <w:ind w:left="8840"/>
        <w:spacing w:after="0"/>
        <w:tabs>
          <w:tab w:leader="none" w:pos="103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20320</wp:posOffset>
            </wp:positionV>
            <wp:extent cx="186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6"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300" w:val="left"/>
          <w:tab w:leader="none" w:pos="9440" w:val="left"/>
          <w:tab w:leader="none" w:pos="9820" w:val="left"/>
          <w:tab w:leader="none" w:pos="10960" w:val="left"/>
        </w:tabs>
        <w:rPr>
          <w:sz w:val="20"/>
          <w:szCs w:val="20"/>
          <w:color w:val="auto"/>
        </w:rPr>
      </w:pPr>
      <w:r>
        <w:rPr>
          <w:rFonts w:ascii="Arial" w:cs="Arial" w:eastAsia="Arial" w:hAnsi="Arial"/>
          <w:sz w:val="18"/>
          <w:szCs w:val="18"/>
          <w:color w:val="auto"/>
        </w:rPr>
        <w:t>Merger and integration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Total merger and integration expense for the first quarter of 2021 includes $67 million in costs incurred for the QEP Merger and $8 million in costs incurred for the Guidon Acquisition. The QEP Merger related expenses primarily consisted of $38 million in severance costs and $23 million in </w:t>
      </w:r>
      <w:hyperlink w:anchor="page14">
        <w:r>
          <w:rPr>
            <w:rFonts w:ascii="Arial" w:cs="Arial" w:eastAsia="Arial" w:hAnsi="Arial"/>
            <w:sz w:val="18"/>
            <w:szCs w:val="18"/>
            <w:color w:val="auto"/>
          </w:rPr>
          <w:t>banking, legal and advisory fees, and the Guidon Acquisition related expenses consisted primarily of advisory and legal fees. See Note 4—</w:t>
        </w:r>
        <w:r>
          <w:rPr>
            <w:rFonts w:ascii="Arial" w:cs="Arial" w:eastAsia="Arial" w:hAnsi="Arial"/>
            <w:sz w:val="18"/>
            <w:szCs w:val="18"/>
            <w:u w:val="single" w:color="auto"/>
            <w:color w:val="0000FF"/>
          </w:rPr>
          <w:t>Acquisitions</w:t>
        </w:r>
      </w:hyperlink>
      <w:r>
        <w:rPr>
          <w:rFonts w:ascii="Arial" w:cs="Arial" w:eastAsia="Arial" w:hAnsi="Arial"/>
          <w:sz w:val="18"/>
          <w:szCs w:val="18"/>
          <w:color w:val="auto"/>
        </w:rPr>
        <w:t xml:space="preserve"> </w:t>
      </w:r>
      <w:hyperlink w:anchor="page14">
        <w:r>
          <w:rPr>
            <w:rFonts w:ascii="Arial" w:cs="Arial" w:eastAsia="Arial" w:hAnsi="Arial"/>
            <w:sz w:val="18"/>
            <w:szCs w:val="18"/>
            <w:u w:val="single" w:color="auto"/>
            <w:color w:val="0000FF"/>
          </w:rPr>
          <w:t>and Divestitures</w:t>
        </w:r>
        <w:r>
          <w:rPr>
            <w:rFonts w:ascii="Arial" w:cs="Arial" w:eastAsia="Arial" w:hAnsi="Arial"/>
            <w:sz w:val="18"/>
            <w:szCs w:val="18"/>
            <w:color w:val="0000FF"/>
          </w:rPr>
          <w:t xml:space="preserve"> </w:t>
        </w:r>
        <w:r>
          <w:rPr>
            <w:rFonts w:ascii="Arial" w:cs="Arial" w:eastAsia="Arial" w:hAnsi="Arial"/>
            <w:sz w:val="18"/>
            <w:szCs w:val="18"/>
            <w:color w:val="000000"/>
          </w:rPr>
          <w:t>of the condensed notes to the consolidated financial statements included elsewhere in this report for further details regarding the QEP</w:t>
        </w:r>
      </w:hyperlink>
      <w:r>
        <w:rPr>
          <w:rFonts w:ascii="Arial" w:cs="Arial" w:eastAsia="Arial" w:hAnsi="Arial"/>
          <w:sz w:val="18"/>
          <w:szCs w:val="18"/>
          <w:color w:val="0000FF"/>
        </w:rPr>
        <w:t xml:space="preserve"> </w:t>
      </w:r>
      <w:r>
        <w:rPr>
          <w:rFonts w:ascii="Arial" w:cs="Arial" w:eastAsia="Arial" w:hAnsi="Arial"/>
          <w:sz w:val="18"/>
          <w:szCs w:val="18"/>
          <w:color w:val="000000"/>
        </w:rPr>
        <w:t>Merger and the Guidon Acquisition.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Operating Costs and Expenses. </w:t>
      </w:r>
      <w:r>
        <w:rPr>
          <w:rFonts w:ascii="Arial" w:cs="Arial" w:eastAsia="Arial" w:hAnsi="Arial"/>
          <w:sz w:val="16"/>
          <w:szCs w:val="16"/>
          <w:color w:val="auto"/>
        </w:rPr>
        <w:t>The following table shows the other insignificant operating costs and expenses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6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6"/>
                <w:szCs w:val="16"/>
                <w:b w:val="1"/>
                <w:bCs w:val="1"/>
                <w:color w:val="auto"/>
                <w:w w:val="93"/>
              </w:rPr>
              <w:t>Three Months Ended March 31,</w:t>
            </w:r>
          </w:p>
        </w:tc>
        <w:tc>
          <w:tcPr>
            <w:tcW w:w="32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2"/>
          </w:tcPr>
          <w:p>
            <w:pPr>
              <w:jc w:val="center"/>
              <w:ind w:right="575"/>
              <w:spacing w:after="0"/>
              <w:rPr>
                <w:sz w:val="20"/>
                <w:szCs w:val="20"/>
                <w:color w:val="auto"/>
              </w:rPr>
            </w:pPr>
            <w:r>
              <w:rPr>
                <w:rFonts w:ascii="Arial" w:cs="Arial" w:eastAsia="Arial" w:hAnsi="Arial"/>
                <w:sz w:val="16"/>
                <w:szCs w:val="16"/>
                <w:b w:val="1"/>
                <w:bCs w:val="1"/>
                <w:color w:val="auto"/>
                <w:w w:val="95"/>
              </w:rPr>
              <w:t>(In millions)</w:t>
            </w:r>
          </w:p>
        </w:tc>
        <w:tc>
          <w:tcPr>
            <w:tcW w:w="32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expense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operating expense</w:t>
            </w:r>
          </w:p>
        </w:tc>
        <w:tc>
          <w:tcPr>
            <w:tcW w:w="980" w:type="dxa"/>
            <w:vAlign w:val="bottom"/>
          </w:tcPr>
          <w:p>
            <w:pPr>
              <w:spacing w:after="0"/>
              <w:rPr>
                <w:sz w:val="20"/>
                <w:szCs w:val="20"/>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The following table shows the components of net interest expense for the three months ended March 31, 2022 and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agreements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Net interest expense decreased by $16 million for the first quarter of 2022 compared to the same period in 2021, primarily due to an increase in capitalized interest costs. 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details regarding outstanding borrowings.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months ended March 31,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209"/>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304"/>
        </w:trPr>
        <w:tc>
          <w:tcPr>
            <w:tcW w:w="826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three months ended March 31, 2022 includes cash paid on commodity contracts terminated prior to their contractual maturity of $135 million.</w:t>
      </w:r>
    </w:p>
    <w:p>
      <w:pPr>
        <w:spacing w:after="0" w:line="34" w:lineRule="exact"/>
        <w:rPr>
          <w:rFonts w:ascii="Arial" w:cs="Arial" w:eastAsia="Arial" w:hAnsi="Arial"/>
          <w:sz w:val="17"/>
          <w:szCs w:val="17"/>
          <w:color w:val="auto"/>
        </w:rPr>
      </w:pPr>
    </w:p>
    <w:p>
      <w:pPr>
        <w:ind w:left="340" w:hanging="332"/>
        <w:spacing w:after="0" w:line="260"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three months ended March 31, 2021 includes cash received on interest rate swap contracts terminated prior to their contractual maturity of $80 million.</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designated certain of our interest rate swaps as fair value hedges for accounting purposes. As a result, gains and losses due to changes in the fair value of the interest rate swaps completely offset changes in the fair value of the hedged portion of the underlying debt and no gain or loss is recognized due to hedge effectiveness. Changes in fair value are recorded as an adjustment to the carrying value of the 2029 Notes in the condensed consolidated balance sheet. Beginning on December 1, 2021, semi-annual cash settlements of these interest rate swaps will be recorded in interest expense in the condensed consolidated statements of operations.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The following table shows other insignificant income and expenses for the three months ended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30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gridSpan w:val="2"/>
          </w:tcPr>
          <w:p>
            <w:pPr>
              <w:jc w:val="right"/>
              <w:ind w:right="752"/>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8"/>
                <w:szCs w:val="18"/>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280" w:type="dxa"/>
            <w:vAlign w:val="bottom"/>
          </w:tcPr>
          <w:p>
            <w:pPr>
              <w:jc w:val="right"/>
              <w:ind w:right="10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investments</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details regarding gain (loss) on extinguishment of debt in the first quarter of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The following table shows the provision for (benefit from) income taxes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79"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20320</wp:posOffset>
            </wp:positionV>
            <wp:extent cx="18859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20320</wp:posOffset>
            </wp:positionV>
            <wp:extent cx="18859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6"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260" w:val="left"/>
          <w:tab w:leader="none" w:pos="9340" w:val="left"/>
          <w:tab w:leader="none" w:pos="9800" w:val="left"/>
          <w:tab w:leader="none" w:pos="10960" w:val="left"/>
        </w:tabs>
        <w:rPr>
          <w:sz w:val="20"/>
          <w:szCs w:val="20"/>
          <w:color w:val="auto"/>
        </w:rPr>
      </w:pPr>
      <w:r>
        <w:rPr>
          <w:rFonts w:ascii="Arial" w:cs="Arial" w:eastAsia="Arial" w:hAnsi="Arial"/>
          <w:sz w:val="18"/>
          <w:szCs w:val="18"/>
          <w:color w:val="auto"/>
        </w:rPr>
        <w:t>Provision for (benefit from)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221</w:t>
        <w:tab/>
        <w: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change in our income tax provision for the first quarter of 2022 compared to the same period in 2021 was primarily due to the increase in pre-tax income which resulted primarily from the changes in revenues from oil, natural gas and natural gas liquids, gain (loss) on derivatives and other expenses discussed above. See Note 10—</w:t>
      </w:r>
      <w:hyperlink w:anchor="page24">
        <w:r>
          <w:rPr>
            <w:rFonts w:ascii="Arial" w:cs="Arial" w:eastAsia="Arial" w:hAnsi="Arial"/>
            <w:sz w:val="18"/>
            <w:szCs w:val="18"/>
            <w:u w:val="single" w:color="auto"/>
            <w:color w:val="0000FF"/>
          </w:rPr>
          <w:t>Income Taxes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discussion of our income tax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December 31, 2021</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As noted in “</w:t>
      </w:r>
      <w:r>
        <w:rPr>
          <w:rFonts w:ascii="Arial" w:cs="Arial" w:eastAsia="Arial" w:hAnsi="Arial"/>
          <w:sz w:val="17"/>
          <w:szCs w:val="17"/>
          <w:i w:val="1"/>
          <w:iCs w:val="1"/>
          <w:color w:val="auto"/>
        </w:rPr>
        <w:t>—</w:t>
      </w:r>
      <w:hyperlink w:anchor="page33">
        <w:r>
          <w:rPr>
            <w:rFonts w:ascii="Arial" w:cs="Arial" w:eastAsia="Arial" w:hAnsi="Arial"/>
            <w:sz w:val="17"/>
            <w:szCs w:val="17"/>
            <w:i w:val="1"/>
            <w:iCs w:val="1"/>
            <w:u w:val="single" w:color="auto"/>
            <w:color w:val="0000FF"/>
          </w:rPr>
          <w:t>Recent Developments</w:t>
        </w:r>
      </w:hyperlink>
      <w:r>
        <w:rPr>
          <w:rFonts w:ascii="Arial" w:cs="Arial" w:eastAsia="Arial" w:hAnsi="Arial"/>
          <w:sz w:val="17"/>
          <w:szCs w:val="17"/>
          <w:i w:val="1"/>
          <w:iCs w:val="1"/>
          <w:color w:val="auto"/>
        </w:rPr>
        <w:t>,</w:t>
      </w:r>
      <w:r>
        <w:rPr>
          <w:rFonts w:ascii="Arial" w:cs="Arial" w:eastAsia="Arial" w:hAnsi="Arial"/>
          <w:sz w:val="17"/>
          <w:szCs w:val="17"/>
          <w:color w:val="auto"/>
        </w:rPr>
        <w:t>” the markets for oil and natural gas are highly volatile and are influenced by a number of factors which can lead to significant changes in our results of operations and management’s operational strategy on a quarterly basis. As a result, beginning with the first quarter of 2022, we have elected to change our results of operations discussion to focus on a comparison of the current quarter’s results of operations with those of the immediately preceding quarter. We believe the change in our discussion will provide investors with a more meaningful analysis of material operational and financial changes which occurred during the quarter based on current market and operational trends.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three months ended March 31, 2022 and December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48"/>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72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20,819</w:t>
            </w:r>
          </w:p>
        </w:tc>
      </w:tr>
      <w:tr>
        <w:trPr>
          <w:trHeight w:val="230"/>
        </w:trPr>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r>
      <w:tr>
        <w:trPr>
          <w:trHeight w:val="229"/>
        </w:trPr>
        <w:tc>
          <w:tcPr>
            <w:tcW w:w="772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7,254</w:t>
            </w:r>
          </w:p>
        </w:tc>
      </w:tr>
      <w:tr>
        <w:trPr>
          <w:trHeight w:val="230"/>
        </w:trPr>
        <w:tc>
          <w:tcPr>
            <w:tcW w:w="7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35,610</w:t>
            </w:r>
          </w:p>
        </w:tc>
      </w:tr>
      <w:tr>
        <w:trPr>
          <w:trHeight w:val="270"/>
        </w:trPr>
        <w:tc>
          <w:tcPr>
            <w:tcW w:w="7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oil volumes (BO/d)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226,293</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381,378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387,065</w:t>
            </w:r>
          </w:p>
        </w:tc>
      </w:tr>
      <w:tr>
        <w:trPr>
          <w:trHeight w:val="270"/>
        </w:trPr>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2"/>
        </w:trPr>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r>
      <w:tr>
        <w:trPr>
          <w:trHeight w:val="230"/>
        </w:trPr>
        <w:tc>
          <w:tcPr>
            <w:tcW w:w="772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r>
      <w:tr>
        <w:trPr>
          <w:trHeight w:val="230"/>
        </w:trPr>
        <w:tc>
          <w:tcPr>
            <w:tcW w:w="772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70"/>
        </w:trPr>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0"/>
        </w:trPr>
        <w:tc>
          <w:tcPr>
            <w:tcW w:w="772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58.70</w:t>
            </w:r>
          </w:p>
        </w:tc>
      </w:tr>
      <w:tr>
        <w:trPr>
          <w:trHeight w:val="229"/>
        </w:trPr>
        <w:tc>
          <w:tcPr>
            <w:tcW w:w="7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72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34.46</w:t>
            </w:r>
          </w:p>
        </w:tc>
      </w:tr>
      <w:tr>
        <w:trPr>
          <w:trHeight w:val="230"/>
        </w:trPr>
        <w:tc>
          <w:tcPr>
            <w:tcW w:w="7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r>
    </w:tbl>
    <w:p>
      <w:pPr>
        <w:spacing w:after="0" w:line="8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provides information on the mix of our production for the three months ended March 31, 2022 and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80" w:type="dxa"/>
            <w:vAlign w:val="bottom"/>
          </w:tcPr>
          <w:p>
            <w:pPr>
              <w:spacing w:after="0"/>
              <w:rPr>
                <w:sz w:val="18"/>
                <w:szCs w:val="18"/>
                <w:color w:val="auto"/>
              </w:rPr>
            </w:pPr>
          </w:p>
        </w:tc>
        <w:tc>
          <w:tcPr>
            <w:tcW w:w="19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 2022</w:t>
            </w:r>
          </w:p>
        </w:tc>
        <w:tc>
          <w:tcPr>
            <w:tcW w:w="1840" w:type="dxa"/>
            <w:vAlign w:val="bottom"/>
          </w:tcPr>
          <w:p>
            <w:pPr>
              <w:jc w:val="right"/>
              <w:ind w:right="172"/>
              <w:spacing w:after="0"/>
              <w:rPr>
                <w:sz w:val="20"/>
                <w:szCs w:val="20"/>
                <w:color w:val="auto"/>
              </w:rPr>
            </w:pPr>
            <w:r>
              <w:rPr>
                <w:rFonts w:ascii="Arial" w:cs="Arial" w:eastAsia="Arial" w:hAnsi="Arial"/>
                <w:sz w:val="16"/>
                <w:szCs w:val="16"/>
                <w:b w:val="1"/>
                <w:bCs w:val="1"/>
                <w:color w:val="auto"/>
              </w:rPr>
              <w:t>December 21, 2021</w:t>
            </w:r>
          </w:p>
        </w:tc>
      </w:t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8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74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64"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Three Months Ended March 31, 2022</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Three Months Ended 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13,921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6,101</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760" w:type="dxa"/>
            <w:vAlign w:val="bottom"/>
          </w:tcPr>
          <w:p>
            <w:pPr>
              <w:jc w:val="right"/>
              <w:spacing w:after="0"/>
              <w:rPr>
                <w:sz w:val="20"/>
                <w:szCs w:val="20"/>
                <w:color w:val="auto"/>
              </w:rPr>
            </w:pPr>
            <w:r>
              <w:rPr>
                <w:rFonts w:ascii="Arial" w:cs="Arial" w:eastAsia="Arial" w:hAnsi="Arial"/>
                <w:sz w:val="18"/>
                <w:szCs w:val="18"/>
                <w:color w:val="auto"/>
              </w:rPr>
              <w:t>20,055</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14,047</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6,598</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740" w:type="dxa"/>
            <w:vAlign w:val="bottom"/>
          </w:tcPr>
          <w:p>
            <w:pPr>
              <w:jc w:val="right"/>
              <w:spacing w:after="0"/>
              <w:rPr>
                <w:sz w:val="20"/>
                <w:szCs w:val="20"/>
                <w:color w:val="auto"/>
              </w:rPr>
            </w:pPr>
            <w:r>
              <w:rPr>
                <w:rFonts w:ascii="Arial" w:cs="Arial" w:eastAsia="Arial" w:hAnsi="Arial"/>
                <w:sz w:val="18"/>
                <w:szCs w:val="18"/>
                <w:color w:val="auto"/>
              </w:rPr>
              <w:t>20,819</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26,873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15,681</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26,261</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18,531</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4,750</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2,390</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4,864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2,311</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740" w:type="dxa"/>
            <w:vAlign w:val="bottom"/>
          </w:tcPr>
          <w:p>
            <w:pPr>
              <w:jc w:val="right"/>
              <w:spacing w:after="0"/>
              <w:rPr>
                <w:sz w:val="20"/>
                <w:szCs w:val="20"/>
                <w:color w:val="auto"/>
              </w:rPr>
            </w:pPr>
            <w:r>
              <w:rPr>
                <w:rFonts w:ascii="Arial" w:cs="Arial" w:eastAsia="Arial" w:hAnsi="Arial"/>
                <w:sz w:val="18"/>
                <w:szCs w:val="18"/>
                <w:color w:val="auto"/>
              </w:rPr>
              <w:t>7,254</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23,150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11,105</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23,288</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11,998</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35,610</w:t>
            </w:r>
          </w:p>
        </w:tc>
      </w:tr>
    </w:tbl>
    <w:p>
      <w:pPr>
        <w:spacing w:after="0" w:line="6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Eagle Ford Shale and Rockies.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oil, natural gas and natural gas liquids revenues for the first quarter of 2022 increased by $378 million, or 19%, to $2.4 billion from $2.0 billion during the fourth quarter of 2021. Higher average oil prices, and to a lesser extent natural gas liquids prices, contributed $450 million of the total increase. The remainder of the overall change is due to a 4% decrease in combined volumes sold.</w:t>
      </w:r>
    </w:p>
    <w:p>
      <w:pPr>
        <w:spacing w:after="0" w:line="3" w:lineRule="exact"/>
        <w:rPr>
          <w:sz w:val="20"/>
          <w:szCs w:val="20"/>
          <w:color w:val="auto"/>
        </w:rPr>
      </w:pPr>
    </w:p>
    <w:p>
      <w:pPr>
        <w:jc w:val="both"/>
        <w:ind w:firstLine="648"/>
        <w:spacing w:after="0" w:line="253" w:lineRule="auto"/>
        <w:rPr>
          <w:rFonts w:ascii="Arial" w:cs="Arial" w:eastAsia="Arial" w:hAnsi="Arial"/>
          <w:sz w:val="18"/>
          <w:szCs w:val="18"/>
          <w:i w:val="1"/>
          <w:iCs w:val="1"/>
          <w:color w:val="0000FF"/>
        </w:rPr>
      </w:pPr>
      <w:r>
        <w:rPr>
          <w:rFonts w:ascii="Arial" w:cs="Arial" w:eastAsia="Arial" w:hAnsi="Arial"/>
          <w:sz w:val="18"/>
          <w:szCs w:val="18"/>
          <w:color w:val="auto"/>
        </w:rPr>
        <w:t xml:space="preserve">Higher commodity prices in the 2022 period compared to the 2021 period primarily reflect the increase in demand for oil due to economic </w:t>
      </w:r>
      <w:hyperlink w:anchor="page33">
        <w:r>
          <w:rPr>
            <w:rFonts w:ascii="Arial" w:cs="Arial" w:eastAsia="Arial" w:hAnsi="Arial"/>
            <w:sz w:val="18"/>
            <w:szCs w:val="18"/>
            <w:color w:val="auto"/>
          </w:rPr>
          <w:t>recovery from the COVID-19 pandemic and other macroeconomic factors such as the Russian-Ukrainian military conflict as discussed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Recent</w:t>
        </w:r>
      </w:hyperlink>
      <w:r>
        <w:rPr>
          <w:rFonts w:ascii="Arial" w:cs="Arial" w:eastAsia="Arial" w:hAnsi="Arial"/>
          <w:sz w:val="18"/>
          <w:szCs w:val="18"/>
          <w:color w:val="auto"/>
        </w:rPr>
        <w:t xml:space="preserve"> </w:t>
      </w:r>
      <w:hyperlink w:anchor="page33">
        <w:r>
          <w:rPr>
            <w:rFonts w:ascii="Arial" w:cs="Arial" w:eastAsia="Arial" w:hAnsi="Arial"/>
            <w:sz w:val="18"/>
            <w:szCs w:val="18"/>
            <w:i w:val="1"/>
            <w:iCs w:val="1"/>
            <w:u w:val="single" w:color="auto"/>
            <w:color w:val="0000FF"/>
          </w:rPr>
          <w:t>Developments</w:t>
        </w:r>
        <w:r>
          <w:rPr>
            <w:rFonts w:ascii="Arial" w:cs="Arial" w:eastAsia="Arial" w:hAnsi="Arial"/>
            <w:sz w:val="18"/>
            <w:szCs w:val="18"/>
            <w:color w:val="000000"/>
          </w:rPr>
          <w:t>” above. The decrease in production resulted primarily from having two fewer days of production in the first quarter of 2022 compared to the</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fourth quarter of 2021.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Revenues. </w:t>
      </w:r>
      <w:r>
        <w:rPr>
          <w:rFonts w:ascii="Arial" w:cs="Arial" w:eastAsia="Arial" w:hAnsi="Arial"/>
          <w:sz w:val="16"/>
          <w:szCs w:val="16"/>
          <w:color w:val="auto"/>
        </w:rPr>
        <w:t>The following table shows other insignificant revenues for the three months ended March 31, 2022 and December 31,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680" w:type="dxa"/>
            <w:vAlign w:val="bottom"/>
          </w:tcPr>
          <w:p>
            <w:pPr>
              <w:spacing w:after="0"/>
              <w:rPr>
                <w:sz w:val="18"/>
                <w:szCs w:val="18"/>
                <w:color w:val="auto"/>
              </w:rPr>
            </w:pPr>
          </w:p>
        </w:tc>
        <w:tc>
          <w:tcPr>
            <w:tcW w:w="29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18"/>
                <w:szCs w:val="18"/>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w:t>
            </w:r>
          </w:p>
        </w:tc>
        <w:tc>
          <w:tcPr>
            <w:tcW w:w="11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440" w:type="dxa"/>
            <w:vAlign w:val="bottom"/>
          </w:tcPr>
          <w:p>
            <w:pPr>
              <w:jc w:val="right"/>
              <w:ind w:right="1235"/>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Lease Operating Expenses. </w:t>
      </w:r>
      <w:r>
        <w:rPr>
          <w:rFonts w:ascii="Arial" w:cs="Arial" w:eastAsia="Arial" w:hAnsi="Arial"/>
          <w:sz w:val="16"/>
          <w:szCs w:val="16"/>
          <w:color w:val="auto"/>
        </w:rPr>
        <w:t>The following table shows lease operating expenses for the three months ended March 31, 2022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ind w:left="30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8"/>
                <w:szCs w:val="18"/>
                <w:color w:val="auto"/>
              </w:rPr>
            </w:pPr>
          </w:p>
        </w:tc>
        <w:tc>
          <w:tcPr>
            <w:tcW w:w="1800" w:type="dxa"/>
            <w:vAlign w:val="bottom"/>
            <w:gridSpan w:val="3"/>
          </w:tcPr>
          <w:p>
            <w:pPr>
              <w:jc w:val="right"/>
              <w:ind w:right="235"/>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7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8"/>
              </w:rPr>
              <w:t>Per BOE</w:t>
            </w:r>
          </w:p>
        </w:tc>
      </w:tr>
      <w:tr>
        <w:trPr>
          <w:trHeight w:val="209"/>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8"/>
          </w:tcPr>
          <w:p>
            <w:pPr>
              <w:jc w:val="center"/>
              <w:ind w:right="35"/>
              <w:spacing w:after="0"/>
              <w:rPr>
                <w:sz w:val="20"/>
                <w:szCs w:val="20"/>
                <w:color w:val="auto"/>
              </w:rPr>
            </w:pPr>
            <w:r>
              <w:rPr>
                <w:rFonts w:ascii="Arial" w:cs="Arial" w:eastAsia="Arial" w:hAnsi="Arial"/>
                <w:sz w:val="16"/>
                <w:szCs w:val="16"/>
                <w:b w:val="1"/>
                <w:bCs w:val="1"/>
                <w:color w:val="auto"/>
                <w:w w:val="92"/>
              </w:rPr>
              <w:t>(In millions, except per BOE amounts)</w:t>
            </w: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Lease operating expenses remained consistent in total and increased by $0.13 on a per BOE basis for the first quarter of 2022 compared to the fourth quarter of 2021. The increase on a per BOE basis is primarily related to service cost inflation, as well as the impact of having two fewer operating days over which to allocate fixed lease operating expenses.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December 31,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ind w:left="3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9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70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r>
      <w:tr>
        <w:trPr>
          <w:trHeight w:val="210"/>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9"/>
          </w:tcPr>
          <w:p>
            <w:pPr>
              <w:jc w:val="center"/>
              <w:ind w:left="514"/>
              <w:spacing w:after="0"/>
              <w:rPr>
                <w:sz w:val="20"/>
                <w:szCs w:val="20"/>
                <w:color w:val="auto"/>
              </w:rPr>
            </w:pPr>
            <w:r>
              <w:rPr>
                <w:rFonts w:ascii="Arial" w:cs="Arial" w:eastAsia="Arial" w:hAnsi="Arial"/>
                <w:sz w:val="16"/>
                <w:szCs w:val="16"/>
                <w:b w:val="1"/>
                <w:bCs w:val="1"/>
                <w:color w:val="auto"/>
                <w:w w:val="92"/>
              </w:rPr>
              <w:t>(In millions, except per BOE amounts)</w:t>
            </w:r>
          </w:p>
        </w:tc>
        <w:tc>
          <w:tcPr>
            <w:tcW w:w="780" w:type="dxa"/>
            <w:vAlign w:val="bottom"/>
          </w:tcPr>
          <w:p>
            <w:pPr>
              <w:spacing w:after="0"/>
              <w:rPr>
                <w:sz w:val="18"/>
                <w:szCs w:val="18"/>
                <w:color w:val="auto"/>
              </w:rPr>
            </w:pPr>
          </w:p>
        </w:tc>
      </w:tr>
      <w:tr>
        <w:trPr>
          <w:trHeight w:val="23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4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production revenues for the first quarter of 2022 remained consistent with the fourth quarter of 2021.</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which were adjusted upward during the first quarter of 2022 based on the recovery in commodity prices during 2021 as compared to 2020. Additionally, the fourth quarter of 2021 also included a downward revision to our full 2021 ad valorem accrual based on actual tax assessments received, which caused ad valorem taxes on a per BOE rate to be lower in that period. These adjustment resulted in an overall increase in ad valorem tax expense of $24 million for the first quarter of 2022 compared to the fourth quarter of 2021.</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ind w:left="28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8"/>
                <w:szCs w:val="18"/>
                <w:color w:val="auto"/>
              </w:rPr>
            </w:pPr>
          </w:p>
        </w:tc>
        <w:tc>
          <w:tcPr>
            <w:tcW w:w="1760" w:type="dxa"/>
            <w:vAlign w:val="bottom"/>
            <w:gridSpan w:val="3"/>
          </w:tcPr>
          <w:p>
            <w:pPr>
              <w:jc w:val="right"/>
              <w:ind w:right="215"/>
              <w:spacing w:after="0"/>
              <w:rPr>
                <w:sz w:val="20"/>
                <w:szCs w:val="20"/>
                <w:color w:val="auto"/>
              </w:rPr>
            </w:pPr>
            <w:r>
              <w:rPr>
                <w:rFonts w:ascii="Arial" w:cs="Arial" w:eastAsia="Arial" w:hAnsi="Arial"/>
                <w:sz w:val="16"/>
                <w:szCs w:val="16"/>
                <w:b w:val="1"/>
                <w:bCs w:val="1"/>
                <w:color w:val="auto"/>
                <w:w w:val="99"/>
              </w:rPr>
              <w:t>December 31, 2021</w:t>
            </w:r>
          </w:p>
        </w:tc>
      </w:tr>
      <w:tr>
        <w:trPr>
          <w:trHeight w:val="210"/>
        </w:trPr>
        <w:tc>
          <w:tcPr>
            <w:tcW w:w="7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8"/>
          </w:tcPr>
          <w:p>
            <w:pPr>
              <w:jc w:val="center"/>
              <w:ind w:right="35"/>
              <w:spacing w:after="0"/>
              <w:rPr>
                <w:sz w:val="20"/>
                <w:szCs w:val="20"/>
                <w:color w:val="auto"/>
              </w:rPr>
            </w:pPr>
            <w:r>
              <w:rPr>
                <w:rFonts w:ascii="Arial" w:cs="Arial" w:eastAsia="Arial" w:hAnsi="Arial"/>
                <w:sz w:val="16"/>
                <w:szCs w:val="16"/>
                <w:b w:val="1"/>
                <w:bCs w:val="1"/>
                <w:color w:val="auto"/>
                <w:w w:val="92"/>
              </w:rPr>
              <w:t>(In millions, except per BOE amounts)</w:t>
            </w:r>
          </w:p>
        </w:tc>
      </w:tr>
      <w:tr>
        <w:trPr>
          <w:trHeight w:val="2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Gathering and transportation expenses remained relatively consistent in total and increased by $0.09 on a per BOE basis for the first quarter of 2022 compared to the fourth quarter of 2021. The increase is primarily related to additional third-party gas gathering charges incurred following the divestiture of certain gas gathering assets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months ended March 31, 2022 and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(In millions, except BOE amounts)</w:t>
            </w:r>
          </w:p>
        </w:tc>
        <w:tc>
          <w:tcPr>
            <w:tcW w:w="0" w:type="dxa"/>
            <w:vAlign w:val="bottom"/>
          </w:tcPr>
          <w:p>
            <w:pPr>
              <w:spacing w:after="0"/>
              <w:rPr>
                <w:sz w:val="1"/>
                <w:szCs w:val="1"/>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220" w:type="dxa"/>
            <w:vAlign w:val="bottom"/>
          </w:tcPr>
          <w:p>
            <w:pPr>
              <w:jc w:val="right"/>
              <w:ind w:right="10"/>
              <w:spacing w:after="0" w:line="204"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204"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depletion of proved oil and natural gas properties of $17 million for the first quarter of 2022 as compared to the fourth quarter of 2021 resulted largely from lower production in the first quarter of 2022 coupled with a decline in the average depletion rate. The decline in rate resulted primarily from higher SEC prices utilized in the reserve calculations in the 2021 period, which lengthened the economic life of the reserve base and resulted in higher projected remaining reserve volumes on our wells.</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32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8"/>
                <w:szCs w:val="18"/>
                <w:color w:val="auto"/>
              </w:rPr>
            </w:pPr>
          </w:p>
        </w:tc>
        <w:tc>
          <w:tcPr>
            <w:tcW w:w="186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91"/>
              </w:rPr>
              <w:t>December 31, 2021</w:t>
            </w:r>
          </w:p>
        </w:tc>
      </w:tr>
      <w:tr>
        <w:trPr>
          <w:trHeight w:val="209"/>
        </w:trPr>
        <w:tc>
          <w:tcPr>
            <w:tcW w:w="7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Per BOE</w:t>
            </w:r>
          </w:p>
        </w:tc>
      </w:tr>
      <w:tr>
        <w:trPr>
          <w:trHeight w:val="209"/>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right="32"/>
              <w:spacing w:after="0"/>
              <w:rPr>
                <w:sz w:val="20"/>
                <w:szCs w:val="20"/>
                <w:color w:val="auto"/>
              </w:rPr>
            </w:pPr>
            <w:r>
              <w:rPr>
                <w:rFonts w:ascii="Arial" w:cs="Arial" w:eastAsia="Arial" w:hAnsi="Arial"/>
                <w:sz w:val="16"/>
                <w:szCs w:val="16"/>
                <w:b w:val="1"/>
                <w:bCs w:val="1"/>
                <w:color w:val="auto"/>
                <w:w w:val="92"/>
              </w:rPr>
              <w:t>(In millions, except per BOE amounts)</w:t>
            </w: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general and administrative expenses for the first quarter of 2022 compared to the fourth quarter of 2021 was due largely to compensation related accrual adjustments made during the fourth quarter of 2021 for annual bonuses. Equity compensation for the first quarter of 2022 remained consistent with the fourth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Operating Costs and Expenses. </w:t>
      </w:r>
      <w:r>
        <w:rPr>
          <w:rFonts w:ascii="Arial" w:cs="Arial" w:eastAsia="Arial" w:hAnsi="Arial"/>
          <w:sz w:val="16"/>
          <w:szCs w:val="16"/>
          <w:color w:val="auto"/>
        </w:rPr>
        <w:t>The following table shows other insignificant operating costs and expenses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December 31,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680" w:type="dxa"/>
            <w:vAlign w:val="bottom"/>
          </w:tcPr>
          <w:p>
            <w:pPr>
              <w:spacing w:after="0"/>
              <w:rPr>
                <w:sz w:val="18"/>
                <w:szCs w:val="18"/>
                <w:color w:val="auto"/>
              </w:rPr>
            </w:pPr>
          </w:p>
        </w:tc>
        <w:tc>
          <w:tcPr>
            <w:tcW w:w="292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18"/>
                <w:szCs w:val="18"/>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expense</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22</w:t>
            </w:r>
          </w:p>
        </w:tc>
        <w:tc>
          <w:tcPr>
            <w:tcW w:w="11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Merger and integration expense</w:t>
            </w:r>
          </w:p>
        </w:tc>
        <w:tc>
          <w:tcPr>
            <w:tcW w:w="1440" w:type="dxa"/>
            <w:vAlign w:val="bottom"/>
          </w:tcPr>
          <w:p>
            <w:pPr>
              <w:jc w:val="right"/>
              <w:ind w:right="1235"/>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Net Interest Expense. </w:t>
      </w:r>
      <w:r>
        <w:rPr>
          <w:rFonts w:ascii="Arial" w:cs="Arial" w:eastAsia="Arial" w:hAnsi="Arial"/>
          <w:sz w:val="17"/>
          <w:szCs w:val="17"/>
          <w:color w:val="auto"/>
        </w:rPr>
        <w:t>The following table shows the components of net interest expense for the three months ended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2"/>
              </w:rPr>
              <w:t>December 31, 2021</w:t>
            </w:r>
          </w:p>
        </w:tc>
      </w:tr>
      <w:tr>
        <w:trPr>
          <w:trHeight w:val="209"/>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right"/>
              <w:ind w:right="1251"/>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agreements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70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Net interest expense increased by $11 million for the first quarter of 2022 compared to the fourth quarter of 2021. The increase was primarily due to (i) interest expense in the fourth quarter of 2021 reflecting the receipt of a $7 million cash settlement on our fair value interest rate swaps which offset a portion of the interest expense on our 2029 Notes, and (ii) a decrease in capitalized interest costs. Our fair value interest rate swaps settle semi-annually in December and June. 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details regarding outstanding borrowings and interest expense.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months ended March 31, 2022 and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6"/>
                <w:szCs w:val="16"/>
                <w:b w:val="1"/>
                <w:bCs w:val="1"/>
                <w:color w:val="auto"/>
                <w:w w:val="92"/>
              </w:rPr>
              <w:t>Three Months Ended</w:t>
            </w:r>
          </w:p>
        </w:tc>
      </w:tr>
      <w:tr>
        <w:trPr>
          <w:trHeight w:val="210"/>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2"/>
              </w:rPr>
              <w:t>December 31, 2021</w:t>
            </w: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3"/>
          </w:tcPr>
          <w:p>
            <w:pPr>
              <w:jc w:val="center"/>
              <w:ind w:right="133"/>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7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(403)</w:t>
            </w:r>
          </w:p>
        </w:tc>
      </w:tr>
    </w:tbl>
    <w:p>
      <w:pPr>
        <w:spacing w:after="0"/>
        <w:rPr>
          <w:sz w:val="20"/>
          <w:szCs w:val="20"/>
          <w:color w:val="auto"/>
        </w:rPr>
      </w:pPr>
      <w:r>
        <w:rPr>
          <w:rFonts w:ascii="Arial" w:cs="Arial" w:eastAsia="Arial" w:hAnsi="Arial"/>
          <w:sz w:val="18"/>
          <w:szCs w:val="18"/>
          <w:color w:val="auto"/>
        </w:rPr>
        <w:t>(1) The first quarter of 2022 includes cash paid on commodity contracts terminated prior to their contractual maturity of $135 million.</w:t>
      </w:r>
    </w:p>
    <w:p>
      <w:pPr>
        <w:spacing w:after="0" w:line="2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designated certain of our interest rate swaps as fair value hedges for accounting purposes. As a result, gains and losses due to changes in the fair value of the interest rate swaps completely offset changes in the fair value of the hedged portion of the underlying debt and no gain or loss is recognized due to hedge ineffectiveness. Changes in fair value are recorded as an adjustment to the carrying value of the 2029 Notes in the condensed consolidated balance sheet. Beginning on December 1, 2021, semi-annual cash settlements of these interest rate swaps will be recorded 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The following table shows other income and expenses for the three months ended March 31, 2022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7680" w:type="dxa"/>
            <w:vAlign w:val="bottom"/>
          </w:tcPr>
          <w:p>
            <w:pPr>
              <w:spacing w:after="0"/>
              <w:rPr>
                <w:sz w:val="18"/>
                <w:szCs w:val="18"/>
                <w:color w:val="auto"/>
              </w:rPr>
            </w:pPr>
          </w:p>
        </w:tc>
        <w:tc>
          <w:tcPr>
            <w:tcW w:w="292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18"/>
                <w:szCs w:val="18"/>
                <w:color w:val="auto"/>
              </w:rPr>
            </w:pPr>
          </w:p>
        </w:tc>
      </w:tr>
      <w:tr>
        <w:trPr>
          <w:trHeight w:val="23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2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(6)</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1420" w:type="dxa"/>
            <w:vAlign w:val="bottom"/>
          </w:tcPr>
          <w:p>
            <w:pPr>
              <w:jc w:val="right"/>
              <w:ind w:right="1215"/>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7"/>
              </w:rPr>
              <w:t>(54)</w:t>
            </w:r>
          </w:p>
        </w:tc>
        <w:tc>
          <w:tcPr>
            <w:tcW w:w="11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left="290"/>
              <w:spacing w:after="0"/>
              <w:rPr>
                <w:sz w:val="20"/>
                <w:szCs w:val="20"/>
                <w:color w:val="auto"/>
              </w:rPr>
            </w:pPr>
            <w:r>
              <w:rPr>
                <w:rFonts w:ascii="Arial" w:cs="Arial" w:eastAsia="Arial" w:hAnsi="Arial"/>
                <w:sz w:val="18"/>
                <w:szCs w:val="18"/>
                <w:color w:val="auto"/>
                <w:w w:val="99"/>
              </w:rPr>
              <w:t>(2)</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investments</w:t>
            </w:r>
          </w:p>
        </w:tc>
        <w:tc>
          <w:tcPr>
            <w:tcW w:w="142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79"/>
              </w:rPr>
              <w:t>9</w:t>
            </w:r>
          </w:p>
        </w:tc>
      </w:tr>
    </w:tbl>
    <w:p>
      <w:pPr>
        <w:spacing w:after="0" w:line="323"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 for further details regarding gain (loss) on extinguishment of debt.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The following table shows the provision for (benefit from) income taxes for the first quarter of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fourth quarter of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6"/>
                <w:szCs w:val="16"/>
                <w:b w:val="1"/>
                <w:bCs w:val="1"/>
                <w:color w:val="auto"/>
                <w:w w:val="92"/>
              </w:rPr>
              <w:t>Three Months Ended</w:t>
            </w:r>
          </w:p>
        </w:tc>
      </w:tr>
      <w:tr>
        <w:trPr>
          <w:trHeight w:val="210"/>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2"/>
              </w:rPr>
              <w:t>December 31, 2021</w:t>
            </w: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3"/>
          </w:tcPr>
          <w:p>
            <w:pPr>
              <w:jc w:val="center"/>
              <w:ind w:right="135"/>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bl>
    <w:p>
      <w:pPr>
        <w:spacing w:after="0" w:line="310"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change in our income tax provision for the first quarter of 2022 compared to the fourth quarter of 2021 was primarily due to the decrease in pre-tax income between the periods which resulted primarily from the changes in gain (loss) on derivatives and revenues from oil, natural gas and natural gas liquids discussed above. See Note 10—</w:t>
      </w:r>
      <w:hyperlink w:anchor="page24">
        <w:r>
          <w:rPr>
            <w:rFonts w:ascii="Arial" w:cs="Arial" w:eastAsia="Arial" w:hAnsi="Arial"/>
            <w:sz w:val="18"/>
            <w:szCs w:val="18"/>
            <w:u w:val="single" w:color="auto"/>
            <w:color w:val="0000FF"/>
          </w:rPr>
          <w:t>Income Taxes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our income tax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March 31, 2022, we had approximately $1.7 billion of liquidity consisting of $0.1 billion in cash and cash equivalents and $1.6 billion available under our credit facility. As discussed below, our capital budget for 2022 is $1.75 billion to $1.90 billion. Further, we have $45 million of senior notes maturities in the next 12 months.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working capital requirements are supported by our cash and cash equivalents and our credit facility. We may draw on our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capital spending programs, dividend payments, debt service obligations and repayment of debt maturities, repurchases of equity or debt securities and other amounts that may ultimately be paid in connection with contingencies.</w:t>
      </w:r>
    </w:p>
    <w:p>
      <w:pPr>
        <w:spacing w:after="0" w:line="219" w:lineRule="exact"/>
        <w:rPr>
          <w:sz w:val="20"/>
          <w:szCs w:val="20"/>
          <w:color w:val="auto"/>
        </w:rPr>
      </w:pPr>
    </w:p>
    <w:p>
      <w:pPr>
        <w:jc w:val="both"/>
        <w:ind w:firstLine="648"/>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Future cash flows are subject to a number of variables, including the level of oil and natural gas production and prices, and significant additional capital expenditures will be required to more fully develop our properties. In order to mitigate this volatility, we entered into derivative contracts with a number of financial institutions, all of which are participants in our credit facility, hedging a portion of our estimated future crude oil and natural gas </w:t>
      </w:r>
      <w:hyperlink w:anchor="page53">
        <w:r>
          <w:rPr>
            <w:rFonts w:ascii="Arial" w:cs="Arial" w:eastAsia="Arial" w:hAnsi="Arial"/>
            <w:sz w:val="17"/>
            <w:szCs w:val="17"/>
            <w:color w:val="auto"/>
          </w:rPr>
          <w:t>production through the end of 2023 as discussed further in Note 11—</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Item 3. Quantitative and Qualitative Disclosures About Market Risk</w:t>
        </w:r>
      </w:hyperlink>
      <w:r>
        <w:rPr>
          <w:rFonts w:ascii="Arial" w:cs="Arial" w:eastAsia="Arial" w:hAnsi="Arial"/>
          <w:sz w:val="17"/>
          <w:szCs w:val="17"/>
          <w:color w:val="auto"/>
        </w:rPr>
        <w:t xml:space="preserve"> </w:t>
      </w:r>
      <w:hyperlink w:anchor="page53">
        <w:r>
          <w:rPr>
            <w:rFonts w:ascii="Arial" w:cs="Arial" w:eastAsia="Arial" w:hAnsi="Arial"/>
            <w:sz w:val="17"/>
            <w:szCs w:val="17"/>
            <w:u w:val="single" w:color="auto"/>
            <w:color w:val="0000FF"/>
          </w:rPr>
          <w:t>—Commodity Price Risk</w:t>
        </w:r>
        <w:r>
          <w:rPr>
            <w:rFonts w:ascii="Arial" w:cs="Arial" w:eastAsia="Arial" w:hAnsi="Arial"/>
            <w:sz w:val="17"/>
            <w:szCs w:val="17"/>
            <w:color w:val="000000"/>
          </w:rPr>
          <w:t>. The level of our hedging activity and duration of the financial instruments employed depend on our desired cash flow protection,</w:t>
        </w:r>
      </w:hyperlink>
      <w:r>
        <w:rPr>
          <w:rFonts w:ascii="Arial" w:cs="Arial" w:eastAsia="Arial" w:hAnsi="Arial"/>
          <w:sz w:val="17"/>
          <w:szCs w:val="17"/>
          <w:color w:val="0000FF"/>
        </w:rPr>
        <w:t xml:space="preserve"> </w:t>
      </w:r>
      <w:r>
        <w:rPr>
          <w:rFonts w:ascii="Arial" w:cs="Arial" w:eastAsia="Arial" w:hAnsi="Arial"/>
          <w:sz w:val="17"/>
          <w:szCs w:val="17"/>
          <w:color w:val="000000"/>
        </w:rPr>
        <w:t>available hedge prices, the magnitude of our capital program and our operating strategy.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Russian-Ukrainian military conflict, the COVID-19 pandemic, and/or other adverse macroeconomic conditions may limit our access to, or increase our cost of, capital or make capital unavailable on terms acceptable to us or at all. Although the Company expects that its sources of funding will be adequate to fund its short-term and long-term liquidity requirements, we cannot assure you that the needed capital will be available on acceptable terms or at 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three months ended March 31, 2022 and 2021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(587)</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76" w:lineRule="exact"/>
        <w:rPr>
          <w:sz w:val="20"/>
          <w:szCs w:val="20"/>
          <w:color w:val="auto"/>
        </w:rPr>
      </w:pPr>
    </w:p>
    <w:p>
      <w:pPr>
        <w:jc w:val="both"/>
        <w:ind w:firstLine="648"/>
        <w:spacing w:after="0" w:line="289" w:lineRule="auto"/>
        <w:rPr>
          <w:rFonts w:ascii="Arial" w:cs="Arial" w:eastAsia="Arial" w:hAnsi="Arial"/>
          <w:sz w:val="16"/>
          <w:szCs w:val="16"/>
          <w:color w:val="auto"/>
        </w:rPr>
      </w:pPr>
      <w:r>
        <w:rPr>
          <w:rFonts w:ascii="Arial" w:cs="Arial" w:eastAsia="Arial" w:hAnsi="Arial"/>
          <w:sz w:val="16"/>
          <w:szCs w:val="16"/>
          <w:color w:val="auto"/>
        </w:rPr>
        <w:t>The increase in operating cash flows for the three months ended March 31, 2022 compared to the same period in 2021 primarily resulted from an increase of $1.2 billion in our total revenues, which was partially offset by cash outflows of (i) $242 million due to making net cash payments of $420 million on our derivative contracts in the first quarter of 2022 compared to net cash payments of $178 million on our derivative contracts in the first quarter of 2021, (ii) an increase in our cash operating expenses of approximately $90 million primarily due to the QEP Merger and the Guidon Acquisition, (iii) an increase of $31 million in our cash paid for interest primarily due to interest payments on senior notes which were issued in 2021 and (iv) other working capital changes including an increase in accounts receivable for oil and natural gas sales and revenues and a partially offsetting increase in revenues and royalties payable, which stem from higher commodity prices in 2022, as well as recording a payable for income taxes expected to be paid in 2022 compared to an income tax receivable related to the carryback of federal net operating losses and the accelerated refund of minimum tax credits allowed under the 2020 CARES Act in the prior year. See “</w:t>
      </w:r>
      <w:r>
        <w:rPr>
          <w:rFonts w:ascii="Arial" w:cs="Arial" w:eastAsia="Arial" w:hAnsi="Arial"/>
          <w:sz w:val="16"/>
          <w:szCs w:val="16"/>
          <w:i w:val="1"/>
          <w:iCs w:val="1"/>
          <w:color w:val="auto"/>
        </w:rPr>
        <w:t>—</w:t>
      </w:r>
      <w:hyperlink w:anchor="page35">
        <w:r>
          <w:rPr>
            <w:rFonts w:ascii="Arial" w:cs="Arial" w:eastAsia="Arial" w:hAnsi="Arial"/>
            <w:sz w:val="16"/>
            <w:szCs w:val="16"/>
            <w:i w:val="1"/>
            <w:iCs w:val="1"/>
            <w:u w:val="single" w:color="auto"/>
            <w:color w:val="0000FF"/>
          </w:rPr>
          <w:t>Results of Operations</w:t>
        </w:r>
      </w:hyperlink>
      <w:r>
        <w:rPr>
          <w:rFonts w:ascii="Arial" w:cs="Arial" w:eastAsia="Arial" w:hAnsi="Arial"/>
          <w:sz w:val="16"/>
          <w:szCs w:val="16"/>
          <w:color w:val="auto"/>
        </w:rPr>
        <w:t>” for discussion of significant changes in our revenues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Net cash used in investing activities was $716 million compared to $587 million during the three months ended March 31, 2022 and 2021, respectively. The majority of our net cash used for investing activities during the three months ended March 31, 2022 was for drilling and completion costs </w:t>
      </w:r>
      <w:hyperlink w:anchor="page14">
        <w:r>
          <w:rPr>
            <w:rFonts w:ascii="Arial" w:cs="Arial" w:eastAsia="Arial" w:hAnsi="Arial"/>
            <w:sz w:val="18"/>
            <w:szCs w:val="18"/>
            <w:color w:val="auto"/>
          </w:rPr>
          <w:t>in conjunction with our development program and as well as the purchase of oil and gas properties, which is discussed further in Note 4—</w:t>
        </w:r>
        <w:r>
          <w:rPr>
            <w:rFonts w:ascii="Arial" w:cs="Arial" w:eastAsia="Arial" w:hAnsi="Arial"/>
            <w:sz w:val="18"/>
            <w:szCs w:val="18"/>
            <w:u w:val="single" w:color="auto"/>
            <w:color w:val="0000FF"/>
          </w:rPr>
          <w:t>Acquisitions and</w:t>
        </w:r>
      </w:hyperlink>
      <w:r>
        <w:rPr>
          <w:rFonts w:ascii="Arial" w:cs="Arial" w:eastAsia="Arial" w:hAnsi="Arial"/>
          <w:sz w:val="18"/>
          <w:szCs w:val="18"/>
          <w:color w:val="auto"/>
        </w:rPr>
        <w:t xml:space="preserve"> </w:t>
      </w:r>
      <w:hyperlink w:anchor="page14">
        <w:r>
          <w:rPr>
            <w:rFonts w:ascii="Arial" w:cs="Arial" w:eastAsia="Arial" w:hAnsi="Arial"/>
            <w:sz w:val="18"/>
            <w:szCs w:val="18"/>
            <w:u w:val="single" w:color="auto"/>
            <w:color w:val="0000FF"/>
          </w:rPr>
          <w:t>Divestitures</w:t>
        </w:r>
        <w:r>
          <w:rPr>
            <w:rFonts w:ascii="Arial" w:cs="Arial" w:eastAsia="Arial" w:hAnsi="Arial"/>
            <w:sz w:val="18"/>
            <w:szCs w:val="18"/>
            <w:color w:val="000000"/>
          </w:rPr>
          <w:t>.</w:t>
        </w:r>
      </w:hyperlink>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majority of our net cash used in investing activities during the three months ended March 31, 2021 was for the purchase and development of oil and natural gas properties and related assets including the acquisition of certain leasehold interests as part of the Guidon Acquisition. Our capital expenditures for each period are discussed further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232"/>
        </w:trPr>
        <w:tc>
          <w:tcPr>
            <w:tcW w:w="79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4"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March 31, 2022, in conjunction with our development program, we drilled 61 gross (59 net) operated horizontal wells, of which 47 gross (46 net) wells were in the Midland Basin and 14 gross (13 net) wells were in the Delaware Basin, and turned 69 gross (63 net) operated horizontal wells to production, of which 54 gross (50 net) wells were in the Midland Basin and 15 gross (13 net) wells were in the Delaware Basin.</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March 31, 2021, in conjunction with our development program, we drilled 49 gross (47 net) operated horizontal wells, of which 41 gross (40 net) wells were in the Midland Basin and eight gross (seven net) wells were in the Delaware Basin, and turned 67 gross (60 net) operated horizontal wells to production, of which 42 gross (37 net) wells were in the Midland Basin and 25 gross (23 net) wells were in the Delaware Basin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Net cash used in financing activities for the three months ended March 31, 2022 was $1.0 billion compared to net cash provided by financing activities for the three months ended March 31, 2021 of $29 million. During the three months ended March 31, 2022, the amount used in financing activities was primarily attributable to (i) $1.5 billion paid for the repurchase of principal outstanding on certain senior notes as discussed in </w:t>
      </w:r>
      <w:r>
        <w:rPr>
          <w:rFonts w:ascii="Arial" w:cs="Arial" w:eastAsia="Arial" w:hAnsi="Arial"/>
          <w:sz w:val="18"/>
          <w:szCs w:val="18"/>
          <w:i w:val="1"/>
          <w:iCs w:val="1"/>
          <w:color w:val="auto"/>
        </w:rPr>
        <w:t>“—2022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below, as well as $47 million of additional premiums paid in connection with the repurchases, (ii) $107 million of dividends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(iii) $47 million in distributions to non-controlling interests, and (iv) $49 million of repurchases as part of the share and unit repurchase programs, and (v) $21 million of repayments under credit facilities, net of borrowings. These cash outflows were partially offset by $750 million in proceeds from the March 2022 Notes.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2021 was primarily attributable to $2.2 billion in proceeds from the March 2021 Notes and $76 million in proceeds that relate primarily to the early settlement of interest rate swaps that contained an other-than-insignificant financing element. These net increases in cash flows from financing activities were partially offset by $1.9 billion paid for the repurchase of a portion of the QEP Notes and 2025 Senior Notes, as well as $166 million of additional premiums paid in connection with the repurchases, $68 million of dividends paid to stockholders, $24 million of unit repurchases as part of the Viper and Rattler unit repurchase programs and $23 million of repayments under our credit facilities, net of borrowings.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Facilities and Other Debt Instruments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our debt, including the debt of Viper and Rattler, consists of approximately $5.4 billion in aggregate outstanding principal amount of senior notes, $478 million in aggregate outstanding borrowings under revolving credit facilities and $64 million in outstanding amounts due under our DrillCo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the maximum credit amount available under our credit agreement was $1.6 billion, with no outstanding borrowings and $1.6 billion available for future borrowings. As of March 31, 2022, there was an aggregate of $3 million in outstanding letters of credit, which reduce available borrowings under our credit agreement on a dollar for dollar basis. There were no borrowings under our credit agreement during the three months ended March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Viper credit agreement, as amended to date, provides for a revolving credit facility in the maximum credit amount of $2.0 billion, with a borrowing base of $580 million as of March 31, 2022, although Viper LLC had elected a commitment amount of $500 million, based on Viper LLC’s oil and natural gas reserves and other factors. The borrowing base is scheduled to be redetermined semi-annually in May and November, and is expected to be reaffirmed at $580 million by the lenders during the redetermination in May 2022. As of March 31, 2022, there were $248 million of outstanding borrowings and $252 million available for future borrowings under the Viper credit agreement. During the three months ended March 31, 2022, the weighted average interest rate on borrowings under the Viper credit agreement was 2.58%. The Viper credit agreement will mature on June 2, 2025.</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as amended to date, provides for a revolving credit facility in the maximum credit amount of $600 million, which is expandable to $1.0 billion upon Rattler’s election, subject to obtaining additional lender commitments and satisfaction of customary conditions. As of March 31, 2022, there were $230 million of outstanding borrowings and $370 million available for future borrowings under the Rattler credit agreement. During the three months ended March 31, 2022, the weighted average interest rate on borrowings under the Rattler credit agreement was 1.40%. The Rattler credit agreement matures on May 28, 2024.</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Debt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2022, Diamondback Energy, Inc. issued the $750 million March 2022 Notes for net proceeds of $739 million, which were used to fund, together with cash on hand, the redemption of all of our outstanding 4.750% Senior Notes due 2025 and 2.875% Senior Notes due 2024 in the aggregate principal amount of $1.5 billion. Interest on the March 2022 Notes is payable semi-annually on March 15 and September 15 of each year, beginning on September 15, 2022.</w:t>
      </w:r>
    </w:p>
    <w:p>
      <w:pPr>
        <w:spacing w:after="0" w:line="214"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discussion of our outstanding debt as of March 31, 2022, see Note 7—</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market conditions and other factors, we expect to continue to issue debt securities from time to time in the future to refinance our maturing debt. The availability, interest rate and other terms of any new borrowings will depend on the ratings assigned by credit rating agencies, among other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in compliance, and expect to continue to be, with all financial maintenance covenants in our debt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Ratings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 from Standard and Poor’s Global Ratings Services is BBB-. Our credit rating from Fitch Investor Services is BBB. Our credit rating from Moody’s Investor Services is Baa3. Any rating downgrades may result in additional letters of credit or cash collateral being posted under certain contractual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addition to future operating expenses and working capital commitments discussed in </w:t>
      </w:r>
      <w:hyperlink w:anchor="page35">
        <w:r>
          <w:rPr>
            <w:rFonts w:ascii="Arial" w:cs="Arial" w:eastAsia="Arial" w:hAnsi="Arial"/>
            <w:sz w:val="18"/>
            <w:szCs w:val="18"/>
            <w:i w:val="1"/>
            <w:iCs w:val="1"/>
            <w:u w:val="single" w:color="auto"/>
            <w:color w:val="0000FF"/>
          </w:rPr>
          <w:t>—Results of Operations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our primary short and long-term liquidity requirements consist primarily of (i) capital expenditures, (ii) payments of other contractual obligations and (iii) cash used to pay for dividends and repurchases of securities as discussed below.</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current oil and natural gas prices and production expectations for 2022,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2022 capital expenditure budget does not allocate any funds for leasehold interest and property acquisitions.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Capital Spending Plan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approved a 2022 capital budget for drilling, midstream and infrastructure of approximately $1.75 billion to $1.90 billion, maintaining our annualized fourth quarter 2021 cash capital expenditure guidance presented in November of 2021. We estimate that, of these expenditures, approximately:</w:t>
      </w:r>
    </w:p>
    <w:p>
      <w:pPr>
        <w:spacing w:after="0" w:line="211" w:lineRule="exact"/>
        <w:rPr>
          <w:sz w:val="20"/>
          <w:szCs w:val="20"/>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$1.56 billion to $1.67 billion will be spent primarily on drilling 270 to 290 gross (248 to 267 net) horizontal wells and completing 260 to 280 gross (240 to 258 net) horizontal wells across our operated and non-operated leasehold acreage in the Northern Midland and Southern Delaware Basins, with an average lateral length of approximately 10,200 feet;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 million to $100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$110 million to $130 million will be spent on infrastructure and environmental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we spent $374 million on drilling and completion, $19 million on midstream and $44 million on infrastructure, for total capital expenditures, excluding acquisitions, of $437 million.</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10 drilling rigs and four completion crews. We continue to execute on our strategy to hold oil production flat while using cash flow from operations to reduce debt, strengthen our balance sheet and return capital to our stockholders. We will continue monitoring commodity prices and overall market conditions and can adjust our rig cadence and our capital expenditure budget in response to changes in commodity prices and overall market conditions.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 and Repurchases of Securities</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paid common stock dividends of $107 million and $68 million during three months ended March 31, 2022 and 2021, respectively. In addition to our base dividend program, we have initiated a variable dividend strategy whereby we may pay a quarterly variable dividend of up to 50 percent of the prior quarter’s free cash flow remaining after the payment of the base dividend. On April 27, 2022, our board of directors declared a cash dividend for the first quarter of 2022 of $3.05 per share of common stock, payable on May 23, 2022 to our stockholders of record at the close of business on May 12, 2022. The decision to pay any future dividends is solely within the discretion of, and subject to approval by, our board of directors. The dividend consists of a base quarterly dividend of $0.70 per share of common stock and a variable quarterly dividend of $2.35 per share of common stock.</w:t>
      </w:r>
    </w:p>
    <w:p>
      <w:pPr>
        <w:spacing w:after="0" w:line="19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Free cash flow is a non-GAAP financial measure. As used by the Company, free cash flow is defined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base and variable dividends are at the discretion of our board of directors, and, if declared, the board of directors may change the dividend amount based on the Company's outlook for commodity prices, liquidity, debt levels, capital resources, free cash flow and other factors. The Company can provide no assurance that dividends will be authorized or declared in the future or as to the amount of any future dividends. Any future variable dividends, if declared and paid, will by their nature fluctuate based on the Company's free cash flow, which will depend on a number of factors beyond the Company's control, including commodity prices.</w:t>
      </w:r>
    </w:p>
    <w:p>
      <w:pPr>
        <w:spacing w:after="0" w:line="215"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In September 2021, our board of directors approved a stock repurchase program to acquire up to $2 billion of our outstanding common stock. We repurchased approximately $7 million of our common stock under this program during the three months ended March 31, 2022, and have $1.6 billion remaining for future repurchases under the repurchase program at March 31, 2022.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See Note 8—</w:t>
      </w:r>
      <w:hyperlink w:anchor="page22">
        <w:r>
          <w:rPr>
            <w:rFonts w:ascii="Arial" w:cs="Arial" w:eastAsia="Arial" w:hAnsi="Arial"/>
            <w:sz w:val="17"/>
            <w:szCs w:val="17"/>
            <w:u w:val="single" w:color="auto"/>
            <w:color w:val="0000FF"/>
          </w:rPr>
          <w:t>Stockholders' Equity and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condensed notes to the consolidated financial statements included elsewhere in this report for further discussion of the repurchase program.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may also from time to time opportunistically repurchase some of our outstanding Senior Notes of one or more tranches or series, in open market purchases or in privately negotiated transactions.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ind w:firstLine="648"/>
        <w:spacing w:after="0" w:line="308" w:lineRule="auto"/>
        <w:rPr>
          <w:rFonts w:ascii="Arial" w:cs="Arial" w:eastAsia="Arial" w:hAnsi="Arial"/>
          <w:sz w:val="17"/>
          <w:szCs w:val="17"/>
          <w:color w:val="auto"/>
        </w:rPr>
      </w:pPr>
      <w:r>
        <w:rPr>
          <w:rFonts w:ascii="Arial" w:cs="Arial" w:eastAsia="Arial" w:hAnsi="Arial"/>
          <w:sz w:val="17"/>
          <w:szCs w:val="17"/>
          <w:color w:val="auto"/>
        </w:rPr>
        <w:t>We expect our cash tax rate to be 10% to 15% of pre-tax income for the year ended December 31, 2022. See Note 10—</w:t>
      </w:r>
      <w:hyperlink w:anchor="page24">
        <w:r>
          <w:rPr>
            <w:rFonts w:ascii="Arial" w:cs="Arial" w:eastAsia="Arial" w:hAnsi="Arial"/>
            <w:sz w:val="17"/>
            <w:szCs w:val="17"/>
            <w:u w:val="single" w:color="auto"/>
            <w:color w:val="0000FF"/>
          </w:rPr>
          <w:t>Income Taxes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condensed notes to the consolidated financial statements included elsewhere in this report for further discussion of our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March 31, 2022, Diamondback E&amp;P is the sole guarantor under the indentures governing the outstanding December 2019 Notes, the March 2021 Notes and the March 2022 Notes.</w:t>
      </w:r>
    </w:p>
    <w:p>
      <w:pPr>
        <w:spacing w:after="0" w:line="2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Guarantees are “full and unconditional,” as that term is used in Regulation S-X, Rule 3-10(b)(3), except that such guarantees will be released or terminated in certain circumstances set forth in the IG Indenture, such as, with certain exceptions, (1) in the event Diamondback E&amp;P (or all or substantially all of its assets) is sold or disposed of, (2) in the event Diamondback E&amp;P ceases to be a guarantor of or otherwise be an obligor under certain other indebtedness, and (3) in connection with any covenant defeasance, legal defeasance or satisfaction and discharge of the relevant indenture.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outstanding December 2019 Notes, the March 2021 Notes and the March 2022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7"/>
              </w:rPr>
              <w:t>December 31, 2021</w:t>
            </w: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3"/>
          </w:tcPr>
          <w:p>
            <w:pPr>
              <w:jc w:val="right"/>
              <w:ind w:right="151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967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1,629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4,270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5,093</w:t>
            </w: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729"/>
        </w:trPr>
        <w:tc>
          <w:tcPr>
            <w:tcW w:w="4920" w:type="dxa"/>
            <w:vAlign w:val="bottom"/>
          </w:tcPr>
          <w:p>
            <w:pPr>
              <w:spacing w:after="0"/>
              <w:rPr>
                <w:sz w:val="24"/>
                <w:szCs w:val="24"/>
                <w:color w:val="auto"/>
              </w:rPr>
            </w:pPr>
          </w:p>
        </w:tc>
        <w:tc>
          <w:tcPr>
            <w:tcW w:w="2260" w:type="dxa"/>
            <w:vAlign w:val="bottom"/>
          </w:tcPr>
          <w:p>
            <w:pPr>
              <w:jc w:val="right"/>
              <w:ind w:right="137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Three Months Ended March</w:t>
            </w:r>
          </w:p>
        </w:tc>
      </w:tr>
      <w:tr>
        <w:trPr>
          <w:trHeight w:val="210"/>
        </w:trPr>
        <w:tc>
          <w:tcPr>
            <w:tcW w:w="9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274"/>
              <w:spacing w:after="0"/>
              <w:rPr>
                <w:sz w:val="20"/>
                <w:szCs w:val="20"/>
                <w:color w:val="auto"/>
              </w:rPr>
            </w:pPr>
            <w:r>
              <w:rPr>
                <w:rFonts w:ascii="Arial" w:cs="Arial" w:eastAsia="Arial" w:hAnsi="Arial"/>
                <w:sz w:val="16"/>
                <w:szCs w:val="16"/>
                <w:b w:val="1"/>
                <w:bCs w:val="1"/>
                <w:color w:val="auto"/>
                <w:w w:val="93"/>
              </w:rPr>
              <w:t>31, 2022</w:t>
            </w:r>
          </w:p>
        </w:tc>
      </w:tr>
      <w:tr>
        <w:trPr>
          <w:trHeight w:val="212"/>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360" w:type="dxa"/>
            <w:vAlign w:val="bottom"/>
          </w:tcPr>
          <w:p>
            <w:pPr>
              <w:spacing w:after="0"/>
              <w:rPr>
                <w:sz w:val="18"/>
                <w:szCs w:val="18"/>
                <w:color w:val="auto"/>
              </w:rPr>
            </w:pPr>
          </w:p>
        </w:tc>
        <w:tc>
          <w:tcPr>
            <w:tcW w:w="1740" w:type="dxa"/>
            <w:vAlign w:val="bottom"/>
          </w:tcPr>
          <w:p>
            <w:pPr>
              <w:jc w:val="center"/>
              <w:ind w:right="274"/>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estimates from those disclosed in our </w:t>
      </w:r>
      <w:hyperlink r:id="rId2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2—</w:t>
      </w:r>
      <w:hyperlink w:anchor="page12">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Quarterly Report for recent accounting pronouncements and accounting policies not yet adopted, if any.</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Russian-Ukrainian military conflict or the COVID-19 pandemic, that may lead to future price volatility and the near term energy outlook remains subject to heightened levels of uncertainty. Further, the prices we receive for production depend on many other factors outside of our control.</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roll swaps, costless collars, puts and basis puts, to reduce price volatility associated with certain of our oil and natural gas sales.</w:t>
      </w:r>
    </w:p>
    <w:p>
      <w:pPr>
        <w:spacing w:after="0" w:line="197"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At March 31, 2022, we had a net liability derivative position of $300 million, related to our commodity price risk derivatives. Utilizing actual derivative contractual volumes under our commodity price derivatives as of March 31, 2022, a 10% increase in forward curves associated with the underlying commodity would have increased the net liability position by $128 million to $428 million, while a 10% decrease in forward curves associated with the underlying commodity would have decreased the net liability position by $105 million to $195 million. However, any cash derivative gain or loss would be substantially offset by a decrease or increase, respectively, in the actual sales value of production covered by the derivative instrument. For additional information on our open commodity derivative instruments at March 31, 2022, see Note 11—</w:t>
      </w:r>
      <w:hyperlink w:anchor="page25">
        <w:r>
          <w:rPr>
            <w:rFonts w:ascii="Arial" w:cs="Arial" w:eastAsia="Arial" w:hAnsi="Arial"/>
            <w:sz w:val="17"/>
            <w:szCs w:val="17"/>
            <w:u w:val="single" w:color="auto"/>
            <w:color w:val="0000FF"/>
          </w:rPr>
          <w:t>Derivatives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Quarterly Report.</w:t>
      </w:r>
    </w:p>
    <w:p>
      <w:pPr>
        <w:spacing w:after="0" w:line="204"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$966 million at March 31, 2022), and to a lesser extent, receivables resulting from joint interest receivables (approximately $113 million at March 31, 2022).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38" w:lineRule="auto"/>
        <w:rPr>
          <w:rFonts w:ascii="Arial" w:cs="Arial" w:eastAsia="Arial" w:hAnsi="Arial"/>
          <w:sz w:val="17"/>
          <w:szCs w:val="17"/>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 rate debt. The terms of the credit agreement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1.125% per annum in the case of the alternative base rate and from 1.25% to 2.125% per annum in the case of LIBOR,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March 31, 2022, see Note 7—</w:t>
      </w:r>
      <w:hyperlink w:anchor="page19">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Quarterly Report.</w:t>
      </w:r>
    </w:p>
    <w:p>
      <w:pPr>
        <w:spacing w:after="0" w:line="218"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Historically, we have at times used interest rates swaps to manage our exposure to (i) interest rate changes on our floating-rate date and (ii) fair value changes on our fixed rate debt. At March 31, 2022, we have interest rate swap agreements for a notional amount of $1.2 billion to manage the impact of market interest rates on interest expense. These interest rate swaps have been designated as fair value hedges of the Company’s $1.2 billion 3.50% fixed rate senior notes due 2029 whereby we will receive the fixed rate of interest and will pay an average variable rate of interest based on three month LIBOR plus 2.1865%. For additional information on our interest rate swaps, see Note 11—</w:t>
      </w:r>
      <w:hyperlink w:anchor="page25">
        <w:r>
          <w:rPr>
            <w:rFonts w:ascii="Arial" w:cs="Arial" w:eastAsia="Arial" w:hAnsi="Arial"/>
            <w:sz w:val="18"/>
            <w:szCs w:val="18"/>
            <w:u w:val="single" w:color="auto"/>
            <w:color w:val="0000FF"/>
          </w:rPr>
          <w:t>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Quarterly Report.</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our Chief Executive Officer and Chief Financial Officer,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2022,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March 31, 2022, that have materially affected, or are reasonably likely to materially affect, internal controls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91" w:lineRule="auto"/>
        <w:rPr>
          <w:rFonts w:ascii="Arial" w:cs="Arial" w:eastAsia="Arial" w:hAnsi="Arial"/>
          <w:sz w:val="16"/>
          <w:szCs w:val="16"/>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hyperlink w:anchor="page31">
        <w:r>
          <w:rPr>
            <w:rFonts w:ascii="Arial" w:cs="Arial" w:eastAsia="Arial" w:hAnsi="Arial"/>
            <w:sz w:val="16"/>
            <w:szCs w:val="16"/>
            <w:u w:val="single" w:color="auto"/>
            <w:color w:val="0000FF"/>
          </w:rPr>
          <w:t>Commitments and Contingencies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the condensed notes to the consolidated financial statements included elsewhere in this Quarterly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59" w:lineRule="auto"/>
        <w:rPr>
          <w:rFonts w:ascii="Arial" w:cs="Arial" w:eastAsia="Arial" w:hAnsi="Arial"/>
          <w:sz w:val="18"/>
          <w:szCs w:val="18"/>
          <w:color w:val="000000"/>
        </w:rPr>
      </w:pPr>
      <w:hyperlink r:id="rId94">
        <w:r>
          <w:rPr>
            <w:rFonts w:ascii="Arial" w:cs="Arial" w:eastAsia="Arial" w:hAnsi="Arial"/>
            <w:sz w:val="18"/>
            <w:szCs w:val="18"/>
            <w:color w:val="auto"/>
          </w:rPr>
          <w:t xml:space="preserve">As of the date of this filing, we continue to be subject to the risk factors previously disclosed in </w:t>
        </w:r>
        <w:r>
          <w:rPr>
            <w:rFonts w:ascii="Arial" w:cs="Arial" w:eastAsia="Arial" w:hAnsi="Arial"/>
            <w:sz w:val="18"/>
            <w:szCs w:val="18"/>
            <w:u w:val="single" w:color="auto"/>
            <w:color w:val="0000FF"/>
          </w:rPr>
          <w:t>Part I, Item 1A. Risk Factors in our Annual Report</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2021, filed with the SEC on February 24, 2022, and in subsequent filings we make with the SEC. Except as</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provided below, there have been no material changes in our risk factors from those described in our </w:t>
      </w:r>
      <w:hyperlink r:id="rId2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for the year ended December 31, 2021.</w:t>
      </w:r>
    </w:p>
    <w:p>
      <w:pPr>
        <w:spacing w:after="0" w:line="214" w:lineRule="exact"/>
        <w:rPr>
          <w:rFonts w:ascii="Arial" w:cs="Arial" w:eastAsia="Arial" w:hAnsi="Arial"/>
          <w:sz w:val="18"/>
          <w:szCs w:val="18"/>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the impact of the ongoing military conflict between Russia and Ukraine and the related humanitarian crisis on the global economy, energy markets, geopolitical stability and our business.</w:t>
      </w:r>
    </w:p>
    <w:p>
      <w:pPr>
        <w:spacing w:after="0" w:line="197" w:lineRule="exact"/>
        <w:rPr>
          <w:rFonts w:ascii="Arial" w:cs="Arial" w:eastAsia="Arial" w:hAnsi="Arial"/>
          <w:sz w:val="18"/>
          <w:szCs w:val="18"/>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leasehold acreage is located primarily in the Permian Basin in West Texas. However, the broader consequences of the Russian-Ukrainian conflict,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and results of operations as well as on the global economy and energy markets.</w:t>
      </w:r>
    </w:p>
    <w:p>
      <w:pPr>
        <w:spacing w:after="0" w:line="188" w:lineRule="exact"/>
        <w:rPr>
          <w:rFonts w:ascii="Arial" w:cs="Arial" w:eastAsia="Arial" w:hAnsi="Arial"/>
          <w:sz w:val="18"/>
          <w:szCs w:val="18"/>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targets related to sustainability and emissions reduction initiatives, including our public statements and disclosures regarding them, may expose us to numerous risks.</w:t>
      </w:r>
    </w:p>
    <w:p>
      <w:pPr>
        <w:spacing w:after="0" w:line="197" w:lineRule="exact"/>
        <w:rPr>
          <w:rFonts w:ascii="Arial" w:cs="Arial" w:eastAsia="Arial" w:hAnsi="Arial"/>
          <w:sz w:val="18"/>
          <w:szCs w:val="18"/>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developed, and will continue to develop, targets related to our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w:t>
      </w:r>
    </w:p>
    <w:p>
      <w:pPr>
        <w:spacing w:after="0" w:line="204" w:lineRule="exact"/>
        <w:rPr>
          <w:rFonts w:ascii="Arial" w:cs="Arial" w:eastAsia="Arial" w:hAnsi="Arial"/>
          <w:sz w:val="18"/>
          <w:szCs w:val="18"/>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Investor and regulatory focus on ESG matters continues to increase. If our ESG initiatives do not meet our investors’ or other stakeholders’ evolving expectations and standards, investment in our stock may be viewed as less attractive and our reputation, contractual, employment and other business relationships may be adversely impacted.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March 31, 2022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rPr>
              <w:t>Total Number of</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Average Price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80"/>
              <w:spacing w:after="0"/>
              <w:rPr>
                <w:sz w:val="20"/>
                <w:szCs w:val="20"/>
                <w:color w:val="auto"/>
              </w:rPr>
            </w:pPr>
            <w:r>
              <w:rPr>
                <w:rFonts w:ascii="Arial" w:cs="Arial" w:eastAsia="Arial" w:hAnsi="Arial"/>
                <w:sz w:val="16"/>
                <w:szCs w:val="16"/>
                <w:b w:val="1"/>
                <w:bCs w:val="1"/>
                <w:color w:val="auto"/>
              </w:rPr>
              <w:t>Period</w:t>
            </w:r>
          </w:p>
        </w:tc>
        <w:tc>
          <w:tcPr>
            <w:tcW w:w="1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195"/>
              <w:spacing w:after="0" w:line="162" w:lineRule="exact"/>
              <w:rPr>
                <w:sz w:val="20"/>
                <w:szCs w:val="20"/>
                <w:color w:val="auto"/>
              </w:rPr>
            </w:pPr>
            <w:r>
              <w:rPr>
                <w:rFonts w:ascii="Arial" w:cs="Arial" w:eastAsia="Arial" w:hAnsi="Arial"/>
                <w:sz w:val="16"/>
                <w:szCs w:val="16"/>
                <w:b w:val="1"/>
                <w:bCs w:val="1"/>
                <w:color w:val="auto"/>
                <w:w w:val="93"/>
              </w:rPr>
              <w:t>Paid Per</w:t>
            </w:r>
          </w:p>
        </w:tc>
        <w:tc>
          <w:tcPr>
            <w:tcW w:w="2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300" w:type="dxa"/>
            <w:vAlign w:val="bottom"/>
          </w:tcPr>
          <w:p>
            <w:pPr>
              <w:spacing w:after="0"/>
              <w:rPr>
                <w:sz w:val="14"/>
                <w:szCs w:val="14"/>
                <w:color w:val="auto"/>
              </w:rPr>
            </w:pPr>
          </w:p>
        </w:tc>
        <w:tc>
          <w:tcPr>
            <w:tcW w:w="1960" w:type="dxa"/>
            <w:vAlign w:val="bottom"/>
          </w:tcPr>
          <w:p>
            <w:pPr>
              <w:jc w:val="right"/>
              <w:ind w:right="174"/>
              <w:spacing w:after="0" w:line="162" w:lineRule="exact"/>
              <w:rPr>
                <w:sz w:val="20"/>
                <w:szCs w:val="20"/>
                <w:color w:val="auto"/>
              </w:rPr>
            </w:pPr>
            <w:r>
              <w:rPr>
                <w:rFonts w:ascii="Arial" w:cs="Arial" w:eastAsia="Arial" w:hAnsi="Arial"/>
                <w:sz w:val="16"/>
                <w:szCs w:val="16"/>
                <w:b w:val="1"/>
                <w:bCs w:val="1"/>
                <w:color w:val="auto"/>
                <w:w w:val="94"/>
              </w:rPr>
              <w:t>Shares that May Yet Be</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16"/>
                <w:szCs w:val="16"/>
                <w:b w:val="1"/>
                <w:bCs w:val="1"/>
                <w:color w:val="auto"/>
                <w:w w:val="86"/>
              </w:rPr>
              <w:t>Shares Purchased</w:t>
            </w:r>
            <w:r>
              <w:rPr>
                <w:rFonts w:ascii="Arial" w:cs="Arial" w:eastAsia="Arial" w:hAnsi="Arial"/>
                <w:sz w:val="21"/>
                <w:szCs w:val="21"/>
                <w:b w:val="1"/>
                <w:bCs w:val="1"/>
                <w:color w:val="auto"/>
                <w:w w:val="86"/>
                <w:vertAlign w:val="superscript"/>
              </w:rPr>
              <w:t>(1)</w:t>
            </w:r>
          </w:p>
        </w:tc>
        <w:tc>
          <w:tcPr>
            <w:tcW w:w="260" w:type="dxa"/>
            <w:vAlign w:val="bottom"/>
          </w:tcPr>
          <w:p>
            <w:pPr>
              <w:spacing w:after="0"/>
              <w:rPr>
                <w:sz w:val="18"/>
                <w:szCs w:val="18"/>
                <w:color w:val="auto"/>
              </w:rPr>
            </w:pPr>
          </w:p>
        </w:tc>
        <w:tc>
          <w:tcPr>
            <w:tcW w:w="1000" w:type="dxa"/>
            <w:vAlign w:val="bottom"/>
          </w:tcPr>
          <w:p>
            <w:pPr>
              <w:jc w:val="center"/>
              <w:ind w:right="175"/>
              <w:spacing w:after="0" w:line="216" w:lineRule="exact"/>
              <w:rPr>
                <w:sz w:val="20"/>
                <w:szCs w:val="20"/>
                <w:color w:val="auto"/>
              </w:rPr>
            </w:pPr>
            <w:r>
              <w:rPr>
                <w:rFonts w:ascii="Arial" w:cs="Arial" w:eastAsia="Arial" w:hAnsi="Arial"/>
                <w:sz w:val="16"/>
                <w:szCs w:val="16"/>
                <w:b w:val="1"/>
                <w:bCs w:val="1"/>
                <w:color w:val="auto"/>
                <w:w w:val="87"/>
              </w:rPr>
              <w:t>Share</w:t>
            </w:r>
            <w:r>
              <w:rPr>
                <w:rFonts w:ascii="Arial" w:cs="Arial" w:eastAsia="Arial" w:hAnsi="Arial"/>
                <w:sz w:val="21"/>
                <w:szCs w:val="21"/>
                <w:b w:val="1"/>
                <w:bCs w:val="1"/>
                <w:color w:val="auto"/>
                <w:w w:val="87"/>
                <w:vertAlign w:val="superscript"/>
              </w:rPr>
              <w:t>(2)</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2260" w:type="dxa"/>
            <w:vAlign w:val="bottom"/>
            <w:gridSpan w:val="2"/>
          </w:tcPr>
          <w:p>
            <w:pPr>
              <w:jc w:val="right"/>
              <w:ind w:right="14"/>
              <w:spacing w:after="0" w:line="216" w:lineRule="exact"/>
              <w:rPr>
                <w:sz w:val="20"/>
                <w:szCs w:val="20"/>
                <w:color w:val="auto"/>
              </w:rPr>
            </w:pPr>
            <w:r>
              <w:rPr>
                <w:rFonts w:ascii="Arial" w:cs="Arial" w:eastAsia="Arial" w:hAnsi="Arial"/>
                <w:sz w:val="16"/>
                <w:szCs w:val="16"/>
                <w:b w:val="1"/>
                <w:bCs w:val="1"/>
                <w:color w:val="auto"/>
                <w:w w:val="98"/>
              </w:rPr>
              <w:t>Purchased Under the Plan</w:t>
            </w:r>
            <w:r>
              <w:rPr>
                <w:rFonts w:ascii="Arial" w:cs="Arial" w:eastAsia="Arial" w:hAnsi="Arial"/>
                <w:sz w:val="21"/>
                <w:szCs w:val="21"/>
                <w:b w:val="1"/>
                <w:bCs w:val="1"/>
                <w:color w:val="auto"/>
                <w:w w:val="98"/>
                <w:vertAlign w:val="superscript"/>
              </w:rPr>
              <w:t>(3)</w:t>
            </w:r>
          </w:p>
        </w:tc>
        <w:tc>
          <w:tcPr>
            <w:tcW w:w="0" w:type="dxa"/>
            <w:vAlign w:val="bottom"/>
          </w:tcPr>
          <w:p>
            <w:pPr>
              <w:spacing w:after="0"/>
              <w:rPr>
                <w:sz w:val="1"/>
                <w:szCs w:val="1"/>
                <w:color w:val="auto"/>
              </w:rPr>
            </w:pPr>
          </w:p>
        </w:tc>
      </w:tr>
      <w:tr>
        <w:trPr>
          <w:trHeight w:val="207"/>
        </w:trPr>
        <w:tc>
          <w:tcPr>
            <w:tcW w:w="3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109.89</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8"/>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February 1, 2022 - February 28, 2022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132.99</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130.92</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58"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108,508 shares of common stock repurchased from employees in order to satisfy tax withholding requirements. Such shares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average price paid per share includes any commissions paid to repurchase stock.</w:t>
      </w:r>
    </w:p>
    <w:p>
      <w:pPr>
        <w:spacing w:after="0" w:line="9"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September 2021, the Company’s board of directors authorized a $2 billion common stock repurchase program. The stock repurchase program has no time limit and may be suspended, modified, or discontinued by the board of directors at any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INDEX</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Exhibit</w:t>
      </w:r>
    </w:p>
    <w:p>
      <w:pPr>
        <w:ind w:left="60"/>
        <w:spacing w:after="0"/>
        <w:tabs>
          <w:tab w:leader="none" w:pos="12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128" w:lineRule="exact"/>
        <w:rPr>
          <w:sz w:val="20"/>
          <w:szCs w:val="20"/>
          <w:color w:val="auto"/>
        </w:rPr>
      </w:pPr>
    </w:p>
    <w:p>
      <w:pPr>
        <w:ind w:left="60"/>
        <w:spacing w:after="0"/>
        <w:rPr>
          <w:sz w:val="20"/>
          <w:szCs w:val="20"/>
          <w:color w:val="auto"/>
        </w:rPr>
      </w:pPr>
      <w:r>
        <w:rPr>
          <w:rFonts w:ascii="Arial" w:cs="Arial" w:eastAsia="Arial" w:hAnsi="Arial"/>
          <w:sz w:val="15"/>
          <w:szCs w:val="15"/>
          <w:color w:val="auto"/>
        </w:rPr>
        <w:t>3.1</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5"/>
          <w:szCs w:val="15"/>
          <w:color w:val="auto"/>
        </w:rPr>
        <w:t>3.2</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0"/>
        <w:spacing w:after="0" w:line="274"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Amended and Restated Certificate of Incorporation of the Company (incorporated by reference to Exhibit 3.1 to the Form 10-Q, File No. 001-</w:t>
        </w:r>
      </w:hyperlink>
      <w:hyperlink r:id="rId98">
        <w:r>
          <w:rPr>
            <w:rFonts w:ascii="Arial" w:cs="Arial" w:eastAsia="Arial" w:hAnsi="Arial"/>
            <w:sz w:val="17"/>
            <w:szCs w:val="17"/>
            <w:u w:val="single" w:color="auto"/>
            <w:color w:val="0000FF"/>
          </w:rPr>
          <w:t>35700, filed by the Company with the SEC on November 16, 2012).</w:t>
        </w:r>
      </w:hyperlink>
    </w:p>
    <w:p>
      <w:pPr>
        <w:spacing w:after="0" w:line="13" w:lineRule="exact"/>
        <w:rPr>
          <w:sz w:val="20"/>
          <w:szCs w:val="20"/>
          <w:color w:val="auto"/>
        </w:rPr>
      </w:pPr>
    </w:p>
    <w:p>
      <w:pPr>
        <w:ind w:right="60"/>
        <w:spacing w:after="0" w:line="273" w:lineRule="auto"/>
        <w:rPr>
          <w:rFonts w:ascii="Arial" w:cs="Arial" w:eastAsia="Arial" w:hAnsi="Arial"/>
          <w:sz w:val="17"/>
          <w:szCs w:val="17"/>
          <w:u w:val="single" w:color="auto"/>
          <w:color w:val="0000FF"/>
        </w:rPr>
      </w:pPr>
      <w:hyperlink r:id="rId99">
        <w:r>
          <w:rPr>
            <w:rFonts w:ascii="Arial" w:cs="Arial" w:eastAsia="Arial" w:hAnsi="Arial"/>
            <w:sz w:val="17"/>
            <w:szCs w:val="17"/>
            <w:u w:val="single" w:color="auto"/>
            <w:color w:val="0000FF"/>
          </w:rPr>
          <w:t>Certificate of Amendment No. 1 of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Exhibit 3.1 to the Form 8-K, File No. 001-35700, filed by the Company with the SEC on December 12, 2016).</w:t>
        </w:r>
      </w:hyperlink>
    </w:p>
    <w:p>
      <w:pPr>
        <w:spacing w:after="0" w:line="1" w:lineRule="exact"/>
        <w:rPr>
          <w:sz w:val="20"/>
          <w:szCs w:val="20"/>
          <w:color w:val="auto"/>
        </w:rPr>
      </w:pPr>
    </w:p>
    <w:p>
      <w:pPr>
        <w:spacing w:after="0" w:line="232" w:lineRule="auto"/>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Certificate of Amendment No. 2 to the Amended and Restated Certificate of Incorporation of the Company (incorporated by reference to Exhibit</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3.1 to the Form 8-K, File No. 001-35700, filed by the Company with the SEC on June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-236855</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0" w:space="720"/>
            <w:col w:w="9940"/>
          </w:cols>
          <w:pgMar w:left="320" w:top="122" w:right="359"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3.4</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4.1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4.2</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4.3</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4.4</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22.1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ind w:left="40" w:right="40"/>
        <w:spacing w:after="0" w:line="274" w:lineRule="auto"/>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Second Amended and Restated Bylaws of the Company (incorporated by reference to Exhibit 3.1 to the Form 8-K, File No. 001-35700, filed by</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the Company with the SEC on November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13232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40"/>
        <w:spacing w:after="0" w:line="309" w:lineRule="auto"/>
        <w:rPr>
          <w:rFonts w:ascii="Arial" w:cs="Arial" w:eastAsia="Arial" w:hAnsi="Arial"/>
          <w:sz w:val="15"/>
          <w:szCs w:val="15"/>
          <w:u w:val="single" w:color="auto"/>
          <w:color w:val="0000FF"/>
        </w:rPr>
      </w:pPr>
      <w:hyperlink r:id="rId104">
        <w:r>
          <w:rPr>
            <w:rFonts w:ascii="Arial" w:cs="Arial" w:eastAsia="Arial" w:hAnsi="Arial"/>
            <w:sz w:val="15"/>
            <w:szCs w:val="15"/>
            <w:u w:val="single" w:color="auto"/>
            <w:color w:val="0000FF"/>
          </w:rPr>
          <w:t>Specimen certificate for shares of common stock, par value $0.01 per share, of the Company (incorporated by reference to Exhibit 4.1 to</w:t>
        </w:r>
      </w:hyperlink>
      <w:r>
        <w:rPr>
          <w:rFonts w:ascii="Arial" w:cs="Arial" w:eastAsia="Arial" w:hAnsi="Arial"/>
          <w:sz w:val="15"/>
          <w:szCs w:val="15"/>
          <w:u w:val="single" w:color="auto"/>
          <w:color w:val="0000FF"/>
        </w:rPr>
        <w:t xml:space="preserve"> </w:t>
      </w:r>
      <w:hyperlink r:id="rId104">
        <w:r>
          <w:rPr>
            <w:rFonts w:ascii="Arial" w:cs="Arial" w:eastAsia="Arial" w:hAnsi="Arial"/>
            <w:sz w:val="15"/>
            <w:szCs w:val="15"/>
            <w:u w:val="single" w:color="auto"/>
            <w:color w:val="0000FF"/>
          </w:rPr>
          <w:t>Amendment No. 4 to the Registration Statement on Form S-1, File No. 333-179502, filed by the Company with the SEC on August 20, 2012).</w:t>
        </w:r>
      </w:hyperlink>
    </w:p>
    <w:p>
      <w:pPr>
        <w:spacing w:after="0" w:line="1" w:lineRule="exact"/>
        <w:rPr>
          <w:sz w:val="20"/>
          <w:szCs w:val="20"/>
          <w:color w:val="auto"/>
        </w:rPr>
      </w:pPr>
    </w:p>
    <w:p>
      <w:pPr>
        <w:jc w:val="both"/>
        <w:ind w:left="40"/>
        <w:spacing w:after="0" w:line="221" w:lineRule="auto"/>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Registration Rights Agreement, dated as of February 26, 2021, by and among the Company, Guidon Operating LLC and Guidon Energy</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Holdings LP (incorporated by reference to Exhibit 4.3 to the Company’s Registration Statement on Form S-3, File No. 333-255731, filed by the</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Company with the SEC on May 3, 2021.</w:t>
        </w:r>
      </w:hyperlink>
    </w:p>
    <w:p>
      <w:pPr>
        <w:jc w:val="both"/>
        <w:ind w:left="40"/>
        <w:spacing w:after="0" w:line="221" w:lineRule="auto"/>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Letter Agreement, dated as of April 27, 2021, by and among the Company, Guidon Operating LLC and Guidon Energy Holdings LP relating to</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the Registration Rights Agreement referenced as Exhibit 4.2 hereto (incorporated by reference to Exhibit 4.4 to the Company’s Registration</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Statement on Form S-3, File No. 333-255731, filed by the Company with the SEC on May 3,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-339725</wp:posOffset>
            </wp:positionV>
            <wp:extent cx="7132320"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jc w:val="both"/>
        <w:ind w:left="40"/>
        <w:spacing w:after="0" w:line="221" w:lineRule="auto"/>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Fifth Supplemental Indenture, dated as of March 17, 2022, among Diamondback Energy, Inc., Diamondback E&amp;P LLC and Computershare</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Trust Company, National Association, as trustee (including the form of the March 2022 Notes) (incorporated by reference to Exhibit 4.2 to the</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Form 8-K, File No. 001-35700, filed by the Company with the SEC on March 17, 2022).</w:t>
        </w:r>
      </w:hyperlink>
    </w:p>
    <w:p>
      <w:pPr>
        <w:jc w:val="both"/>
        <w:ind w:left="40"/>
        <w:spacing w:after="0" w:line="221" w:lineRule="auto"/>
        <w:rPr>
          <w:rFonts w:ascii="Arial" w:cs="Arial" w:eastAsia="Arial" w:hAnsi="Arial"/>
          <w:sz w:val="17"/>
          <w:szCs w:val="17"/>
          <w:u w:val="single" w:color="auto"/>
          <w:color w:val="0000FF"/>
        </w:rPr>
      </w:pPr>
      <w:hyperlink r:id="rId109">
        <w:r>
          <w:rPr>
            <w:rFonts w:ascii="Arial" w:cs="Arial" w:eastAsia="Arial" w:hAnsi="Arial"/>
            <w:sz w:val="17"/>
            <w:szCs w:val="17"/>
            <w:u w:val="single" w:color="auto"/>
            <w:color w:val="0000FF"/>
          </w:rPr>
          <w:t>Diamondback Energy, Inc. Amended and Restated Senior Management Severance Plan, adopted effective as of February 21, 2022 (including a</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form of participation agreement attached thereto as Schedule C) (incorporated by reference to Exhibit 10.9 to the Form 10-K, File No. 001-</w:t>
        </w:r>
      </w:hyperlink>
      <w:hyperlink r:id="rId109">
        <w:r>
          <w:rPr>
            <w:rFonts w:ascii="Arial" w:cs="Arial" w:eastAsia="Arial" w:hAnsi="Arial"/>
            <w:sz w:val="17"/>
            <w:szCs w:val="17"/>
            <w:u w:val="single" w:color="auto"/>
            <w:color w:val="0000FF"/>
          </w:rPr>
          <w:t>35700, filed by the Company with the SEC on February 24, 2022).</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-339725</wp:posOffset>
            </wp:positionV>
            <wp:extent cx="713232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40" w:right="40"/>
        <w:spacing w:after="0" w:line="274" w:lineRule="auto"/>
        <w:rPr>
          <w:rFonts w:ascii="Arial" w:cs="Arial" w:eastAsia="Arial" w:hAnsi="Arial"/>
          <w:sz w:val="17"/>
          <w:szCs w:val="17"/>
          <w:u w:val="single" w:color="auto"/>
          <w:color w:val="0000FF"/>
        </w:rPr>
      </w:pPr>
      <w:hyperlink r:id="rId111">
        <w:r>
          <w:rPr>
            <w:rFonts w:ascii="Arial" w:cs="Arial" w:eastAsia="Arial" w:hAnsi="Arial"/>
            <w:sz w:val="17"/>
            <w:szCs w:val="17"/>
            <w:u w:val="single" w:color="auto"/>
            <w:color w:val="0000FF"/>
          </w:rPr>
          <w:t>List of Issuers and Guarantor Subsidiaries (incorporated by reference to Exhibit 22.1 to the Form 10-Q, File No. 001-35700, filed by the</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Company with the SEC on August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13232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40"/>
        <w:spacing w:after="0" w:line="274" w:lineRule="auto"/>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Certification of Chief Executive Officer of the Registrant pursuant to Rule 13a-14(a) promulgated under the Securities Exchange Act of 1934, as</w:t>
        </w:r>
      </w:hyperlink>
      <w:r>
        <w:rPr>
          <w:rFonts w:ascii="Arial" w:cs="Arial" w:eastAsia="Arial" w:hAnsi="Arial"/>
          <w:sz w:val="17"/>
          <w:szCs w:val="17"/>
          <w:u w:val="single" w:color="auto"/>
          <w:color w:val="0000FF"/>
        </w:rPr>
        <w:t xml:space="preserve"> </w:t>
      </w:r>
      <w:hyperlink w:anchor="page59">
        <w:r>
          <w:rPr>
            <w:rFonts w:ascii="Arial" w:cs="Arial" w:eastAsia="Arial" w:hAnsi="Arial"/>
            <w:sz w:val="17"/>
            <w:szCs w:val="17"/>
            <w:u w:val="single" w:color="auto"/>
            <w:color w:val="0000FF"/>
          </w:rPr>
          <w:t>amended.</w:t>
        </w:r>
      </w:hyperlink>
    </w:p>
    <w:p>
      <w:pPr>
        <w:spacing w:after="0" w:line="13" w:lineRule="exact"/>
        <w:rPr>
          <w:sz w:val="20"/>
          <w:szCs w:val="20"/>
          <w:color w:val="auto"/>
        </w:rPr>
      </w:pPr>
    </w:p>
    <w:p>
      <w:pPr>
        <w:ind w:left="40" w:right="40"/>
        <w:spacing w:after="0" w:line="274" w:lineRule="auto"/>
        <w:rPr>
          <w:rFonts w:ascii="Arial" w:cs="Arial" w:eastAsia="Arial" w:hAnsi="Arial"/>
          <w:sz w:val="17"/>
          <w:szCs w:val="17"/>
          <w:u w:val="single" w:color="auto"/>
          <w:color w:val="0000FF"/>
        </w:rPr>
      </w:pPr>
      <w:hyperlink w:anchor="page60">
        <w:r>
          <w:rPr>
            <w:rFonts w:ascii="Arial" w:cs="Arial" w:eastAsia="Arial" w:hAnsi="Arial"/>
            <w:sz w:val="17"/>
            <w:szCs w:val="17"/>
            <w:u w:val="single" w:color="auto"/>
            <w:color w:val="0000FF"/>
          </w:rPr>
          <w:t>Certification of Chief Financial Officer of the Registrant pursuant to Rule 13a-14(a) promulgated under the Securities Exchange Act of 1934, as</w:t>
        </w:r>
      </w:hyperlink>
      <w:r>
        <w:rPr>
          <w:rFonts w:ascii="Arial" w:cs="Arial" w:eastAsia="Arial" w:hAnsi="Arial"/>
          <w:sz w:val="17"/>
          <w:szCs w:val="17"/>
          <w:u w:val="single" w:color="auto"/>
          <w:color w:val="0000FF"/>
        </w:rPr>
        <w:t xml:space="preserve"> </w:t>
      </w:r>
      <w:hyperlink w:anchor="page60">
        <w:r>
          <w:rPr>
            <w:rFonts w:ascii="Arial" w:cs="Arial" w:eastAsia="Arial" w:hAnsi="Arial"/>
            <w:sz w:val="17"/>
            <w:szCs w:val="17"/>
            <w:u w:val="single" w:color="auto"/>
            <w:color w:val="0000FF"/>
          </w:rPr>
          <w:t>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13232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40"/>
        <w:spacing w:after="0" w:line="274" w:lineRule="auto"/>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Certification of Chief Executive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61">
        <w:r>
          <w:rPr>
            <w:rFonts w:ascii="Arial" w:cs="Arial" w:eastAsia="Arial" w:hAnsi="Arial"/>
            <w:sz w:val="17"/>
            <w:szCs w:val="17"/>
            <w:u w:val="single" w:color="auto"/>
            <w:color w:val="0000FF"/>
          </w:rPr>
          <w:t>as amended, and Section 1350 of Chapter 63 of Title 18 of the United States Code.</w:t>
        </w:r>
      </w:hyperlink>
    </w:p>
    <w:p>
      <w:pPr>
        <w:spacing w:after="0" w:line="13" w:lineRule="exact"/>
        <w:rPr>
          <w:sz w:val="20"/>
          <w:szCs w:val="20"/>
          <w:color w:val="auto"/>
        </w:rPr>
      </w:pPr>
    </w:p>
    <w:p>
      <w:pPr>
        <w:ind w:left="40" w:right="60"/>
        <w:spacing w:after="0" w:line="273" w:lineRule="auto"/>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Certification of Chief Financial Officer of the Registrant pursuant to Rule 13a-14(b) promulgated under the Securities Exchange Act of 1934, as</w:t>
        </w:r>
      </w:hyperlink>
      <w:r>
        <w:rPr>
          <w:rFonts w:ascii="Arial" w:cs="Arial" w:eastAsia="Arial" w:hAnsi="Arial"/>
          <w:sz w:val="17"/>
          <w:szCs w:val="17"/>
          <w:u w:val="single" w:color="auto"/>
          <w:color w:val="0000FF"/>
        </w:rPr>
        <w:t xml:space="preserve"> </w:t>
      </w:r>
      <w:hyperlink w:anchor="page62">
        <w:r>
          <w:rPr>
            <w:rFonts w:ascii="Arial" w:cs="Arial" w:eastAsia="Arial" w:hAnsi="Arial"/>
            <w:sz w:val="17"/>
            <w:szCs w:val="17"/>
            <w:u w:val="single" w:color="auto"/>
            <w:color w:val="0000FF"/>
          </w:rPr>
          <w:t>amended, and Section 1350 of Chapter 63 of Title 18 of the United States Code.</w:t>
        </w:r>
      </w:hyperlink>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The following financial information from the Company’s Quarterly Report on Form 10-Q for the quarter ended March 31, 2022,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-441325</wp:posOffset>
            </wp:positionV>
            <wp:extent cx="7132320" cy="445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540" w:space="700"/>
            <w:col w:w="9980"/>
          </w:cols>
          <w:pgMar w:left="320" w:top="122" w:right="359" w:bottom="1440" w:gutter="0" w:footer="0" w:header="0"/>
          <w:type w:val="continuous"/>
        </w:sectPr>
      </w:pPr>
    </w:p>
    <w:p>
      <w:pPr>
        <w:ind w:left="60"/>
        <w:spacing w:after="0"/>
        <w:tabs>
          <w:tab w:leader="none" w:pos="12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27" w:lineRule="exact"/>
        <w:rPr>
          <w:sz w:val="20"/>
          <w:szCs w:val="20"/>
          <w:color w:val="auto"/>
        </w:rPr>
      </w:pPr>
    </w:p>
    <w:p>
      <w:pPr>
        <w:ind w:left="540" w:hanging="474"/>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29" w:lineRule="exact"/>
        <w:rPr>
          <w:sz w:val="20"/>
          <w:szCs w:val="20"/>
          <w:color w:val="auto"/>
        </w:rPr>
      </w:pPr>
    </w:p>
    <w:p>
      <w:pPr>
        <w:jc w:val="both"/>
        <w:ind w:left="540" w:right="40" w:hanging="474"/>
        <w:spacing w:after="0" w:line="221"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DIAMONDBACK ENERGY,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180"/>
              <w:spacing w:after="0"/>
              <w:rPr>
                <w:sz w:val="20"/>
                <w:szCs w:val="20"/>
                <w:color w:val="auto"/>
              </w:rPr>
            </w:pPr>
            <w:r>
              <w:rPr>
                <w:rFonts w:ascii="Arial" w:cs="Arial" w:eastAsia="Arial" w:hAnsi="Arial"/>
                <w:sz w:val="18"/>
                <w:szCs w:val="18"/>
                <w:color w:val="auto"/>
              </w:rPr>
              <w:t>May 5, 2022</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9"/>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180"/>
              <w:spacing w:after="0"/>
              <w:rPr>
                <w:sz w:val="20"/>
                <w:szCs w:val="20"/>
                <w:color w:val="auto"/>
              </w:rPr>
            </w:pPr>
            <w:r>
              <w:rPr>
                <w:rFonts w:ascii="Arial" w:cs="Arial" w:eastAsia="Arial" w:hAnsi="Arial"/>
                <w:sz w:val="18"/>
                <w:szCs w:val="18"/>
                <w:color w:val="auto"/>
              </w:rPr>
              <w:t>May 5, 2022</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Roman"/>
      <w:start w:val="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101" Type="http://schemas.openxmlformats.org/officeDocument/2006/relationships/image" Target="media/image89.png"/><Relationship Id="rId103" Type="http://schemas.openxmlformats.org/officeDocument/2006/relationships/image" Target="media/image90.png"/><Relationship Id="rId107" Type="http://schemas.openxmlformats.org/officeDocument/2006/relationships/image" Target="media/image91.png"/><Relationship Id="rId110"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26" Type="http://schemas.openxmlformats.org/officeDocument/2006/relationships/hyperlink" Target="https://www.sec.gov/ix?doc=/Archives/edgar/data/1539838/000153983822000008/fang-20211231.htm" TargetMode="External"/><Relationship Id="rId94" Type="http://schemas.openxmlformats.org/officeDocument/2006/relationships/hyperlink" Target="https://www.sec.gov/ix?doc=/Archives/edgar/data/1539838/000153983822000008/fang-20211231.htm#ia0a8569c6321429087004ad63a8c5224_25" TargetMode="External"/><Relationship Id="rId98" Type="http://schemas.openxmlformats.org/officeDocument/2006/relationships/hyperlink" Target="http://www.sec.gov/Archives/edgar/data/1539838/000153983812000004/exhibit31amendcertofincorp.htm" TargetMode="External"/><Relationship Id="rId99" Type="http://schemas.openxmlformats.org/officeDocument/2006/relationships/hyperlink" Target="http://www.sec.gov/Archives/edgar/data/1539838/000153983816000266/diamondbackex31-12x12x16.htm" TargetMode="External"/><Relationship Id="rId100" Type="http://schemas.openxmlformats.org/officeDocument/2006/relationships/hyperlink" Target="https://www.sec.gov/Archives/edgar/data/1539838/000153983821000095/diamondbackex31-6x2x21.htm" TargetMode="External"/><Relationship Id="rId102" Type="http://schemas.openxmlformats.org/officeDocument/2006/relationships/hyperlink" Target="https://www.sec.gov/Archives/edgar/data/1539838/000153983819000122/diamondbackex31-11x19x.htm" TargetMode="External"/><Relationship Id="rId104" Type="http://schemas.openxmlformats.org/officeDocument/2006/relationships/hyperlink" Target="http://www.sec.gov/Archives/edgar/data/1539838/000119312512360997/d295327dex41.htm" TargetMode="External"/><Relationship Id="rId105" Type="http://schemas.openxmlformats.org/officeDocument/2006/relationships/hyperlink" Target="https://www.sec.gov/Archives/edgar/data/1539838/000119312521148164/d301323dex43.htm" TargetMode="External"/><Relationship Id="rId106" Type="http://schemas.openxmlformats.org/officeDocument/2006/relationships/hyperlink" Target="https://www.sec.gov/Archives/edgar/data/1539838/000119312521148164/d301323dex44.htm" TargetMode="External"/><Relationship Id="rId108" Type="http://schemas.openxmlformats.org/officeDocument/2006/relationships/hyperlink" Target="https://www.sec.gov/Archives/edgar/data/1539838/000110465922035018/tm229566d1_ex4-2.htm" TargetMode="External"/><Relationship Id="rId109" Type="http://schemas.openxmlformats.org/officeDocument/2006/relationships/hyperlink" Target="https://www.sec.gov/Archives/edgar/data/1539838/000153983822000008/diamondback202110-kxex109.htm" TargetMode="External"/><Relationship Id="rId111"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2022-05-06T12:04:17Z</dcterms:created>
  <dcterms:modified xsi:type="dcterms:W3CDTF">2022-05-06T12:04:17Z</dcterms:modified>
</cp:coreProperties>
</file>