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270510</wp:posOffset>
            </wp:positionV>
            <wp:extent cx="2658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224790</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680" w:hanging="645"/>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UNDER SECTION 13 OR 15(d) OF THE SECURITIES EXCHANGE ACT OF</w:t>
      </w:r>
    </w:p>
    <w:p>
      <w:pPr>
        <w:spacing w:after="0" w:line="30"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1934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2019</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0" w:lineRule="exact"/>
        <w:rPr>
          <w:sz w:val="24"/>
          <w:szCs w:val="24"/>
          <w:color w:val="auto"/>
        </w:rPr>
      </w:pPr>
    </w:p>
    <w:p>
      <w:pPr>
        <w:ind w:left="680" w:hanging="645"/>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UNDER SECTION 13 OR 15(d) OF SECURITIES EXCHANGE ACT OF 1934</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001-35700</w:t>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-297815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90170</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080" w:type="dxa"/>
        <w:tblCellMar>
          <w:top w:w="0" w:type="dxa"/>
          <w:left w:w="0" w:type="dxa"/>
          <w:bottom w:w="0" w:type="dxa"/>
          <w:right w:w="0" w:type="dxa"/>
        </w:tblCellMar>
      </w:tblPr>
      <w:tr>
        <w:trPr>
          <w:trHeight w:val="212"/>
        </w:trPr>
        <w:tc>
          <w:tcPr>
            <w:tcW w:w="5020" w:type="dxa"/>
            <w:vAlign w:val="bottom"/>
          </w:tcPr>
          <w:p>
            <w:pPr>
              <w:jc w:val="center"/>
              <w:ind w:right="1122"/>
              <w:spacing w:after="0"/>
              <w:rPr>
                <w:sz w:val="20"/>
                <w:szCs w:val="20"/>
                <w:color w:val="auto"/>
              </w:rPr>
            </w:pPr>
            <w:r>
              <w:rPr>
                <w:rFonts w:ascii="Times New Roman" w:cs="Times New Roman" w:eastAsia="Times New Roman" w:hAnsi="Times New Roman"/>
                <w:sz w:val="16"/>
                <w:szCs w:val="16"/>
                <w:b w:val="1"/>
                <w:bCs w:val="1"/>
                <w:color w:val="auto"/>
                <w:w w:val="98"/>
              </w:rPr>
              <w:t>DE</w:t>
            </w:r>
          </w:p>
        </w:tc>
        <w:tc>
          <w:tcPr>
            <w:tcW w:w="3700" w:type="dxa"/>
            <w:vAlign w:val="bottom"/>
          </w:tcPr>
          <w:p>
            <w:pPr>
              <w:jc w:val="right"/>
              <w:ind w:right="783"/>
              <w:spacing w:after="0"/>
              <w:rPr>
                <w:sz w:val="20"/>
                <w:szCs w:val="20"/>
                <w:color w:val="auto"/>
              </w:rPr>
            </w:pPr>
            <w:r>
              <w:rPr>
                <w:rFonts w:ascii="Times New Roman" w:cs="Times New Roman" w:eastAsia="Times New Roman" w:hAnsi="Times New Roman"/>
                <w:sz w:val="16"/>
                <w:szCs w:val="16"/>
                <w:b w:val="1"/>
                <w:bCs w:val="1"/>
                <w:color w:val="auto"/>
              </w:rPr>
              <w:t>45-4502447</w:t>
            </w:r>
          </w:p>
        </w:tc>
      </w:tr>
      <w:tr>
        <w:trPr>
          <w:trHeight w:val="442"/>
        </w:trPr>
        <w:tc>
          <w:tcPr>
            <w:tcW w:w="5020" w:type="dxa"/>
            <w:vAlign w:val="bottom"/>
          </w:tcPr>
          <w:p>
            <w:pPr>
              <w:jc w:val="center"/>
              <w:ind w:right="1122"/>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00" w:type="dxa"/>
            <w:vAlign w:val="bottom"/>
          </w:tcPr>
          <w:p>
            <w:pPr>
              <w:jc w:val="center"/>
              <w:ind w:left="1123"/>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625"/>
        </w:trPr>
        <w:tc>
          <w:tcPr>
            <w:tcW w:w="5020" w:type="dxa"/>
            <w:vAlign w:val="bottom"/>
          </w:tcPr>
          <w:p>
            <w:pPr>
              <w:jc w:val="center"/>
              <w:ind w:right="1122"/>
              <w:spacing w:after="0"/>
              <w:rPr>
                <w:sz w:val="20"/>
                <w:szCs w:val="20"/>
                <w:color w:val="auto"/>
              </w:rPr>
            </w:pPr>
            <w:r>
              <w:rPr>
                <w:rFonts w:ascii="Times New Roman" w:cs="Times New Roman" w:eastAsia="Times New Roman" w:hAnsi="Times New Roman"/>
                <w:sz w:val="16"/>
                <w:szCs w:val="16"/>
                <w:b w:val="1"/>
                <w:bCs w:val="1"/>
                <w:color w:val="auto"/>
                <w:w w:val="99"/>
              </w:rPr>
              <w:t>500 West Texas</w:t>
            </w:r>
          </w:p>
        </w:tc>
        <w:tc>
          <w:tcPr>
            <w:tcW w:w="3700" w:type="dxa"/>
            <w:vAlign w:val="bottom"/>
          </w:tcPr>
          <w:p>
            <w:pPr>
              <w:spacing w:after="0"/>
              <w:rPr>
                <w:sz w:val="24"/>
                <w:szCs w:val="24"/>
                <w:color w:val="auto"/>
              </w:rPr>
            </w:pPr>
          </w:p>
        </w:tc>
      </w:tr>
      <w:tr>
        <w:trPr>
          <w:trHeight w:val="270"/>
        </w:trPr>
        <w:tc>
          <w:tcPr>
            <w:tcW w:w="5020" w:type="dxa"/>
            <w:vAlign w:val="bottom"/>
          </w:tcPr>
          <w:p>
            <w:pPr>
              <w:jc w:val="center"/>
              <w:ind w:right="1102"/>
              <w:spacing w:after="0"/>
              <w:rPr>
                <w:sz w:val="20"/>
                <w:szCs w:val="20"/>
                <w:color w:val="auto"/>
              </w:rPr>
            </w:pPr>
            <w:r>
              <w:rPr>
                <w:rFonts w:ascii="Times New Roman" w:cs="Times New Roman" w:eastAsia="Times New Roman" w:hAnsi="Times New Roman"/>
                <w:sz w:val="16"/>
                <w:szCs w:val="16"/>
                <w:b w:val="1"/>
                <w:bCs w:val="1"/>
                <w:color w:val="auto"/>
              </w:rPr>
              <w:t>Suite 1200</w:t>
            </w:r>
          </w:p>
        </w:tc>
        <w:tc>
          <w:tcPr>
            <w:tcW w:w="3700" w:type="dxa"/>
            <w:vAlign w:val="bottom"/>
          </w:tcPr>
          <w:p>
            <w:pPr>
              <w:spacing w:after="0"/>
              <w:rPr>
                <w:sz w:val="23"/>
                <w:szCs w:val="23"/>
                <w:color w:val="auto"/>
              </w:rPr>
            </w:pPr>
          </w:p>
        </w:tc>
      </w:tr>
      <w:tr>
        <w:trPr>
          <w:trHeight w:val="270"/>
        </w:trPr>
        <w:tc>
          <w:tcPr>
            <w:tcW w:w="5020" w:type="dxa"/>
            <w:vAlign w:val="bottom"/>
          </w:tcPr>
          <w:p>
            <w:pPr>
              <w:ind w:left="1300"/>
              <w:spacing w:after="0"/>
              <w:rPr>
                <w:sz w:val="20"/>
                <w:szCs w:val="20"/>
                <w:color w:val="auto"/>
              </w:rPr>
            </w:pPr>
            <w:r>
              <w:rPr>
                <w:rFonts w:ascii="Times New Roman" w:cs="Times New Roman" w:eastAsia="Times New Roman" w:hAnsi="Times New Roman"/>
                <w:sz w:val="16"/>
                <w:szCs w:val="16"/>
                <w:b w:val="1"/>
                <w:bCs w:val="1"/>
                <w:color w:val="auto"/>
              </w:rPr>
              <w:t>Midland, TX</w:t>
            </w:r>
          </w:p>
        </w:tc>
        <w:tc>
          <w:tcPr>
            <w:tcW w:w="3700" w:type="dxa"/>
            <w:vAlign w:val="bottom"/>
          </w:tcPr>
          <w:p>
            <w:pPr>
              <w:jc w:val="right"/>
              <w:ind w:right="963"/>
              <w:spacing w:after="0"/>
              <w:rPr>
                <w:sz w:val="20"/>
                <w:szCs w:val="20"/>
                <w:color w:val="auto"/>
              </w:rPr>
            </w:pPr>
            <w:r>
              <w:rPr>
                <w:rFonts w:ascii="Times New Roman" w:cs="Times New Roman" w:eastAsia="Times New Roman" w:hAnsi="Times New Roman"/>
                <w:sz w:val="16"/>
                <w:szCs w:val="16"/>
                <w:b w:val="1"/>
                <w:bCs w:val="1"/>
                <w:color w:val="auto"/>
              </w:rPr>
              <w:t>79701</w:t>
            </w:r>
          </w:p>
        </w:tc>
      </w:tr>
      <w:tr>
        <w:trPr>
          <w:trHeight w:val="442"/>
        </w:trPr>
        <w:tc>
          <w:tcPr>
            <w:tcW w:w="5020" w:type="dxa"/>
            <w:vAlign w:val="bottom"/>
          </w:tcPr>
          <w:p>
            <w:pPr>
              <w:jc w:val="center"/>
              <w:ind w:right="112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00" w:type="dxa"/>
            <w:vAlign w:val="bottom"/>
          </w:tcPr>
          <w:p>
            <w:pPr>
              <w:jc w:val="center"/>
              <w:ind w:left="1143"/>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(432) 221-7400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Exchange Act of 1934:</w:t>
      </w:r>
    </w:p>
    <w:p>
      <w:pPr>
        <w:sectPr>
          <w:pgSz w:w="11900" w:h="16838" w:orient="portrait"/>
          <w:cols w:equalWidth="0" w:num="1">
            <w:col w:w="11420"/>
          </w:cols>
          <w:pgMar w:left="240" w:top="889" w:right="239" w:bottom="1127" w:gutter="0" w:footer="0" w:header="0"/>
        </w:sectPr>
      </w:pPr>
    </w:p>
    <w:p>
      <w:pPr>
        <w:spacing w:after="0" w:line="197"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 outstanding as of August 2, 2019</w:t>
      </w:r>
    </w:p>
    <w:p>
      <w:pPr>
        <w:spacing w:after="0" w:line="75" w:lineRule="exact"/>
        <w:rPr>
          <w:sz w:val="24"/>
          <w:szCs w:val="24"/>
          <w:color w:val="auto"/>
        </w:rPr>
      </w:pPr>
    </w:p>
    <w:p>
      <w:pPr>
        <w:sectPr>
          <w:pgSz w:w="11900" w:h="16838" w:orient="portrait"/>
          <w:cols w:equalWidth="0" w:num="4">
            <w:col w:w="1420" w:space="400"/>
            <w:col w:w="1300" w:space="700"/>
            <w:col w:w="3140" w:space="720"/>
            <w:col w:w="3740"/>
          </w:cols>
          <w:pgMar w:left="240" w:top="889" w:right="239" w:bottom="1127" w:gutter="0" w:footer="0" w:header="0"/>
          <w:type w:val="continuous"/>
        </w:sectPr>
      </w:pPr>
    </w:p>
    <w:p>
      <w:pPr>
        <w:ind w:left="300"/>
        <w:spacing w:after="0"/>
        <w:rPr>
          <w:sz w:val="20"/>
          <w:szCs w:val="20"/>
          <w:color w:val="auto"/>
        </w:rPr>
      </w:pPr>
      <w:r>
        <w:rPr>
          <w:rFonts w:ascii="Times New Roman" w:cs="Times New Roman" w:eastAsia="Times New Roman" w:hAnsi="Times New Roman"/>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163,043,443</w:t>
      </w:r>
    </w:p>
    <w:p>
      <w:pPr>
        <w:spacing w:after="0" w:line="200" w:lineRule="exact"/>
        <w:rPr>
          <w:sz w:val="24"/>
          <w:szCs w:val="24"/>
          <w:color w:val="auto"/>
        </w:rPr>
      </w:pPr>
    </w:p>
    <w:p>
      <w:pPr>
        <w:sectPr>
          <w:pgSz w:w="11900" w:h="16838" w:orient="portrait"/>
          <w:cols w:equalWidth="0" w:num="4">
            <w:col w:w="1540" w:space="720"/>
            <w:col w:w="1380" w:space="720"/>
            <w:col w:w="3880" w:space="720"/>
            <w:col w:w="2460"/>
          </w:cols>
          <w:pgMar w:left="240" w:top="889" w:right="239" w:bottom="1127" w:gutter="0" w:footer="0" w:header="0"/>
          <w:type w:val="continuous"/>
        </w:sectPr>
      </w:pPr>
    </w:p>
    <w:p>
      <w:pPr>
        <w:spacing w:after="0" w:line="75" w:lineRule="exact"/>
        <w:rPr>
          <w:sz w:val="24"/>
          <w:szCs w:val="24"/>
          <w:color w:val="auto"/>
        </w:rPr>
      </w:pPr>
    </w:p>
    <w:p>
      <w:pPr>
        <w:jc w:val="both"/>
        <w:spacing w:after="0" w:line="25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4"/>
          <w:szCs w:val="14"/>
          <w:color w:val="auto"/>
        </w:rPr>
        <w:t>☐</w:t>
      </w:r>
    </w:p>
    <w:p>
      <w:pPr>
        <w:spacing w:after="0" w:line="376" w:lineRule="exact"/>
        <w:rPr>
          <w:sz w:val="24"/>
          <w:szCs w:val="24"/>
          <w:color w:val="auto"/>
        </w:rPr>
      </w:pPr>
    </w:p>
    <w:p>
      <w:pPr>
        <w:ind w:right="120"/>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4"/>
          <w:szCs w:val="14"/>
          <w:color w:val="auto"/>
        </w:rPr>
        <w:t>☐</w:t>
      </w:r>
    </w:p>
    <w:p>
      <w:pPr>
        <w:spacing w:after="0" w:line="213" w:lineRule="exact"/>
        <w:rPr>
          <w:sz w:val="24"/>
          <w:szCs w:val="24"/>
          <w:color w:val="auto"/>
        </w:rPr>
      </w:pPr>
    </w:p>
    <w:p>
      <w:pPr>
        <w:ind w:right="30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9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200" w:type="dxa"/>
            <w:vAlign w:val="bottom"/>
          </w:tcPr>
          <w:p>
            <w:pPr>
              <w:ind w:left="29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23" w:lineRule="exact"/>
        <w:rPr>
          <w:sz w:val="24"/>
          <w:szCs w:val="24"/>
          <w:color w:val="auto"/>
        </w:rPr>
      </w:pPr>
    </w:p>
    <w:p>
      <w:pPr>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84" w:lineRule="exact"/>
        <w:tabs>
          <w:tab w:leader="none" w:pos="7520" w:val="left"/>
          <w:tab w:leader="none" w:pos="81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ectPr>
          <w:pgSz w:w="11900" w:h="16838" w:orient="portrait"/>
          <w:cols w:equalWidth="0" w:num="1">
            <w:col w:w="11420"/>
          </w:cols>
          <w:pgMar w:left="240" w:top="889" w:right="239" w:bottom="1127"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2019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0000EE"/>
            </w:tcBorders>
            <w:gridSpan w:val="9"/>
            <w:shd w:val="clear" w:color="auto" w:fill="CCEEFF"/>
          </w:tcPr>
          <w:p>
            <w:pPr>
              <w:spacing w:after="0" w:line="163"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Glossary of Oil and Natural Gas Terms</w:t>
              </w:r>
            </w:hyperlink>
          </w:p>
        </w:tc>
        <w:tc>
          <w:tcPr>
            <w:tcW w:w="7880" w:type="dxa"/>
            <w:vAlign w:val="bottom"/>
            <w:tcBorders>
              <w:bottom w:val="single" w:sz="8" w:color="CCEEFF"/>
            </w:tcBorders>
            <w:gridSpan w:val="14"/>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center"/>
              <w:spacing w:after="0" w:line="170"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ii</w:t>
              </w:r>
            </w:hyperlink>
          </w:p>
        </w:tc>
        <w:tc>
          <w:tcPr>
            <w:tcW w:w="28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700" w:type="dxa"/>
            <w:vAlign w:val="bottom"/>
            <w:gridSpan w:val="23"/>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Glossary of Certain Other Terms</w:t>
              </w:r>
            </w:hyperlink>
          </w:p>
        </w:tc>
        <w:tc>
          <w:tcPr>
            <w:tcW w:w="300" w:type="dxa"/>
            <w:vAlign w:val="bottom"/>
          </w:tcPr>
          <w:p>
            <w:pPr>
              <w:spacing w:after="0"/>
              <w:rPr>
                <w:sz w:val="17"/>
                <w:szCs w:val="17"/>
                <w:color w:val="auto"/>
              </w:rPr>
            </w:pPr>
          </w:p>
        </w:tc>
        <w:tc>
          <w:tcPr>
            <w:tcW w:w="380" w:type="dxa"/>
            <w:vAlign w:val="bottom"/>
            <w:gridSpan w:val="4"/>
          </w:tcPr>
          <w:p>
            <w:pPr>
              <w:jc w:val="center"/>
              <w:ind w:right="260"/>
              <w:spacing w:after="0" w:line="202" w:lineRule="exact"/>
              <w:rPr>
                <w:rFonts w:ascii="Times New Roman" w:cs="Times New Roman" w:eastAsia="Times New Roman" w:hAnsi="Times New Roman"/>
                <w:sz w:val="18"/>
                <w:szCs w:val="18"/>
                <w:color w:val="0000EE"/>
                <w:w w:val="85"/>
              </w:rPr>
            </w:pPr>
            <w:hyperlink w:anchor="page5">
              <w:r>
                <w:rPr>
                  <w:rFonts w:ascii="Times New Roman" w:cs="Times New Roman" w:eastAsia="Times New Roman" w:hAnsi="Times New Roman"/>
                  <w:sz w:val="18"/>
                  <w:szCs w:val="18"/>
                  <w:color w:val="0000EE"/>
                  <w:w w:val="85"/>
                </w:rPr>
                <w:t>iv</w:t>
              </w:r>
            </w:hyperlink>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Cautionary Statement Regarding Forward-Looking Statements</w:t>
              </w:r>
            </w:hyperlink>
          </w:p>
        </w:tc>
        <w:tc>
          <w:tcPr>
            <w:tcW w:w="300" w:type="dxa"/>
            <w:vAlign w:val="bottom"/>
            <w:tcBorders>
              <w:right w:val="single" w:sz="8" w:color="CCEEFF"/>
            </w:tcBorders>
            <w:shd w:val="clear" w:color="auto" w:fill="CCEEFF"/>
          </w:tcPr>
          <w:p>
            <w:pPr>
              <w:spacing w:after="0"/>
              <w:rPr>
                <w:sz w:val="21"/>
                <w:szCs w:val="21"/>
                <w:color w:val="auto"/>
              </w:rPr>
            </w:pPr>
          </w:p>
        </w:tc>
        <w:tc>
          <w:tcPr>
            <w:tcW w:w="380" w:type="dxa"/>
            <w:vAlign w:val="bottom"/>
            <w:gridSpan w:val="4"/>
            <w:shd w:val="clear" w:color="auto" w:fill="CCEEFF"/>
          </w:tcPr>
          <w:p>
            <w:pPr>
              <w:jc w:val="center"/>
              <w:ind w:right="300"/>
              <w:spacing w:after="0" w:line="202"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v</w:t>
              </w:r>
            </w:hyperlink>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560" w:type="dxa"/>
            <w:vAlign w:val="bottom"/>
            <w:gridSpan w:val="10"/>
            <w:shd w:val="clear" w:color="auto" w:fill="CCEEFF"/>
          </w:tcPr>
          <w:p>
            <w:pPr>
              <w:jc w:val="center"/>
              <w:ind w:right="35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4140" w:type="dxa"/>
            <w:vAlign w:val="bottom"/>
            <w:tcBorders>
              <w:top w:val="single" w:sz="8" w:color="CCEEFF"/>
            </w:tcBorders>
            <w:gridSpan w:val="13"/>
          </w:tcPr>
          <w:p>
            <w:pPr>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Item 1. Financial Statements (Unaudited)</w:t>
              </w:r>
            </w:hyperlink>
          </w:p>
        </w:tc>
        <w:tc>
          <w:tcPr>
            <w:tcW w:w="3060" w:type="dxa"/>
            <w:vAlign w:val="bottom"/>
            <w:tcBorders>
              <w:top w:val="single" w:sz="8" w:color="auto"/>
            </w:tcBorders>
            <w:gridSpan w:val="9"/>
          </w:tcPr>
          <w:p>
            <w:pPr>
              <w:spacing w:after="0"/>
              <w:rPr>
                <w:sz w:val="17"/>
                <w:szCs w:val="17"/>
                <w:color w:val="auto"/>
              </w:rPr>
            </w:pPr>
          </w:p>
        </w:tc>
        <w:tc>
          <w:tcPr>
            <w:tcW w:w="35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80" w:type="dxa"/>
            <w:vAlign w:val="bottom"/>
            <w:gridSpan w:val="7"/>
            <w:shd w:val="clear" w:color="auto" w:fill="CCEEFF"/>
          </w:tcPr>
          <w:p>
            <w:pPr>
              <w:spacing w:after="0" w:line="202" w:lineRule="exact"/>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Consolidated Balance Sheets</w:t>
              </w:r>
            </w:hyperlink>
          </w:p>
        </w:tc>
        <w:tc>
          <w:tcPr>
            <w:tcW w:w="7940" w:type="dxa"/>
            <w:vAlign w:val="bottom"/>
            <w:gridSpan w:val="15"/>
            <w:shd w:val="clear" w:color="auto" w:fill="CCEEFF"/>
          </w:tcPr>
          <w:p>
            <w:pPr>
              <w:spacing w:after="0"/>
              <w:rPr>
                <w:sz w:val="17"/>
                <w:szCs w:val="17"/>
                <w:color w:val="auto"/>
              </w:rPr>
            </w:pPr>
          </w:p>
        </w:tc>
        <w:tc>
          <w:tcPr>
            <w:tcW w:w="400" w:type="dxa"/>
            <w:vAlign w:val="bottom"/>
            <w:gridSpan w:val="3"/>
            <w:shd w:val="clear" w:color="auto" w:fill="CCEEFF"/>
          </w:tcPr>
          <w:p>
            <w:pPr>
              <w:jc w:val="center"/>
              <w:ind w:left="190"/>
              <w:spacing w:after="0" w:line="202"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1</w:t>
              </w:r>
            </w:hyperlink>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20" w:type="dxa"/>
            <w:vAlign w:val="bottom"/>
            <w:gridSpan w:val="22"/>
          </w:tcPr>
          <w:p>
            <w:pPr>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Consolidated Statements of Operations</w:t>
              </w:r>
            </w:hyperlink>
          </w:p>
        </w:tc>
        <w:tc>
          <w:tcPr>
            <w:tcW w:w="400" w:type="dxa"/>
            <w:vAlign w:val="bottom"/>
            <w:gridSpan w:val="3"/>
          </w:tcPr>
          <w:p>
            <w:pPr>
              <w:jc w:val="center"/>
              <w:ind w:left="190"/>
              <w:spacing w:after="0" w:line="202" w:lineRule="exact"/>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3</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540" w:type="dxa"/>
            <w:vAlign w:val="bottom"/>
            <w:gridSpan w:val="13"/>
            <w:shd w:val="clear" w:color="auto" w:fill="CCEEFF"/>
          </w:tcPr>
          <w:p>
            <w:pPr>
              <w:spacing w:after="0" w:line="202"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Consolidated Statements of Stockholders’ Equity</w:t>
              </w:r>
            </w:hyperlink>
          </w:p>
        </w:tc>
        <w:tc>
          <w:tcPr>
            <w:tcW w:w="6480" w:type="dxa"/>
            <w:vAlign w:val="bottom"/>
            <w:gridSpan w:val="9"/>
            <w:shd w:val="clear" w:color="auto" w:fill="CCEEFF"/>
          </w:tcPr>
          <w:p>
            <w:pPr>
              <w:spacing w:after="0"/>
              <w:rPr>
                <w:sz w:val="17"/>
                <w:szCs w:val="17"/>
                <w:color w:val="auto"/>
              </w:rPr>
            </w:pPr>
          </w:p>
        </w:tc>
        <w:tc>
          <w:tcPr>
            <w:tcW w:w="400" w:type="dxa"/>
            <w:vAlign w:val="bottom"/>
            <w:gridSpan w:val="3"/>
            <w:shd w:val="clear" w:color="auto" w:fill="CCEEFF"/>
          </w:tcPr>
          <w:p>
            <w:pPr>
              <w:jc w:val="center"/>
              <w:ind w:left="190"/>
              <w:spacing w:after="0" w:line="202" w:lineRule="exact"/>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4</w:t>
              </w:r>
            </w:hyperlink>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540" w:type="dxa"/>
            <w:vAlign w:val="bottom"/>
            <w:gridSpan w:val="13"/>
          </w:tcPr>
          <w:p>
            <w:pPr>
              <w:spacing w:after="0" w:line="20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Consolidated Statements of Cash Flows</w:t>
              </w:r>
            </w:hyperlink>
          </w:p>
        </w:tc>
        <w:tc>
          <w:tcPr>
            <w:tcW w:w="6480" w:type="dxa"/>
            <w:vAlign w:val="bottom"/>
            <w:gridSpan w:val="9"/>
          </w:tcPr>
          <w:p>
            <w:pPr>
              <w:spacing w:after="0"/>
              <w:rPr>
                <w:sz w:val="17"/>
                <w:szCs w:val="17"/>
                <w:color w:val="auto"/>
              </w:rPr>
            </w:pPr>
          </w:p>
        </w:tc>
        <w:tc>
          <w:tcPr>
            <w:tcW w:w="400" w:type="dxa"/>
            <w:vAlign w:val="bottom"/>
            <w:gridSpan w:val="3"/>
          </w:tcPr>
          <w:p>
            <w:pPr>
              <w:jc w:val="center"/>
              <w:ind w:left="190"/>
              <w:spacing w:after="0" w:line="202" w:lineRule="exact"/>
              <w:rPr>
                <w:rFonts w:ascii="Times New Roman" w:cs="Times New Roman" w:eastAsia="Times New Roman" w:hAnsi="Times New Roman"/>
                <w:sz w:val="18"/>
                <w:szCs w:val="18"/>
                <w:color w:val="0000EE"/>
                <w:w w:val="88"/>
              </w:rPr>
            </w:pPr>
            <w:hyperlink w:anchor="page11">
              <w:r>
                <w:rPr>
                  <w:rFonts w:ascii="Times New Roman" w:cs="Times New Roman" w:eastAsia="Times New Roman" w:hAnsi="Times New Roman"/>
                  <w:sz w:val="18"/>
                  <w:szCs w:val="18"/>
                  <w:color w:val="0000EE"/>
                  <w:w w:val="88"/>
                </w:rPr>
                <w:t>5</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2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Condensed Notes to Consolidated Financial Statements</w:t>
              </w:r>
            </w:hyperlink>
          </w:p>
        </w:tc>
        <w:tc>
          <w:tcPr>
            <w:tcW w:w="400" w:type="dxa"/>
            <w:vAlign w:val="bottom"/>
            <w:gridSpan w:val="3"/>
            <w:shd w:val="clear" w:color="auto" w:fill="CCEEFF"/>
          </w:tcPr>
          <w:p>
            <w:pPr>
              <w:jc w:val="center"/>
              <w:ind w:left="190"/>
              <w:spacing w:after="0" w:line="202" w:lineRule="exact"/>
              <w:rPr>
                <w:rFonts w:ascii="Times New Roman" w:cs="Times New Roman" w:eastAsia="Times New Roman" w:hAnsi="Times New Roman"/>
                <w:sz w:val="18"/>
                <w:szCs w:val="18"/>
                <w:color w:val="0000EE"/>
                <w:w w:val="88"/>
              </w:rPr>
            </w:pPr>
            <w:hyperlink w:anchor="page13">
              <w:r>
                <w:rPr>
                  <w:rFonts w:ascii="Times New Roman" w:cs="Times New Roman" w:eastAsia="Times New Roman" w:hAnsi="Times New Roman"/>
                  <w:sz w:val="18"/>
                  <w:szCs w:val="18"/>
                  <w:color w:val="0000EE"/>
                  <w:w w:val="88"/>
                </w:rPr>
                <w:t>7</w:t>
              </w:r>
            </w:hyperlink>
          </w:p>
        </w:tc>
        <w:tc>
          <w:tcPr>
            <w:tcW w:w="4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Item 2. Management’s Discussion and Analysis of Financial Conditions and Results of Operations</w:t>
              </w:r>
            </w:hyperlink>
          </w:p>
        </w:tc>
        <w:tc>
          <w:tcPr>
            <w:tcW w:w="440" w:type="dxa"/>
            <w:vAlign w:val="bottom"/>
            <w:tcBorders>
              <w:right w:val="single" w:sz="8" w:color="CCEEFF"/>
            </w:tcBorders>
            <w:gridSpan w:val="4"/>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50</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3. Quantitative and Qualitative Disclosures about Market Risk</w:t>
              </w:r>
            </w:hyperlink>
          </w:p>
        </w:tc>
        <w:tc>
          <w:tcPr>
            <w:tcW w:w="440" w:type="dxa"/>
            <w:vAlign w:val="bottom"/>
            <w:tcBorders>
              <w:right w:val="single" w:sz="8" w:color="CCEEFF"/>
            </w:tcBorders>
            <w:gridSpan w:val="4"/>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69</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Item 4. Controls and Procedures</w:t>
              </w:r>
            </w:hyperlink>
          </w:p>
        </w:tc>
        <w:tc>
          <w:tcPr>
            <w:tcW w:w="440" w:type="dxa"/>
            <w:vAlign w:val="bottom"/>
            <w:tcBorders>
              <w:right w:val="single" w:sz="8" w:color="CCEEFF"/>
            </w:tcBorders>
            <w:gridSpan w:val="4"/>
            <w:shd w:val="clear" w:color="auto" w:fill="CCEEFF"/>
          </w:tcPr>
          <w:p>
            <w:pPr>
              <w:jc w:val="center"/>
              <w:ind w:left="170"/>
              <w:spacing w:after="0" w:line="202" w:lineRule="exact"/>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70</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auto"/>
            </w:tcBorders>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364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700" w:type="dxa"/>
            <w:vAlign w:val="bottom"/>
            <w:gridSpan w:val="23"/>
          </w:tcPr>
          <w:p>
            <w:pPr>
              <w:spacing w:after="0" w:line="20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Item 1. Legal Proceedings</w:t>
              </w:r>
            </w:hyperlink>
          </w:p>
        </w:tc>
        <w:tc>
          <w:tcPr>
            <w:tcW w:w="440" w:type="dxa"/>
            <w:vAlign w:val="bottom"/>
            <w:gridSpan w:val="4"/>
          </w:tcPr>
          <w:p>
            <w:pPr>
              <w:jc w:val="center"/>
              <w:ind w:left="170"/>
              <w:spacing w:after="0" w:line="202"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72</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10700" w:type="dxa"/>
            <w:vAlign w:val="bottom"/>
            <w:gridSpan w:val="23"/>
          </w:tcPr>
          <w:p>
            <w:pPr>
              <w:spacing w:after="0" w:line="20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Item 1A. Risk Factors</w:t>
              </w:r>
            </w:hyperlink>
          </w:p>
        </w:tc>
        <w:tc>
          <w:tcPr>
            <w:tcW w:w="440" w:type="dxa"/>
            <w:vAlign w:val="bottom"/>
            <w:gridSpan w:val="4"/>
          </w:tcPr>
          <w:p>
            <w:pPr>
              <w:jc w:val="center"/>
              <w:ind w:left="170"/>
              <w:spacing w:after="0" w:line="202"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72</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10700" w:type="dxa"/>
            <w:vAlign w:val="bottom"/>
            <w:gridSpan w:val="23"/>
          </w:tcPr>
          <w:p>
            <w:pPr>
              <w:spacing w:after="0" w:line="20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Item 2. Unregistered Sales of Equity Securities and Use of Proceeds</w:t>
              </w:r>
            </w:hyperlink>
          </w:p>
        </w:tc>
        <w:tc>
          <w:tcPr>
            <w:tcW w:w="440" w:type="dxa"/>
            <w:vAlign w:val="bottom"/>
            <w:gridSpan w:val="4"/>
          </w:tcPr>
          <w:p>
            <w:pPr>
              <w:jc w:val="center"/>
              <w:ind w:left="170"/>
              <w:spacing w:after="0" w:line="202"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72</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10700" w:type="dxa"/>
            <w:vAlign w:val="bottom"/>
            <w:gridSpan w:val="23"/>
          </w:tcPr>
          <w:p>
            <w:pPr>
              <w:spacing w:after="0" w:line="20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Item 6. Exhibits</w:t>
              </w:r>
            </w:hyperlink>
          </w:p>
        </w:tc>
        <w:tc>
          <w:tcPr>
            <w:tcW w:w="440" w:type="dxa"/>
            <w:vAlign w:val="bottom"/>
            <w:gridSpan w:val="4"/>
          </w:tcPr>
          <w:p>
            <w:pPr>
              <w:jc w:val="center"/>
              <w:ind w:left="170"/>
              <w:spacing w:after="0" w:line="202"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72</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gridSpan w:val="2"/>
          </w:tcPr>
          <w:p>
            <w:pPr>
              <w:spacing w:after="0" w:line="202" w:lineRule="exact"/>
              <w:rPr>
                <w:rFonts w:ascii="Times New Roman" w:cs="Times New Roman" w:eastAsia="Times New Roman" w:hAnsi="Times New Roman"/>
                <w:sz w:val="18"/>
                <w:szCs w:val="18"/>
                <w:color w:val="0000EE"/>
                <w:w w:val="97"/>
              </w:rPr>
            </w:pPr>
            <w:hyperlink w:anchor="page81">
              <w:r>
                <w:rPr>
                  <w:rFonts w:ascii="Times New Roman" w:cs="Times New Roman" w:eastAsia="Times New Roman" w:hAnsi="Times New Roman"/>
                  <w:sz w:val="18"/>
                  <w:szCs w:val="18"/>
                  <w:color w:val="0000EE"/>
                  <w:w w:val="97"/>
                </w:rPr>
                <w:t>Signatures</w:t>
              </w:r>
            </w:hyperlink>
          </w:p>
        </w:tc>
        <w:tc>
          <w:tcPr>
            <w:tcW w:w="9940" w:type="dxa"/>
            <w:vAlign w:val="bottom"/>
            <w:gridSpan w:val="21"/>
          </w:tcPr>
          <w:p>
            <w:pPr>
              <w:spacing w:after="0"/>
              <w:rPr>
                <w:sz w:val="17"/>
                <w:szCs w:val="17"/>
                <w:color w:val="auto"/>
              </w:rPr>
            </w:pPr>
          </w:p>
        </w:tc>
        <w:tc>
          <w:tcPr>
            <w:tcW w:w="440" w:type="dxa"/>
            <w:vAlign w:val="bottom"/>
            <w:gridSpan w:val="4"/>
          </w:tcPr>
          <w:p>
            <w:pPr>
              <w:jc w:val="center"/>
              <w:ind w:left="170"/>
              <w:spacing w:after="0" w:line="202" w:lineRule="exact"/>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75</w:t>
              </w:r>
            </w:hyperlink>
          </w:p>
        </w:tc>
        <w:tc>
          <w:tcPr>
            <w:tcW w:w="2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ectPr>
          <w:pgSz w:w="11900" w:h="16838" w:orient="portrait"/>
          <w:cols w:equalWidth="0" w:num="1">
            <w:col w:w="11420"/>
          </w:cols>
          <w:pgMar w:left="240" w:top="67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86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GLOSSARY OF OIL AND NATURAL GAS TERMS</w:t>
            </w:r>
          </w:p>
        </w:tc>
      </w:tr>
      <w:tr>
        <w:trPr>
          <w:trHeight w:val="378"/>
        </w:trPr>
        <w:tc>
          <w:tcPr>
            <w:tcW w:w="11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is a glossary of certain oil and gas terms that are used in this Quarterly Report on Form 10-Q (this “report”):</w:t>
            </w:r>
          </w:p>
        </w:tc>
      </w:tr>
      <w:tr>
        <w:trPr>
          <w:trHeight w:val="135"/>
        </w:trPr>
        <w:tc>
          <w:tcPr>
            <w:tcW w:w="2760" w:type="dxa"/>
            <w:vAlign w:val="bottom"/>
            <w:tcBorders>
              <w:bottom w:val="single" w:sz="8" w:color="auto"/>
            </w:tcBorders>
          </w:tcPr>
          <w:p>
            <w:pPr>
              <w:spacing w:after="0"/>
              <w:rPr>
                <w:sz w:val="11"/>
                <w:szCs w:val="11"/>
                <w:color w:val="auto"/>
              </w:rPr>
            </w:pPr>
          </w:p>
        </w:tc>
        <w:tc>
          <w:tcPr>
            <w:tcW w:w="8660" w:type="dxa"/>
            <w:vAlign w:val="bottom"/>
            <w:tcBorders>
              <w:bottom w:val="single" w:sz="8" w:color="auto"/>
            </w:tcBorders>
          </w:tcPr>
          <w:p>
            <w:pPr>
              <w:spacing w:after="0"/>
              <w:rPr>
                <w:sz w:val="11"/>
                <w:szCs w:val="11"/>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Basin</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 large depression on the earth’s surface in which sediments accumulate.</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Bbl</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tank barrel, or 42 U.S. gallons liquid volume, used in this report in reference to crude oil or other liquid</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hydrocarbons.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BOE</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Barrels of oil equivalent, with six thousand cubic feet of natural gas being equivalent to one barrel of oil.</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BOE/d</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BOE per day.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British Thermal Unit or Btu</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The quantity of heat required to raise the temperature of one pound of water by one degree Fahrenheit.</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Completion</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process of treating a drilled well followed by the installation of permanent equipment for the production of</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natural gas or oil, or in the case of a dry hole, the reporting of abandonment to the appropriate agency.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Crude oil</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Liquid hydrocarbons retrieved from geological structures underground to be refined into fuel sources.</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Finding and development costs</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 costs incurred in the acquisition, exploitation and exploration of proved oil and natural gas reserves</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divided by proved reserve additions and revisions to proved reserves.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acres or gross wells</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The total acres or wells, as the case may be, in which a working interest is owned.</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Horizontal drilling</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 drilling technique used in certain formations where a well is drilled vertically to a certain depth and then</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drilled at a right angle with a specified interval.</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Horizontal wells</w:t>
            </w:r>
          </w:p>
        </w:tc>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Wells drilled directionally horizontal to allow for development of structures not reachable through traditional</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vertical drilling mechanisms.</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Mb/d</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Thousand barrels per day.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Mcf</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Thousand cubic feet of natural gas.</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Mineral interests</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interests in ownership of the resource and mineral rights, giving an owner the right to profit from the</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extracted resources.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MMBtu</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Million British Thermal Units.</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acres or net wells</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sum of the fractional working interest owned in gross acres.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Tracts of land consisting of properties to be developed for oil and natural gas resource extraction.</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Operator</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individual or company responsible for the exploration and/or production of an oil or natural gas well or</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lease.</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Plugging and abandonment</w:t>
            </w:r>
          </w:p>
        </w:tc>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Refers to the sealing off of fluids in the strata penetrated by a well so that the fluids from one stratum will not</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escape into another or to the surface. Regulations of all states require plugging of abandoned wells.</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Prospect</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 specific geographic area which, based on supporting geological, geophysical or other data and also</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preliminary economic analysis using reasonably anticipated prices and costs, is deemed to have potential for the</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discovery of commercial hydrocarbons.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Proved reserves</w:t>
            </w:r>
          </w:p>
        </w:tc>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The estimated quantities of oil, natural gas and natural gas liquids which geological and engineering data</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demonstrate with reasonable certainty to be commercially recoverable in future years from known reservoirs</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under existing economic and operating conditions.</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Reserves</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estimated remaining quantities of oil and natural gas and related substances anticipated to be economically</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producible, as of a given date, by application of development projects to known accumulations. In addition, there</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must exist, or there must be a reasonable expectation that there will exist, the legal right to produce or a revenue</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in the production, installed means of delivering oil and natural gas or related substances to the market</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all permits and financing required to implement the project. Reserves are not assigned to adjacent reservoirs</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isolated by major, potentially sealing, faults until those reservoirs are penetrated and evaluated as economically</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producible. Reserves should not be assigned to areas that are clearly separated from a known accumulation by a</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non-productive reservoir (i.e., absence of reservoir, structurally low reservoir or negative test results). Such areas</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may contain prospective resources (i.e., potentially recoverable resources from undiscovered accumulations).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5"/>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Reservoir</w:t>
            </w:r>
          </w:p>
        </w:tc>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 porous and permeable underground formation containing a natural accumulation of producible natural gas</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and/or oil that is confined by impermeable rock or water barriers and is separate from other reservoirs.</w:t>
            </w:r>
          </w:p>
        </w:tc>
      </w:tr>
      <w:tr>
        <w:trPr>
          <w:trHeight w:val="225"/>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Royalty interest</w:t>
            </w: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 interest that gives an owner the right to receive a portion of the resources or revenues without having to carry</w:t>
            </w:r>
          </w:p>
        </w:tc>
      </w:tr>
      <w:tr>
        <w:trPr>
          <w:trHeight w:val="234"/>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any costs of development.</w:t>
            </w:r>
          </w:p>
        </w:tc>
      </w:tr>
      <w:tr>
        <w:trPr>
          <w:trHeight w:val="27"/>
        </w:trPr>
        <w:tc>
          <w:tcPr>
            <w:tcW w:w="276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73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5"/>
        </w:trPr>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Spacing</w:t>
            </w:r>
          </w:p>
        </w:tc>
        <w:tc>
          <w:tcPr>
            <w:tcW w:w="9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The distance between wells producing from the same reservoir. Spacing is often expressed in terms of acres</w:t>
            </w:r>
          </w:p>
        </w:tc>
      </w:tr>
      <w:tr>
        <w:trPr>
          <w:trHeight w:val="241"/>
        </w:trPr>
        <w:tc>
          <w:tcPr>
            <w:tcW w:w="2240" w:type="dxa"/>
            <w:vAlign w:val="bottom"/>
            <w:tcBorders>
              <w:bottom w:val="single" w:sz="8" w:color="CCEEFF"/>
            </w:tcBorders>
            <w:shd w:val="clear" w:color="auto" w:fill="CCEEFF"/>
          </w:tcPr>
          <w:p>
            <w:pPr>
              <w:spacing w:after="0"/>
              <w:rPr>
                <w:sz w:val="20"/>
                <w:szCs w:val="20"/>
                <w:color w:val="auto"/>
              </w:rPr>
            </w:pPr>
          </w:p>
        </w:tc>
        <w:tc>
          <w:tcPr>
            <w:tcW w:w="91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(e.g., 40-acre spacing) and is often established by regulatory agencies.</w:t>
            </w:r>
          </w:p>
        </w:tc>
      </w:tr>
      <w:tr>
        <w:trPr>
          <w:trHeight w:val="225"/>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interest</w:t>
            </w:r>
          </w:p>
        </w:tc>
        <w:tc>
          <w:tcPr>
            <w:tcW w:w="9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An operating interest that gives the owner the right to drill, produce and conduct operating activities on the</w:t>
            </w:r>
          </w:p>
        </w:tc>
      </w:tr>
      <w:tr>
        <w:trPr>
          <w:trHeight w:val="216"/>
        </w:trPr>
        <w:tc>
          <w:tcPr>
            <w:tcW w:w="2240" w:type="dxa"/>
            <w:vAlign w:val="bottom"/>
          </w:tcPr>
          <w:p>
            <w:pPr>
              <w:spacing w:after="0"/>
              <w:rPr>
                <w:sz w:val="18"/>
                <w:szCs w:val="18"/>
                <w:color w:val="auto"/>
              </w:rPr>
            </w:pPr>
          </w:p>
        </w:tc>
        <w:tc>
          <w:tcPr>
            <w:tcW w:w="9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property and receive a share of production and requires the owner to pay a share of the costs of drilling and</w:t>
            </w:r>
          </w:p>
        </w:tc>
      </w:tr>
      <w:tr>
        <w:trPr>
          <w:trHeight w:val="234"/>
        </w:trPr>
        <w:tc>
          <w:tcPr>
            <w:tcW w:w="2240" w:type="dxa"/>
            <w:vAlign w:val="bottom"/>
          </w:tcPr>
          <w:p>
            <w:pPr>
              <w:spacing w:after="0"/>
              <w:rPr>
                <w:sz w:val="20"/>
                <w:szCs w:val="20"/>
                <w:color w:val="auto"/>
              </w:rPr>
            </w:pPr>
          </w:p>
        </w:tc>
        <w:tc>
          <w:tcPr>
            <w:tcW w:w="9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production operations.</w:t>
            </w:r>
          </w:p>
        </w:tc>
      </w:tr>
      <w:tr>
        <w:trPr>
          <w:trHeight w:val="27"/>
        </w:trPr>
        <w:tc>
          <w:tcPr>
            <w:tcW w:w="2240" w:type="dxa"/>
            <w:vAlign w:val="bottom"/>
            <w:tcBorders>
              <w:bottom w:val="single" w:sz="8" w:color="auto"/>
            </w:tcBorders>
          </w:tcPr>
          <w:p>
            <w:pPr>
              <w:spacing w:after="0"/>
              <w:rPr>
                <w:sz w:val="2"/>
                <w:szCs w:val="2"/>
                <w:color w:val="auto"/>
              </w:rPr>
            </w:pPr>
          </w:p>
        </w:tc>
        <w:tc>
          <w:tcPr>
            <w:tcW w:w="9180" w:type="dxa"/>
            <w:vAlign w:val="bottom"/>
            <w:tcBorders>
              <w:bottom w:val="single" w:sz="8" w:color="auto"/>
            </w:tcBorders>
          </w:tcPr>
          <w:p>
            <w:pPr>
              <w:spacing w:after="0"/>
              <w:rPr>
                <w:sz w:val="2"/>
                <w:szCs w:val="2"/>
                <w:color w:val="auto"/>
              </w:rPr>
            </w:pPr>
          </w:p>
        </w:tc>
      </w:tr>
      <w:tr>
        <w:trPr>
          <w:trHeight w:val="453"/>
        </w:trPr>
        <w:tc>
          <w:tcPr>
            <w:tcW w:w="2240" w:type="dxa"/>
            <w:vAlign w:val="bottom"/>
          </w:tcPr>
          <w:p>
            <w:pPr>
              <w:spacing w:after="0"/>
              <w:rPr>
                <w:sz w:val="24"/>
                <w:szCs w:val="24"/>
                <w:color w:val="auto"/>
              </w:rPr>
            </w:pPr>
          </w:p>
        </w:tc>
        <w:tc>
          <w:tcPr>
            <w:tcW w:w="918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iii</w:t>
            </w:r>
          </w:p>
        </w:tc>
      </w:tr>
    </w:tbl>
    <w:p>
      <w:pPr>
        <w:sectPr>
          <w:pgSz w:w="11900" w:h="16838" w:orient="portrait"/>
          <w:cols w:equalWidth="0" w:num="1">
            <w:col w:w="11420"/>
          </w:cols>
          <w:pgMar w:left="240" w:top="73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850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GLOSSARY OF CERTAIN OTHER TERMS</w:t>
            </w:r>
          </w:p>
        </w:tc>
      </w:tr>
      <w:tr>
        <w:trPr>
          <w:trHeight w:val="378"/>
        </w:trPr>
        <w:tc>
          <w:tcPr>
            <w:tcW w:w="11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is a glossary of certain other terms that are used in this report.</w:t>
            </w:r>
          </w:p>
        </w:tc>
      </w:tr>
      <w:tr>
        <w:trPr>
          <w:trHeight w:val="135"/>
        </w:trPr>
        <w:tc>
          <w:tcPr>
            <w:tcW w:w="2920" w:type="dxa"/>
            <w:vAlign w:val="bottom"/>
            <w:tcBorders>
              <w:bottom w:val="single" w:sz="8" w:color="auto"/>
            </w:tcBorders>
          </w:tcPr>
          <w:p>
            <w:pPr>
              <w:spacing w:after="0"/>
              <w:rPr>
                <w:sz w:val="11"/>
                <w:szCs w:val="11"/>
                <w:color w:val="auto"/>
              </w:rPr>
            </w:pPr>
          </w:p>
        </w:tc>
        <w:tc>
          <w:tcPr>
            <w:tcW w:w="8500" w:type="dxa"/>
            <w:vAlign w:val="bottom"/>
            <w:tcBorders>
              <w:bottom w:val="single" w:sz="8" w:color="auto"/>
            </w:tcBorders>
          </w:tcPr>
          <w:p>
            <w:pPr>
              <w:spacing w:after="0"/>
              <w:rPr>
                <w:sz w:val="11"/>
                <w:szCs w:val="11"/>
                <w:color w:val="auto"/>
              </w:rPr>
            </w:pPr>
          </w:p>
        </w:tc>
      </w:tr>
      <w:tr>
        <w:trPr>
          <w:trHeight w:val="244"/>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Diamondback Energy, Inc., a Delaware corporation.</w:t>
            </w:r>
          </w:p>
        </w:tc>
      </w:tr>
      <w:tr>
        <w:trPr>
          <w:trHeight w:val="40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Plan</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Company’s Equity Incentive Plan.</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412"/>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40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25"/>
        </w:trPr>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 Indenture</w:t>
            </w:r>
          </w:p>
        </w:tc>
        <w:tc>
          <w:tcPr>
            <w:tcW w:w="8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indenture relating to the 2024 Senior Notes, dated as of October 28, 2016, among the Company, the</w:t>
            </w:r>
          </w:p>
        </w:tc>
      </w:tr>
      <w:tr>
        <w:trPr>
          <w:trHeight w:val="241"/>
        </w:trPr>
        <w:tc>
          <w:tcPr>
            <w:tcW w:w="29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subsidiary guarantors party thereto and Wells Fargo, as the trustee, as supplemented.</w:t>
            </w:r>
          </w:p>
        </w:tc>
      </w:tr>
      <w:tr>
        <w:trPr>
          <w:trHeight w:val="22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 Indenture</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indenture relating to the 2025 Senior Notes, dated as of December 20, 2016, among the Company, the</w:t>
            </w:r>
          </w:p>
        </w:tc>
      </w:tr>
      <w:tr>
        <w:trPr>
          <w:trHeight w:val="234"/>
        </w:trPr>
        <w:tc>
          <w:tcPr>
            <w:tcW w:w="2920" w:type="dxa"/>
            <w:vAlign w:val="bottom"/>
          </w:tcPr>
          <w:p>
            <w:pPr>
              <w:spacing w:after="0"/>
              <w:rPr>
                <w:sz w:val="20"/>
                <w:szCs w:val="20"/>
                <w:color w:val="auto"/>
              </w:rPr>
            </w:pP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subsidiary guarantors party thereto and Wells Fargo, as the trustee, as supplemented.</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NYMEX</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40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Rattler</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Rattler Midstream LP, a Delaware limited partnership.</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387"/>
        </w:trPr>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Rattler’s General Partner</w:t>
            </w:r>
          </w:p>
        </w:tc>
        <w:tc>
          <w:tcPr>
            <w:tcW w:w="8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Rattler Midstream GP LLC, a Delaware limited liability company; the general partner of Rattler Midstream</w:t>
            </w:r>
          </w:p>
        </w:tc>
      </w:tr>
      <w:tr>
        <w:trPr>
          <w:trHeight w:val="241"/>
        </w:trPr>
        <w:tc>
          <w:tcPr>
            <w:tcW w:w="29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LP and a wholly-owned subsidiary of the Company.</w:t>
            </w:r>
          </w:p>
        </w:tc>
      </w:tr>
      <w:tr>
        <w:trPr>
          <w:trHeight w:val="40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Rattler LLC</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Rattler Midstream Operating LLC, a Delaware limited liability company and a subsidiary of Rattler.</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412"/>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Rattler LTIP</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Rattler Midstream LP Long-Term Incentive Plan.</w:t>
            </w:r>
          </w:p>
        </w:tc>
      </w:tr>
      <w:tr>
        <w:trPr>
          <w:trHeight w:val="40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Rattler Offering</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Rattler’s initial public offering.</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Rattler’s Partnership Agreement</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first amended and restated agreement of limited partnership, dated May 28, 2019.</w:t>
            </w:r>
          </w:p>
        </w:tc>
      </w:tr>
      <w:tr>
        <w:trPr>
          <w:trHeight w:val="40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412"/>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Act</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22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 Senior Notes</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Company’s 4.750% senior unsecured notes due 2024 in the aggregate principal amount of $1,250</w:t>
            </w:r>
          </w:p>
        </w:tc>
      </w:tr>
      <w:tr>
        <w:trPr>
          <w:trHeight w:val="234"/>
        </w:trPr>
        <w:tc>
          <w:tcPr>
            <w:tcW w:w="2920" w:type="dxa"/>
            <w:vAlign w:val="bottom"/>
          </w:tcPr>
          <w:p>
            <w:pPr>
              <w:spacing w:after="0"/>
              <w:rPr>
                <w:sz w:val="20"/>
                <w:szCs w:val="20"/>
                <w:color w:val="auto"/>
              </w:rPr>
            </w:pP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million.</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 Senior Notes</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Company’s 5.375% senior unsecured notes due 2025 in the aggregate principal amount of $800 million.</w:t>
            </w:r>
          </w:p>
        </w:tc>
      </w:tr>
      <w:tr>
        <w:trPr>
          <w:trHeight w:val="243"/>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2024 Senior Notes and the 2025 Senior Notes.</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Viper</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Viper Energy Partners LP, a Delaware limited partnership.</w:t>
            </w:r>
          </w:p>
        </w:tc>
      </w:tr>
      <w:tr>
        <w:trPr>
          <w:trHeight w:val="387"/>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Viper’s General Partner</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Viper Energy Partners GP LLC, a Delaware limited liability company and the General Partner of the</w:t>
            </w:r>
          </w:p>
        </w:tc>
      </w:tr>
      <w:tr>
        <w:trPr>
          <w:trHeight w:val="234"/>
        </w:trPr>
        <w:tc>
          <w:tcPr>
            <w:tcW w:w="2920" w:type="dxa"/>
            <w:vAlign w:val="bottom"/>
          </w:tcPr>
          <w:p>
            <w:pPr>
              <w:spacing w:after="0"/>
              <w:rPr>
                <w:sz w:val="20"/>
                <w:szCs w:val="20"/>
                <w:color w:val="auto"/>
              </w:rPr>
            </w:pP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Partnership.</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412"/>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Viper LLC</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Viper Energy Partners LLC, a Delaware limited liability company and a subsidiary of the Partnership.</w:t>
            </w:r>
          </w:p>
        </w:tc>
      </w:tr>
      <w:tr>
        <w:trPr>
          <w:trHeight w:val="243"/>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Viper LTIP</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Viper Energy Partners LP Long Term Incentive Plan.</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Viper Offering</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Viper’s initial public offering.</w:t>
            </w:r>
          </w:p>
        </w:tc>
      </w:tr>
      <w:tr>
        <w:trPr>
          <w:trHeight w:val="387"/>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Viper’s Partnership Agreement</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second amended and restated agreement of limited partnership, dated May 9, 2018, as amended as of</w:t>
            </w:r>
          </w:p>
        </w:tc>
      </w:tr>
      <w:tr>
        <w:trPr>
          <w:trHeight w:val="234"/>
        </w:trPr>
        <w:tc>
          <w:tcPr>
            <w:tcW w:w="2920" w:type="dxa"/>
            <w:vAlign w:val="bottom"/>
          </w:tcPr>
          <w:p>
            <w:pPr>
              <w:spacing w:after="0"/>
              <w:rPr>
                <w:sz w:val="20"/>
                <w:szCs w:val="20"/>
                <w:color w:val="auto"/>
              </w:rPr>
            </w:pP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May 10, 2018.</w:t>
            </w:r>
          </w:p>
        </w:tc>
      </w:tr>
      <w:tr>
        <w:trPr>
          <w:trHeight w:val="27"/>
        </w:trPr>
        <w:tc>
          <w:tcPr>
            <w:tcW w:w="292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412"/>
        </w:trPr>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Wells Fargo</w:t>
            </w:r>
          </w:p>
        </w:tc>
        <w:tc>
          <w:tcPr>
            <w:tcW w:w="8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Wells Fargo Bank, National Association.</w:t>
            </w:r>
          </w:p>
        </w:tc>
      </w:tr>
      <w:tr>
        <w:trPr>
          <w:trHeight w:val="20"/>
        </w:trPr>
        <w:tc>
          <w:tcPr>
            <w:tcW w:w="2920" w:type="dxa"/>
            <w:vAlign w:val="bottom"/>
            <w:shd w:val="clear" w:color="auto" w:fill="000000"/>
          </w:tcPr>
          <w:p>
            <w:pPr>
              <w:spacing w:after="0" w:line="20" w:lineRule="exact"/>
              <w:rPr>
                <w:sz w:val="1"/>
                <w:szCs w:val="1"/>
                <w:color w:val="auto"/>
              </w:rPr>
            </w:pPr>
          </w:p>
        </w:tc>
        <w:tc>
          <w:tcPr>
            <w:tcW w:w="85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420"/>
          </w:cols>
          <w:pgMar w:left="240" w:top="738"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Various statements contained in this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detailed under </w:t>
      </w:r>
      <w:r>
        <w:rPr>
          <w:rFonts w:ascii="Times New Roman" w:cs="Times New Roman" w:eastAsia="Times New Roman" w:hAnsi="Times New Roman"/>
          <w:sz w:val="18"/>
          <w:szCs w:val="18"/>
          <w:i w:val="1"/>
          <w:iCs w:val="1"/>
          <w:color w:val="auto"/>
        </w:rPr>
        <w:t>Part II, Item 1A. Risk Factors</w:t>
      </w:r>
      <w:r>
        <w:rPr>
          <w:rFonts w:ascii="Times New Roman" w:cs="Times New Roman" w:eastAsia="Times New Roman" w:hAnsi="Times New Roman"/>
          <w:sz w:val="18"/>
          <w:szCs w:val="18"/>
          <w:color w:val="auto"/>
        </w:rPr>
        <w:t xml:space="preserve"> in this report and our Annual Report on Form 10–K for the year ended December 31, 2018 could affect our actual results and cause our actual results to differ materially from expectations, estimates or assumptions expressed, forecasted or implied in such forward-looking statements.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may include statements about our:</w:t>
      </w:r>
    </w:p>
    <w:p>
      <w:pPr>
        <w:spacing w:after="0" w:line="225"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strategy;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and development drilling prospects, inventories, projects and programs;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reserves;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our recent acquisition of certain leasehold acres and other assets from Ajax Resources, LLC and our recent acquisition of Energen Corporation, or Energen, discussed elsewhere in this report;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drop-down transaction with our subsidiary Viper Energy Partners LP (“Viper”);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drilling locations;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permits and governmental approvals;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strategy;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oil and natural gas prices;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operating expenses, general and administrative costs and finding and development costs;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results;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objectives, expectations and intentions.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420"/>
          </w:cols>
          <w:pgMar w:left="240" w:top="581"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(In millions, except par values and</w:t>
            </w:r>
          </w:p>
        </w:tc>
        <w:tc>
          <w:tcPr>
            <w:tcW w:w="0" w:type="dxa"/>
            <w:vAlign w:val="bottom"/>
          </w:tcPr>
          <w:p>
            <w:pPr>
              <w:spacing w:after="0"/>
              <w:rPr>
                <w:sz w:val="1"/>
                <w:szCs w:val="1"/>
                <w:color w:val="auto"/>
              </w:rPr>
            </w:pPr>
          </w:p>
        </w:tc>
      </w:tr>
      <w:tr>
        <w:trPr>
          <w:trHeight w:val="238"/>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share data)</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Joint interest and other, net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Oil and natural gas sales</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972</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Oil and natural gas properties, full cost method of accounting ($9,585 million and $9,670 million excluded from</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at June 30, 2019 and December 31, 2018, respectively)</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24,076</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22,299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Midstream assets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property, equipment and land</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depletion, depreciation, amortization and impairment</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21,603</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Funds held in escrow</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real estate, net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23,171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21,596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0"/>
        </w:trPr>
        <w:tc>
          <w:tcPr>
            <w:tcW w:w="8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r>
      <w:tr>
        <w:trPr>
          <w:trHeight w:val="214"/>
        </w:trPr>
        <w:tc>
          <w:tcPr>
            <w:tcW w:w="8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(In millions, except par values and</w:t>
            </w:r>
          </w:p>
        </w:tc>
      </w:tr>
      <w:tr>
        <w:trPr>
          <w:trHeight w:val="238"/>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share data)</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9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payable-trade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1,019</w:t>
            </w: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1,785</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7,429</w:t>
            </w: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$0.01 par value, 200,000,000 shares authorized, 163,949,167 issued and outstanding at June 30,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2019; 200,000,000 shares authorized, 164,273,447 issued and outstanding at December 31, 2018</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12,936</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Diamondback Energy, Inc. stockholders’ equity</w:t>
            </w: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14,004</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13,700</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15,450</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14,167</w:t>
            </w: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21,596</w:t>
            </w: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Six Months Ended June</w:t>
            </w:r>
          </w:p>
        </w:tc>
      </w:tr>
      <w:tr>
        <w:trPr>
          <w:trHeight w:val="238"/>
        </w:trPr>
        <w:tc>
          <w:tcPr>
            <w:tcW w:w="6740" w:type="dxa"/>
            <w:vAlign w:val="bottom"/>
          </w:tcPr>
          <w:p>
            <w:pPr>
              <w:spacing w:after="0"/>
              <w:rPr>
                <w:sz w:val="20"/>
                <w:szCs w:val="20"/>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w:t>
            </w:r>
          </w:p>
        </w:tc>
        <w:tc>
          <w:tcPr>
            <w:tcW w:w="8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740" w:type="dxa"/>
            <w:vAlign w:val="bottom"/>
          </w:tcPr>
          <w:p>
            <w:pPr>
              <w:spacing w:after="0"/>
              <w:rPr>
                <w:sz w:val="2"/>
                <w:szCs w:val="2"/>
                <w:color w:val="auto"/>
              </w:rPr>
            </w:pPr>
          </w:p>
        </w:tc>
        <w:tc>
          <w:tcPr>
            <w:tcW w:w="4680" w:type="dxa"/>
            <w:vAlign w:val="bottom"/>
            <w:tcBorders>
              <w:bottom w:val="single" w:sz="8" w:color="auto"/>
            </w:tcBorders>
            <w:gridSpan w:val="9"/>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468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shares in thousands)</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Oil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Natural gas sales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Natural gas liquid sales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 bonus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Midstream services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income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1,021</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1,006</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 operating expenses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Gathering and transportation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Midstream services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610</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1,155</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revaluation of investment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Diamondback Energy,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164,839</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164,846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98,584</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165,019</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165,253</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98,820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0.1875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0.375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0.250</w:t>
            </w:r>
          </w:p>
        </w:tc>
      </w:tr>
      <w:tr>
        <w:trPr>
          <w:trHeight w:val="27"/>
        </w:trPr>
        <w:tc>
          <w:tcPr>
            <w:tcW w:w="6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040" w:type="dxa"/>
        <w:tblCellMar>
          <w:top w:w="0" w:type="dxa"/>
          <w:left w:w="0" w:type="dxa"/>
          <w:bottom w:w="0" w:type="dxa"/>
          <w:right w:w="0" w:type="dxa"/>
        </w:tblCellMar>
      </w:tblPr>
      <w:tr>
        <w:trPr>
          <w:trHeight w:val="216"/>
        </w:trPr>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Borders>
              <w:bottom w:val="single" w:sz="8" w:color="auto"/>
            </w:tcBorders>
            <w:vMerge w:val="continue"/>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0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0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Controlling</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Amount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87"/>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4056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5"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b w:val="1"/>
          <w:bCs w:val="1"/>
          <w:color w:val="auto"/>
        </w:rPr>
        <w:t>($ in millions, 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2017</w:t>
      </w:r>
    </w:p>
    <w:p>
      <w:pPr>
        <w:spacing w:after="0" w:line="67" w:lineRule="exact"/>
        <w:rPr>
          <w:sz w:val="20"/>
          <w:szCs w:val="20"/>
          <w:color w:val="auto"/>
        </w:rPr>
      </w:pPr>
    </w:p>
    <w:p>
      <w:pPr>
        <w:ind w:left="180" w:right="1020"/>
        <w:spacing w:after="0" w:line="313" w:lineRule="auto"/>
        <w:rPr>
          <w:sz w:val="20"/>
          <w:szCs w:val="20"/>
          <w:color w:val="auto"/>
        </w:rPr>
      </w:pPr>
      <w:r>
        <w:rPr>
          <w:rFonts w:ascii="Times New Roman" w:cs="Times New Roman" w:eastAsia="Times New Roman" w:hAnsi="Times New Roman"/>
          <w:sz w:val="18"/>
          <w:szCs w:val="18"/>
          <w:color w:val="auto"/>
        </w:rPr>
        <w:t>Impact of adoption of ASU 2016-01, net of tax Unit-based compensation</w:t>
      </w:r>
    </w:p>
    <w:p>
      <w:pPr>
        <w:ind w:left="180" w:right="1620"/>
        <w:spacing w:after="0" w:line="331" w:lineRule="auto"/>
        <w:rPr>
          <w:sz w:val="20"/>
          <w:szCs w:val="20"/>
          <w:color w:val="auto"/>
        </w:rPr>
      </w:pPr>
      <w:r>
        <w:rPr>
          <w:rFonts w:ascii="Times New Roman" w:cs="Times New Roman" w:eastAsia="Times New Roman" w:hAnsi="Times New Roman"/>
          <w:sz w:val="17"/>
          <w:szCs w:val="17"/>
          <w:color w:val="auto"/>
        </w:rPr>
        <w:t>Stock-based compensation Distribution to non-controlling interest</w:t>
      </w:r>
    </w:p>
    <w:p>
      <w:pPr>
        <w:spacing w:after="0" w:line="1" w:lineRule="exact"/>
        <w:rPr>
          <w:sz w:val="20"/>
          <w:szCs w:val="20"/>
          <w:color w:val="auto"/>
        </w:rPr>
      </w:pPr>
    </w:p>
    <w:p>
      <w:pPr>
        <w:ind w:left="180"/>
        <w:spacing w:after="0" w:line="318" w:lineRule="auto"/>
        <w:rPr>
          <w:sz w:val="20"/>
          <w:szCs w:val="20"/>
          <w:color w:val="auto"/>
        </w:rPr>
      </w:pPr>
      <w:r>
        <w:rPr>
          <w:rFonts w:ascii="Times New Roman" w:cs="Times New Roman" w:eastAsia="Times New Roman" w:hAnsi="Times New Roman"/>
          <w:sz w:val="18"/>
          <w:szCs w:val="18"/>
          <w:color w:val="auto"/>
        </w:rPr>
        <w:t>Exercise of stock options and vesting of restricted stock units Net income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March 31, 2018</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Unit-based compensation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Distribution to non-controlling interest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Dividend paid</w:t>
      </w:r>
    </w:p>
    <w:p>
      <w:pPr>
        <w:spacing w:after="0" w:line="63" w:lineRule="exact"/>
        <w:rPr>
          <w:sz w:val="20"/>
          <w:szCs w:val="20"/>
          <w:color w:val="auto"/>
        </w:rPr>
      </w:pPr>
    </w:p>
    <w:p>
      <w:pPr>
        <w:ind w:left="40" w:right="140"/>
        <w:spacing w:after="0" w:line="326" w:lineRule="auto"/>
        <w:rPr>
          <w:sz w:val="20"/>
          <w:szCs w:val="20"/>
          <w:color w:val="auto"/>
        </w:rPr>
      </w:pPr>
      <w:r>
        <w:rPr>
          <w:rFonts w:ascii="Times New Roman" w:cs="Times New Roman" w:eastAsia="Times New Roman" w:hAnsi="Times New Roman"/>
          <w:sz w:val="18"/>
          <w:szCs w:val="18"/>
          <w:color w:val="auto"/>
        </w:rPr>
        <w:t>Exercise of stock options and vesting of restricted stock units Net income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June 30, 2018</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98,167</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5,582</w:t>
            </w: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5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5,735</w:t>
            </w: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5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6,012</w:t>
            </w:r>
          </w:p>
        </w:tc>
      </w:tr>
      <w:tr>
        <w:trPr>
          <w:trHeight w:val="27"/>
        </w:trPr>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-2272030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-1929130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-1585595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-1234440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-891540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-548005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-205105</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80" w:space="460"/>
            <w:col w:w="6380"/>
          </w:cols>
          <w:pgMar w:left="240" w:top="118" w:right="239" w:bottom="1440" w:gutter="0" w:footer="0" w:header="0"/>
          <w:type w:val="continuous"/>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164,273</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12,936</w:t>
            </w:r>
          </w:p>
        </w:tc>
        <w:tc>
          <w:tcPr>
            <w:tcW w:w="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14,167</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units - Viper Energy</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4"/>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Partners LP</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 shares for tax withholding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paid</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and unit options and awards of restricted stock</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ownership of consolidated subsidiaries, net</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March 31, 2019</w:t>
            </w: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164,616</w:t>
            </w:r>
          </w:p>
        </w:tc>
        <w:tc>
          <w:tcPr>
            <w:tcW w:w="3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13,019</w:t>
            </w:r>
          </w:p>
        </w:tc>
        <w:tc>
          <w:tcPr>
            <w:tcW w:w="5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c>
          <w:tcPr>
            <w:tcW w:w="4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741</w:t>
            </w:r>
          </w:p>
        </w:tc>
        <w:tc>
          <w:tcPr>
            <w:tcW w:w="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14,514</w:t>
            </w: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units - Rattler Midstream</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41"/>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LP</w:t>
            </w:r>
          </w:p>
        </w:tc>
        <w:tc>
          <w:tcPr>
            <w:tcW w:w="7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Unit-based compensation</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 shares for share buyback program</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paid</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5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and unit options and awards of restricted stock</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r>
      <w:tr>
        <w:trPr>
          <w:trHeight w:val="27"/>
        </w:trPr>
        <w:tc>
          <w:tcPr>
            <w:tcW w:w="50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June 30, 2019</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163,949</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12,933</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1,069</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1,446</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15,450</w:t>
            </w:r>
          </w:p>
        </w:tc>
      </w:tr>
      <w:tr>
        <w:trPr>
          <w:trHeight w:val="20"/>
        </w:trPr>
        <w:tc>
          <w:tcPr>
            <w:tcW w:w="5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18"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82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0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399"/>
        </w:trPr>
        <w:tc>
          <w:tcPr>
            <w:tcW w:w="8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600" w:type="dxa"/>
            <w:vAlign w:val="bottom"/>
          </w:tcPr>
          <w:p>
            <w:pPr>
              <w:spacing w:after="0"/>
              <w:rPr>
                <w:sz w:val="24"/>
                <w:szCs w:val="24"/>
                <w:color w:val="auto"/>
              </w:rPr>
            </w:pP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1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Gain on revaluation of investment</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interest</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764</w:t>
            </w:r>
          </w:p>
        </w:tc>
      </w:tr>
      <w:tr>
        <w:trPr>
          <w:trHeight w:val="27"/>
        </w:trPr>
        <w:tc>
          <w:tcPr>
            <w:tcW w:w="80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Drilling, completions and non-operated additions to oil and natural gas properties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Infrastructure additions to oil and natural gas properties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to midstream assets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other property, equipment and land</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leasehold interests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of mineral interests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 in real estate</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Funds held in escrow</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investments</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7"/>
        </w:trPr>
        <w:tc>
          <w:tcPr>
            <w:tcW w:w="80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borrowings under credit facility</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 under credit facility</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senior notes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joint venture</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issuance costs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Public offering costs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public offerings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Repurchased shares for tax withholdings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Repurchased as part of share buyback</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to stockholders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r>
      <w:tr>
        <w:trPr>
          <w:trHeight w:val="27"/>
        </w:trPr>
        <w:tc>
          <w:tcPr>
            <w:tcW w:w="8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008"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008" w:gutter="0" w:footer="0" w:header="0"/>
          <w:type w:val="continuous"/>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9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2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2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56"/>
        </w:trPr>
        <w:tc>
          <w:tcPr>
            <w:tcW w:w="8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80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2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8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84"/>
        </w:trPr>
        <w:tc>
          <w:tcPr>
            <w:tcW w:w="8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304"/>
        </w:trPr>
        <w:tc>
          <w:tcPr>
            <w:tcW w:w="80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Interest paid, net of capitalized interest</w:t>
            </w: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2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1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304"/>
        </w:trPr>
        <w:tc>
          <w:tcPr>
            <w:tcW w:w="80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Change in accrued capital expenditures</w:t>
            </w: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2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r>
      <w:tr>
        <w:trPr>
          <w:trHeight w:val="251"/>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Capitalized stock-based compensation</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8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1"/>
        </w:trPr>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 retirement obligations acquired</w:t>
            </w: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THE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the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Diamondback Energy, Inc. (“Diamondback” or the “Company”), together with its subsidiaries, is an independent oil and gas company currently focused on the acquisition, development, exploration and exploitation of unconventional, onshore oil and natural gas reserves in the Permian Basin in West Texas. Diamondback was incorporated in Delaware on December 30, 2011.</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wholly-owned subsidiaries of Diamondback, as of June 30, 2019, include Diamondback E&amp;P LLC, a Delaware limited liability company, Diamondback O&amp;G LLC, a Delaware limited liability company, Viper Energy Partners GP LLC, a Delaware limited liability company, Rattler Midstream GP LLC, a Delaware limited liability company, and Energen Corporation, an Alabama corporation (“Energen”). The consolidated subsidiaries include these wholly-owned subsidiaries as well as Viper Energy Partners LP, a Delaware limited partnership (“Viper”), Viper’s wholly-owned subsidiary Viper Energy Partners LLC, a Delaware limited liability company (“Viper LLC”), Rattler Midstream LP (formerly known as Rattler Midstream Partners LP), a Delaware limited partnership (“Rattler”), Rattler Midstream Operating LLC (formerly known as Rattler Midstream LLC), a Delaware limited liability company (“Rattler LLC”), and Rattler LLC’s wholly-owned subsidiary Tall City Towers LLC, a Delaware limited liability company (“Tall City”).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Viper is consolidated in the financial statements of the Company. As of June 30, 2019, the Company owned approximately 54% of Viper’s total units outstanding. The Company’s wholly-owned subsidiary, Viper Energy Partners GP LLC, is the General Partner of Viper.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Rattler is consolidated in the financial statements of the Company. As of June 30, 2019, the Company owned approximately 71% of Rattler’s total units outstanding. The Company’s wholly-owned subsidiary, Rattler Midstream GP LLC, is the General Partner of Rattler.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such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2018, which contains a summary of the Company’s significant accounting policies and other disclosures.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these estimates on an ongoing basis, using historical experience, consultation with experts and other methods the Company considers reasonable in the particular circumstances. Nevertheless, actual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asset retirement obligations, the fair value determination of acquired assets and liabilities assumed, equity-based compensation, fair value estimates of commodity derivatives and estimates of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2019 presentation. These reclassifications had no impact on net income (loss), total assets, liabilities and stockholders’ equity or total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Equity investments in which the Company exercises significant influence but does not control are accounted for using the equity method. Under the equity method, generally the Company’s share of investees’ earnings or loss is recognized in the statement of operations. The Company reviews its investments to determine if a loss in value which is other than a temporary decline has occurred. If such loss has occurred, the Company would recognize an impairment provision.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Viper has an equity interest in a limited partnership that is so minor that Viper has no influence over the limited partnership’s operating and financial policies. This interest was acquired during the year ended December 31, 2014 and was accounted for under the cost method. Effective January 1, 2018, Viper adopted Accounting Standards Update 2016-01 which requires Viper to measure its investment at fair value which resulted in a downward adjustment of $19 million to record the impact of this adoption. See Note 17—Fair Value Measurements.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Adopted Pronouncements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2016, the Financial Accounting Standards Board issued Accounting Standards Update 2016-02, “Leases”. This update applies to any entity that enters into a lease, with some specified scope exemptions. Under this update, a lessee should recognize in the statement of financial position a liability to make lease payments (the lease liability) and a right-of-use asset representing its right to use the underlying asset for the lease term. While there were no major changes to the lessor accounting, changes were made to align key aspects with the revenue recognition guidance. Entities will be required to recognize and measure leases at the beginning of the earliest period presented using a modified retrospective approach. The Company enters into lease agreements to support its operations. These agreements are for leases on assets such as office space, vehicles and compressors. The Company has completed the process of reviewing and determining the agreements to which this new guidance applies. Upon adoption effective January 1, 2019, the Company recognized approximately $13 million of right-of-use assets, of which the total amount relates to the Company’s operating leases.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2018, the Financial Accounting Standards Board issued Accounting Standards Update 2018-01, “Leases - Land Easement Practical Expedient for Transition to Topic 842”. This update applies to any entity that holds land easements. The update allows entities to adopt a practical expedient to not evaluate existing or expired land easements under Topic 842 that were not previously accounted for as leases under the current leases guidance. An entity that elects this practical expedient should evaluate new or modified land easements under Topic 842 beginning at the date that the entity adopts Topic</w:t>
      </w:r>
    </w:p>
    <w:p>
      <w:pPr>
        <w:spacing w:after="0" w:line="3" w:lineRule="exact"/>
        <w:rPr>
          <w:sz w:val="20"/>
          <w:szCs w:val="20"/>
          <w:color w:val="auto"/>
        </w:rPr>
      </w:pPr>
    </w:p>
    <w:p>
      <w:pPr>
        <w:ind w:firstLine="8"/>
        <w:spacing w:after="0" w:line="261" w:lineRule="auto"/>
        <w:tabs>
          <w:tab w:leader="none" w:pos="3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this standard effective January 1, 2019. The adoption of this update did not have an impact on its financial position, results of operations or liquidity.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2018, the Financial Accounting Standards Board issued Accounting Standards Update 2018-10, “Codification Improvements to Topic 842, Leases”. This update provides clarification and corrects unintended application of certain sections in the new lease guidance. The Company adopted this standard effective January 1, 2019. The adoption of this update did not have an impact on its financial position, results of operations or liquidity.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9"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2018, the Financial Accounting Standards Board issued Accounting Standards Update 2018-11, “Lease (Topic 842): Targeted Improvements”. This update provides another transition method of allowing entities to initially apply the new lease standard at the adoption date and recognize a cumulative-effect adjustment to the opening balance of retained earnings in the period of adoption. The Company adopted this standard effective January 1, 2019. The adoption of this update did not have an impact on its financial position, results of operations or liquidity.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2018, the Financial Accounting Standards Board issued Accounting Standards Update 2018-20, “Leases (Topic 842) - Narrow-Scope Improvements for Lessors”. This update provides a practical expedient for lessors to elect not to evaluate whether sales taxes and other similar taxes are lessor costs. The update also requires a lessor to exclude from variable payments those costs paid directly by the lessee to third parties and include lessor costs paid by the lessor and reimbursed by the lessee. The Company adopted this standard effective January 1, 2019. The adoption of this update did not have an impact on its financial position, results of operations or liquidity.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18—Leases for more information on the adoption of these standards.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2018, the Financial Accounting Standards Board issued Accounting Standards Update 2018-07, “Stock Compensation - Improvements to Nonemployee Share-Based Payment Accounting”. This update applies the existing employee guidance to nonemployee share-based transactions, with the exception of specific guidance related to the attribution of compensation cost. The Company adopted this standard effective January 1, 2019. The adoption of this update did not have an impact on its financial position, results of operations or liquidity because the Company currently accounts for nonemployee share-based transactions in the same manner as employee share-based transactions.</w:t>
      </w:r>
    </w:p>
    <w:p>
      <w:pPr>
        <w:spacing w:after="0" w:line="18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July 2018, the Financial Accounting Standards Board issued Accounting Standards Update 2018-09, “Codification Improvements”. This update provides clarification and corrects unintended application of the guidance in various sections. The Company adopted this standard effective January 1, 2019. The adoption of this update did not have a material impact on its financial position, results of operations or liquidity.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2016, the Financial Accounting Standards Board issued Accounting Standards Update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Company does not believe the adoption of this standard will have a material impact on its consolidated financial statements since it does not have a history of credit losses.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2018, the Financial Accounting Standards Board issued Accounting Standards Update 2018-13, “Fair Value Measurement (Topic 820) - Disclosure Framework - Changes to the Disclosure Requirements for Fair Value Measurement”. This update modifies the fair value measurement disclosure requirements specifically related to Level 3 fair value measurements and transfers between levels. This update will be effective for financial statements issued for fiscal years beginning after December 15, 2019, including interim periods within those fiscal years. This update will be applied prospectively. The Company is currently evaluating the impact of the adoption of this update, but does not believe it will have a material impact on its financial position, results of operations or liquidity.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2018, the Financial Accounting Standards Board issued Accounting Standards Update 2018-15, “Intangibles - Goodwill and Other - Internal - Use Software (Subtopic 350-40): Customer’s Accounting for Implementation Costs Incurred in a Cloud Computing Arrangement That Is a Service Contract”. This update requires the capitalization of implementation costs incurred in a hosting arrangement that is a service contract for internal-use software. Training and certain data conversion costs cannot be capitalized. The entity is required to expense the capitalized implementation costs over the term of the hosting agreement. This update will be effective for financial statements issued for fiscal years beginning after December 15, 2019, including interim periods within those fiscal years. This update should be applied either retrospectively or prospectively to all implementation costs incurred after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9"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adoption. The Company believes the adoption of this update will not have an impact on its financial position, results of operations or liquidity.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2018, the Financial Accounting Standards Board issued Accounting Standards Update 2018-19, “Codification Improvements to Topic 326, Financial Instruments-Credit Losses”. This update clarifies that receivables arising from operating leases are not within the scope of this topic, but rather Topic 842, Leases.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Company does not believe the adoption of this standard will have an impact on its financial statements since it does not have a history of credit losses.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2019, the Financial Accounting Standards Board issued Accounting Standards Update 2019-04, “Codification Improvements to Topic 326, Financial Instruments-Credit Losses, Topic 815, Derivatives and Hedging, and Topic 825, Financial Instruments ”. This update clarifies guidance previously issued in ASU 2016-01, ASU 2016-13 and ASU 2017-12. This update will be effective for financial statements issued for fiscal years beginning after December 15, 2019, including interim periods within those fiscal years. The Company does not believe the updates to the referenced standards will have an impact on its financial position, results of operations or liquidity.</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2019, the Financial Accounting Standards Board issued Accounting Standards Update 2019-05, “Financial Instruments-Credit Losses (Topic 326)”. This update allows a fair value option to be elected for certain financial assets, other than held-to-maturity debt securities, that were previously required to be measured at amortized cost basis. This update will be effective for financial statements issued for fiscal years beginning after December 15, 2019, including interim periods within those fiscal years. The Company does not believe the adoption of this standard will have an impact on its financial position, results of operations or liquidity.</w:t>
      </w:r>
    </w:p>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 FROM CONTRACTS WITH CUSTOMERS</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Oil sales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oil sales contracts are generally structured where it delivers oil to the purchaser at a contractually agreed-upon delivery point at which the purchaser takes custody, title and risk of loss of the product. Under this arrangement, the Company or a third party transports the product to the delivery point and receives a specified index price from the purchaser with no deduction. In this scenario, the Company recognizes revenue when control transfers to the purchaser at the delivery point based on the price received from the purchaser. Oil revenues are recorded net of any third-party transportation fees and other applicable differentials in the Company’s consolidated statements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and natural gas liquids sales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Company’s natural gas processing contracts, it delivers natural gas to a midstream processing entity at the wellhead, battery facilities or the inlet of the midstream processing entity’s system.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 customer, the Company recognizes revenue on a gross basis, with transportation, gathering, processing, treating and compression fees presented as an expense in its consolidated statements of operations.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certain natural gas processing agreements, the Company may elect to take its residue gas and/or natural gas liquids in-kind at the tailgate of the midstream entity’s processing plant and subsequently market the product. Through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9"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marketing process, the Company delivers product to the ultimate third-party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transportation, gathering, processing, treating and compression expense in its consolidated statements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Midstream Revenue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Substantially all revenues from gathering, compression, water handling, disposal and treatment operations are derived from intersegment transactions for services Rattler provides to exploration and production operations. The portion of such fees shown in the Company’s consolidated financial statements represent amounts charged to interest owners in the Company’s operated wells, as well as fees charged to other third parties for water handling and treatment services provided by Rattler or usage of Rattler’s gathering and compression systems. For gathering and compression revenue, Rattler satisfies its performance obligations and recognizes revenue when low pressure volumes are delivered to a specified delivery point. Revenue is recognized based on the per MMbtu gathering fee or a per barrel gathering fee charged by Rattler in accordance with the gathering and compression agreement. For water handling and treatment revenue, Rattler satisfies its performance obligations and recognizes revenue when the fresh water volumes have been delivered to the fracwater meter for a specified well pad and the wastewater volumes have been metered downstream of the Company’s facilities. For services contracted through third party providers, Rattler’s performance obligation is satisfied when the service performed by the third party provider has been completed. Revenue is recognized based on the per barrel fresh water delivery or a wastewater gathering and disposal fee charged by Rattler in accordance with the water services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remaining performance obligations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upstream product sales contracts do not originate until production occurs and, therefore, are not considered to exist beyond each days’ production. Therefore, there are no remaining performance obligations under any of our product sales contracts.</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majority of the Company’s midstream revenue agreements have a term greater than one year, and as such the Company has utilized the practical expedient in ASC 606, which states that the Company is not required to disclose the transaction price allocated to remaining performance obligations if the variable consideration is allocated entirely to a wholly unsatisfied performance obligation. Under its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remainder of the Company’s midstream revenue agreements, which relate to agreements with third parties, are short-term in nature with a term of one year or less. The Company has utilized an additional practical expedient in ASC 606 which exempts it from disclosure of the transaction price allocated to remaining performance obligations if the performance obligation is part of an agreement that has an original expected duration of one year or 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 under Accounting Standards Codification 606.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Prior-period performance obligations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records revenue in the month production is delivered to the purchaser. However, settlement statements for certain natural gas and natural gas liquids sales may not be received for 30 to 90 days after the date production is delivered, and as a result, the Company is required to estimate the amount of production delivered to the purchaser and the price that will be received for the sale of the product. The Company records the differences between its 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9"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three months and six months ended June 30, 2019, revenue recognized in the reporting period related to performance obligations satisfied in 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of Certain Conventional and Non-Core Assets Acquired from Energen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23, 2019, the Company completed its divestiture of 6,589 net acres of certain conventional and non-core Permian assets, which were acquired by the Company in its merger with Energen (as described below), for an aggregate sale price of $37 million. This divestiture did not result in a gain or loss because it did not have a significant effect on the Company’s reserve base or depreciation, depletion and amortization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Tall City Towers LLC</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31, 2018, Tall City, a subsidiary of the Company, completed its acquisition of the Fasken Center office buildings in Midland, TX where the Company’s corporate offices are located for a net purchase price of $110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Energen Corporation Merger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29, 2018, the Company completed its acquisition of Energen in an all-stock transaction (the “Merger”), which was accounted for as a business combination. Upon completion of this acquisition, the addition of Energen’s assets increased the Company’s assets to: (i) over 273,000 net Tier One acres in the Permian Basin, (ii) approximately 7,200 estimated total net horizontal Permian locations, and (iii) approximately 394,000 net acres across the Midland and Delaware Basins. Under the terms of the Merger, each share of Energen common stock was converted into 0.6442 of a share of the Company’s common stock. The Company issued approximately 62.8 million shares of its common stock valued at a price of $112.00 per share on the closing date, resulting in total consideration paid by the Company to the former Energen shareholders of approximately $7 billion.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Merger, the Company repaid outstanding principal under Energen’s revolving credit facility and assumed all of Energen’s other long-term debt. See Note 11—Debt for additional information.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Merger has been accounted for as a business combination, using the acquisition method. The following table represents the preliminary allocation of the total purchase price of Energen to the identifiable assets acquired and the liabilities assumed based on the fair values on the acquisition date, with any excess of the purchase price over the estimated fair value of the identifiable net assets acquired. Certain data necessary to complete the purchase price allocation is not yet available, and includes, but is not limited to, valuation of pre-acquisition contingencies, final tax returns that provide the underlying tax basis of Energen’s assets and liabilities and final appraisals of assets acquired and liabilities assumed. The Company expects to complete the purchase price allocation during the 12-month period following the acquisition date, during which time the value of the assets and liabilities may be revised as appropriate.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9"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Company’s preliminary purchase price allocation as of June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9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Fair value of the Company's common stock issued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7,136</w:t>
            </w:r>
          </w:p>
        </w:tc>
      </w:tr>
      <w:tr>
        <w:trPr>
          <w:trHeight w:val="27"/>
        </w:trPr>
        <w:tc>
          <w:tcPr>
            <w:tcW w:w="9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consideration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7,136</w:t>
            </w:r>
          </w:p>
        </w:tc>
      </w:tr>
      <w:tr>
        <w:trPr>
          <w:trHeight w:val="20"/>
        </w:trPr>
        <w:tc>
          <w:tcPr>
            <w:tcW w:w="9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311"/>
        </w:trPr>
        <w:tc>
          <w:tcPr>
            <w:tcW w:w="9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1,099</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Noncurrent derivative instruments</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1,408</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97"/>
        </w:trPr>
        <w:tc>
          <w:tcPr>
            <w:tcW w:w="90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Amount attributable to liabilities assumed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3,001</w:t>
            </w:r>
          </w:p>
        </w:tc>
      </w:tr>
      <w:tr>
        <w:trPr>
          <w:trHeight w:val="311"/>
        </w:trPr>
        <w:tc>
          <w:tcPr>
            <w:tcW w:w="90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9,307</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Midstream assets</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real estate</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property, equipment and land</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postretirement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Noncurrent income tax receivable, net</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long term assets</w:t>
            </w:r>
          </w:p>
        </w:tc>
        <w:tc>
          <w:tcPr>
            <w:tcW w:w="4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9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Amount attributable to assets acquired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10,137</w:t>
            </w:r>
          </w:p>
        </w:tc>
      </w:tr>
      <w:tr>
        <w:trPr>
          <w:trHeight w:val="20"/>
        </w:trPr>
        <w:tc>
          <w:tcPr>
            <w:tcW w:w="9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unaudited summary pro forma consolidated statement of operations data of Diamondback for the three and six months ended June 30, 2018 have been prepared to give effect to the Merger as if it had occurred on January 1, 2018. The below information reflects pro forma adjustments for the issuance of the Company’s common stock in exchange for Energen’s outstanding shares of common stock, as well as pro forma adjustments based on available information and certain assumptions that the Company believes are reasonable, including (i) the Company’s common stock issued to convert Energen’s outstanding shares of common stock and equity awards as of the closing date of the Merger, (ii) the depletion of Energen’s fair-valued proved oil and natural gas properties and (iii) the estimated tax impacts of the pro forma adjustments.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 forma results of operations do not include any cost savings or other synergies that may result from the Merger or any estimated costs that have been or will be incurred by the Company to integrate the Energen assets. The pro forma financial data does not include the results of operations for any other acquisitions made during the periods presented, as they were primarily acreage acquisitions and their results were not deemed material.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9"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 forma consolidated statement of operations data has been included for comparative purposes only and is not necessarily indicative of the results that might have occurred had the Merger taken place on January 1, 2018 and is not intended to be a projection of future results.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6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70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5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70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898</w:t>
            </w:r>
          </w:p>
        </w:tc>
        <w:tc>
          <w:tcPr>
            <w:tcW w:w="1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1,736</w:t>
            </w: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849</w:t>
            </w:r>
          </w:p>
        </w:tc>
      </w:tr>
      <w:tr>
        <w:trPr>
          <w:trHeight w:val="27"/>
        </w:trPr>
        <w:tc>
          <w:tcPr>
            <w:tcW w:w="6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303</w:t>
            </w:r>
          </w:p>
        </w:tc>
        <w:tc>
          <w:tcPr>
            <w:tcW w:w="1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r>
      <w:tr>
        <w:trPr>
          <w:trHeight w:val="27"/>
        </w:trPr>
        <w:tc>
          <w:tcPr>
            <w:tcW w:w="6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1.87</w:t>
            </w:r>
          </w:p>
        </w:tc>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r>
      <w:tr>
        <w:trPr>
          <w:trHeight w:val="27"/>
        </w:trPr>
        <w:tc>
          <w:tcPr>
            <w:tcW w:w="66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VIPER ENERGY PARTNERS LP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Viper is a publicly traded Delaware limited partnership, the common units of which are listed on the Nasdaq Global Select Market under the symbol “VNOM”. Viper was formed by Diamondback on February 27, 2014, to, among other things, own, acquire and exploit oil and natural gas properties in North America. Viper is currently focused on oil and natural gas properties in the Permian Basin and the Eagle Ford Shale. Viper Energy Partners GP LLC, a fully-consolidated subsidiary of Diamondback, serves as the general partner of Viper. As of June 30, 2019, the Company owned approximately 54% of Viper’s total units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Offerings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 2019, Viper completed an underwritten public offering of 10,925,000 common units, which included 1,425,000 common units issued pursuant to an option to purchase additional common units granted to the underwriters. Following this offering, the Company owned approximately 54% of Viper’s total units then outstanding. Viper received net proceeds from this offering of approximately $341 million, after deducting underwriting discounts and commissions and estimated offering expenses. Viper used the net proceeds to purchase units of Viper LLC. Viper LLC in turn used the net proceeds to repay a portion of the outstanding borrowings under the revolving credit facility and finance acquisitions during the period.</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this public offering and Viper’s issuance of unit-based compensation, the Company’s ownership percentage in Viper was reduced. During the six months ended June 30, 2019, the Company recorded a $74 million decrease to non-controlling interest in Viper with an increase to additional paid-in capital, which represents the difference between the Company’s share of the underlying net book value in Viper before and after the respective Partnership common unit transactions, on the Company’s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Recapitalization, Tax Status Election and Related Transactions by Viper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2018, Viper announced that the Board of Directors of Viper’s General Partner had unanimously approved a change of Viper’s federal income tax status from that of a pass-through partnership to that of a taxable entity via a “check the box” election. In connection with making this election, on May 9, 2018 Viper (i) amended and restated its First Amended and Restated Partnership Agreement, (ii) amended and restated the First Amended and Restated Limited Liability Company Agreement of Viper LLC, (iii) amended and restated its existing registration rights agreement with the Company and</w:t>
      </w:r>
    </w:p>
    <w:p>
      <w:pPr>
        <w:spacing w:after="0" w:line="3" w:lineRule="exact"/>
        <w:rPr>
          <w:sz w:val="20"/>
          <w:szCs w:val="20"/>
          <w:color w:val="auto"/>
        </w:rPr>
      </w:pPr>
    </w:p>
    <w:p>
      <w:pPr>
        <w:jc w:val="both"/>
        <w:ind w:firstLine="8"/>
        <w:spacing w:after="0" w:line="252" w:lineRule="auto"/>
        <w:tabs>
          <w:tab w:leader="none" w:pos="3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 exchange agreement with the Company, Viper’s General Partner and Viper LLC. Simultaneously with the effectiveness of these agreements, the Company delivered and assigned to Viper the 73,150,000 common units the Company owned in exchange for (i) 73,150,000 of Viper’s newly-issued Class B units and (ii) 73,150,000 newly-issued units of Viper LLC pursuant to the terms of a Recapitalization Agreement dated March 28, 2018, as amended as of May 9, 2018 (the “Recapitalization Agreement”). Immediately following that exchange, Viper continued to be the managing member of Viper LLC, with sole control of its operations, and owned approximately 36% of the outstanding units issued by Viper LLC, and the Company owned the remaining approximately 64% of the outstanding units issued by Viper LLC. Upon completion of Viper’s July 2018 offering of units, it owned approximately 41% of the outstanding units issued by Viper LLC and the Company owned the remaining approximately 59%. Viper LLC units and Viper’s Class B units owned by the Company are exchangeable from time to time for Viper’s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9"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units (that is, one Viper LLC unit and one Viper Class B unit, together, will be exchangeable for one Viper common unit).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10, 2018, the change in Viper’s income tax status became effective. On that date, pursuant to the terms of the Recapitalization Agreement,</w:t>
      </w:r>
    </w:p>
    <w:p>
      <w:pPr>
        <w:spacing w:after="0" w:line="27" w:lineRule="exact"/>
        <w:rPr>
          <w:sz w:val="20"/>
          <w:szCs w:val="20"/>
          <w:color w:val="auto"/>
        </w:rPr>
      </w:pPr>
    </w:p>
    <w:p>
      <w:pPr>
        <w:jc w:val="both"/>
        <w:ind w:firstLine="8"/>
        <w:spacing w:after="0" w:line="251" w:lineRule="auto"/>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Viper’s General Partner made a cash capital contribution of $1 million to Viper in respect of its general partner interest and (ii) the Company made a cash capital contribution of $1 million to Viper in respect of the Class B units. The Company, as the holder of the Class B units, and Viper’s General Partner, as the holder of the general partner interest, are entitled to receive an 8% annual distribution on the outstanding amount of these capital contributions, payable quarterly, as a return on this invested capital. On May 10, 2018, the Company also exchanged 731,500 Class B units and 731,500 units in Viper LLC for 731,500 common units of Viper and a cash amount of $10,000 representing a proportionate return of the $1 million invested capital in respect of the Class B units. Viper’s General Partner continues to serve as Viper’s general partner and the Company continues to control Viper. After the effectiveness of the tax status election and the completion of related transactions, Viper’s minerals business continues to be conducted through Viper LLC, which continues to be taxed as a partnership for federal and state income tax purposes. This structure is anticipated to provide significant benefits to Viper’s business, including operational effectiveness, acquisition and disposition transactional planning flexibility and income tax efficiency. For additional information regarding the tax status election and related transactions, please refer to Viper’s Definitive Information Statement on Schedule 14C filed with the SEC on April 17, 2018 and Viper’s Current Report on Form 8-K filed with the SEC on May 15, 2018.</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second amended and restated agreement of limited partnership, dated as of May 9, 2018, as amended as of May 10, 2018 (the “Viper’s Partnership Agreement”), requires Viper to reimburse Viper’s General Partner for all direct and indirect expenses incurred or paid on Viper’s behalf and all other expenses allocable to Viper or otherwise incurred by Viper’s General Partner in connection with operating Viper’s business. The Viper Partnership Agreement does not set a limit on the amount of expenses for which Viper’s General Partner and its affiliates may be reimbursed. These expenses include salary, bonus, incentive compensation and other amounts paid to persons who perform services for Viper or on its behalf and expenses allocated to Viper’s General Partner by its affiliates. Viper’s General Partner is entitled to determine the expenses that are allocable to Viper. For each of the three months ended June 30, 2019 and 2018, Viper’s General Partner allocated less than $1 million to Viper. For each of the six months ended June 30, 2019 and 2018, Viper’s General Partner allocated $1 million to Viper.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Sharing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Viper Offering, Viper entered into a tax sharing agreement with Diamondback, dated June 23, 2014, pursuant to which Viper agreed to reimburse Diamondback for its share of state and local income and other taxes for which Viper’s results are included in a combined or consolidated tax return filed by Diamondback with respect to taxable periods including or beginning on June 23, 2014. The amount of any such reimbursement is limited to the tax Viper would have paid had it not been included in a combined group with Diamondback. Diamondback may use its tax attributes to cause its combined or consolidated group, of which Viper may be a member for this purpose, to owe less or no tax. In such a situation, Viper agreed to reimburse Diamondback for the tax Viper would have owed had the tax attributes not been available or used for Viper’s benefit, even though Diamondback had no cash tax expense for that period. For the three months and six months ended June 30, 2019 and the three months and six months ended June 30, 2018, Viper accrued a minimal amount of state income tax expense for its share of Texas margin tax for which Viper’s results are included in a combined tax return filed by Diamondback.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Viper has entered into a secured revolving credit facility with Wells Fargo, as administrative agent sole book runner and lead arranger. See Note 11— Debt for a description of this credit facility.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9"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RATTLER MIDSTREAM LP</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Rattler is a publicly traded Delaware limited partnership, the common units of which are listed on the Nasdaq Global Select Market under the symbol “RTLR”. Rattler was formed by Diamondback in July 2018 to own, operate, develop and acquire midstream infrastructure assets in the Midland and Delaware Basins of the Permian Basin. Rattler Midstream GP LLC (“Rattler’s General Partner”), a wholly-owned subsidiary of Diamondback, serves as the general partner of Rattler. As of June 30, 2019, Diamondback owned approximately 71% of Rattler’s total units outstanding.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completion of the Rattler Offering in May of 2019, Diamondback owned all of the general and limited partner interests in Rattler. The Rattler Offering consisted of 43,700,000 common units representing approximately 29% of the limited partner interests in Rattler at a price to the public of $17.50 per common unit, which included 5,700,000 common units issued pursuant to an option to purchase additional common units granted to the underwriters on the same terms which closed on May 30, 2019. Rattler received net proceeds of approximately $720 million from the sale of these common units, after deducting offering expenses and underwriting discounts and commissions.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completion of the Rattler Offering, Rattler (i) issued 107,815,152 Class B Units representing an aggregate 71% voting limited partner interest in Rattler in exchange for a $1 million cash contribution from Diamondback, (ii) issued a general partner interest in Rattler to Rattler’s General Partner, in exchange for a $1 million cash contribution from Rattler’s General Partner, and (iii) caused Rattler LLC to make a distribution of approximately $727 million to Diamondback. Diamondback, as the holder of the Class B units, and Rattler’s General Partner, as the holder of the general partner interest, are entitled to receive cash preferred distributions equal to 8% per annum on the outstanding amount of their respective $1 million capital contributions, payable quarterly.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Diamondback has also entered into the following agreements with Rattler: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Rattler’s Partnership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Rattler Offering, Rattler’s General Partner and Energen Resources Corporation entered into the first amended and restated agreement of limited partnership of Rattler, dated May 28, 2019 (the “Rattler Partnership Agreement”). The Rattler Partnership Agreement requires Rattler to reimburse Rattler’s General Partner for all direct and indirect expenses incurred or paid on Rattler’s behalf and all other expenses allocable to Rattler or otherwise incurred by Rattler’s General Partner in connection with operating Rattler’s business. The Rattler Partnership Agreement does not set a limit on the amount of expenses for which its general partner and its affiliates may be reimbursed. These expenses include salary, bonus, incentive compensation and other amounts paid to persons who perform services for Rattler or on its behalf and expenses allocated to Rattler’s General Partner by its affiliates. Rattler’s General Partner is entitled to determine the expenses that are allocable to Rattler. For the three months and six months ended June 30, 2019, the General Partner allocated $37,907 of such expenses to Rattler.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Rattler’s Services and Secondment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Rattler Offering, Rattler entered into a services and secondment agreement with Diamondback, Diamondback E&amp;P LLC, Rattler’s General Partner and Rattler LLC, dated as of May 28, 2019 (the “Services and Secondment Agreement”). Pursuant to the Services and Secondment Agreement, Diamondback and its subsidiaries second certain operational, construction, design and management employees and contractors of Diamondback to Rattler’s General Partner, Rattler and its subsidiaries, providing management, maintenance and operational functions with respect to Rattler’s assets. The Services and Secondment Agreement requires Rattler’s General Partner and Rattler to reimburse Diamondback for the cost of the seconded employees and contractors, including their wages and benefits. For the three months and six months ended June 30, 2019, Rattler’s General Partner and Rattler paid Diamondback $1 million and $2 million under the Services and Secondment Agreement,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Rattler’s Tax Sharing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Rattler Offering, Rattler LLC entered into a tax sharing agreement with Diamondback pursuant to which Rattler LLC will reimburse Diamondback for its share of state and local income and other taxes borne by Diamondback as a result of Rattler LLC’s results being included in a combined or consolidated tax return filed by Diamondback with respect to taxable periods including or beginning on May 28, 2019. The amount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9"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any such reimbursement is limited to the tax that Rattler LLC would have paid had it not been included in a combined group with Diamondback. Diamondback may use its tax attributes to cause its combined or consolidated group, of which Rattler LLC may be a member for this purpose, to owe less or no tax. In such a situation, Rattler LLC agreed to reimburse Diamondback for the tax Rattler LLC would have owed had the attributes not been available or used for Rattler LLC’s benefit, even though Diamondback had no cash expense for that period.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and six months ended June 30, 2019, Rattler accrued state income tax expense of $31,814 for its share of Texas margin tax for which Rattler’s share of Rattler LLC’s results are included in a combined tax return filed by Diamondback.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Rattler has entered into a secured revolving credit facility with Wells Fargo Bank, National Association, as administrative agent, sole book runner and lead arranger. See Note 11—Debt for a description of this credit facility.</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REAL ESTATE ASSETS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schedules present the cost and related accumulated depreciation or amortization (as applicable) of the Company’s real estate assets including intangible lease assets: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Estimated Useful</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8"/>
        </w:trPr>
        <w:tc>
          <w:tcPr>
            <w:tcW w:w="550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Lives</w:t>
            </w:r>
          </w:p>
        </w:tc>
        <w:tc>
          <w:tcPr>
            <w:tcW w:w="26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55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4"/>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60" w:type="dxa"/>
            <w:vAlign w:val="bottom"/>
          </w:tcPr>
          <w:p>
            <w:pPr>
              <w:spacing w:after="0"/>
              <w:rPr>
                <w:sz w:val="20"/>
                <w:szCs w:val="20"/>
                <w:color w:val="auto"/>
              </w:rPr>
            </w:pPr>
          </w:p>
        </w:tc>
        <w:tc>
          <w:tcPr>
            <w:tcW w:w="3840" w:type="dxa"/>
            <w:vAlign w:val="bottom"/>
            <w:gridSpan w:val="4"/>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5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Tenant improvements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improvements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5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real estate assets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5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investment in land and buildings, net</w:t>
            </w: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5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 Useful</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Lives</w:t>
            </w:r>
          </w:p>
        </w:tc>
        <w:tc>
          <w:tcPr>
            <w:tcW w:w="26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60" w:type="dxa"/>
            <w:vAlign w:val="bottom"/>
          </w:tcPr>
          <w:p>
            <w:pPr>
              <w:spacing w:after="0"/>
              <w:rPr>
                <w:sz w:val="20"/>
                <w:szCs w:val="20"/>
                <w:color w:val="auto"/>
              </w:rPr>
            </w:pPr>
          </w:p>
        </w:tc>
        <w:tc>
          <w:tcPr>
            <w:tcW w:w="3840" w:type="dxa"/>
            <w:vAlign w:val="bottom"/>
            <w:gridSpan w:val="4"/>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In-place lease intangibles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In-place lease intangibles, net</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Above-market lease intangibles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Above-market lease intangibles, net</w:t>
            </w: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intangible lease assets, net</w:t>
            </w: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6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7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includes the following:</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7980" w:type="dxa"/>
            <w:vAlign w:val="bottom"/>
          </w:tcPr>
          <w:p>
            <w:pPr>
              <w:spacing w:after="0"/>
              <w:rPr>
                <w:sz w:val="24"/>
                <w:szCs w:val="24"/>
                <w:color w:val="auto"/>
              </w:rPr>
            </w:pPr>
          </w:p>
        </w:tc>
        <w:tc>
          <w:tcPr>
            <w:tcW w:w="17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79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r>
      <w:tr>
        <w:trPr>
          <w:trHeight w:val="358"/>
        </w:trPr>
        <w:tc>
          <w:tcPr>
            <w:tcW w:w="7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4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Subject to depletion</w:t>
            </w:r>
          </w:p>
        </w:tc>
        <w:tc>
          <w:tcPr>
            <w:tcW w:w="11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14,491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12,629</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Not subject to depletion</w:t>
            </w: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9,585</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9,670</w:t>
            </w:r>
          </w:p>
        </w:tc>
      </w:tr>
      <w:tr>
        <w:trPr>
          <w:trHeight w:val="237"/>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oil and natural gas properties</w:t>
            </w:r>
          </w:p>
        </w:tc>
        <w:tc>
          <w:tcPr>
            <w:tcW w:w="1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24,076</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22,299</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depletion</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43"/>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impairment</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Oil and natural gas properties, net</w:t>
            </w:r>
          </w:p>
        </w:tc>
        <w:tc>
          <w:tcPr>
            <w:tcW w:w="1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20,680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19,556</w:t>
            </w:r>
          </w:p>
        </w:tc>
      </w:tr>
      <w:tr>
        <w:trPr>
          <w:trHeight w:val="237"/>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Midstream assets</w:t>
            </w:r>
          </w:p>
        </w:tc>
        <w:tc>
          <w:tcPr>
            <w:tcW w:w="1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property, equipment and land</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depletion, amortization and impairment</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21,603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20,372</w:t>
            </w:r>
          </w:p>
        </w:tc>
      </w:tr>
      <w:tr>
        <w:trPr>
          <w:trHeight w:val="20"/>
        </w:trPr>
        <w:tc>
          <w:tcPr>
            <w:tcW w:w="7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11"/>
        </w:trPr>
        <w:tc>
          <w:tcPr>
            <w:tcW w:w="7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of costs not subject to depletion:</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Incurred in 2019</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Incurred in 2018</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Incurred in 2017</w:t>
            </w:r>
          </w:p>
        </w:tc>
        <w:tc>
          <w:tcPr>
            <w:tcW w:w="11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2,499</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Incurred in 2016</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Incurred in 2015</w:t>
            </w:r>
          </w:p>
        </w:tc>
        <w:tc>
          <w:tcPr>
            <w:tcW w:w="11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not subject to depletion</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9,585</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7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Capitalized internal costs were approximately $11 million and $7 million for the three months ended June 30, 2019 and 2018, respectively, and $24 million and $14 million for the six months ended June 30, 2019 and 2018,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three years to five years. Acquisition costs not currently being amortized are primarily related to unproved acreage that the Company plans to prove up through drilling. The Company has no plans to let any acreage expire.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full cost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 including estimated expenditures (based on current costs) to be incurred in developing and producing the proved reserves, discounted at 10% per annum, from proved reserves, based on the trailing 12-month unweighted average of the first-day-of-the-month price, adjusted for any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9"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provisions or financial derivatives, if any, that hedge the Company’s oil and natural gas revenue,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June 30, 2019, there was $81 million in exploration costs and development costs and $86 million in capitalized interest that was not subject to depletion. At December 31, 2018, there were $68 million in exploration costs and development costs and $55 million in capitalized interest that was not subject to depletion.</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ASSET RETIREMENT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describes the changes to the Company’s asset retirement obligation liability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280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420" w:type="dxa"/>
            <w:vAlign w:val="bottom"/>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20" w:type="dxa"/>
            <w:vAlign w:val="bottom"/>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358"/>
        </w:trPr>
        <w:tc>
          <w:tcPr>
            <w:tcW w:w="8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420" w:type="dxa"/>
            <w:vAlign w:val="bottom"/>
          </w:tcPr>
          <w:p>
            <w:pPr>
              <w:spacing w:after="0"/>
              <w:rPr>
                <w:sz w:val="24"/>
                <w:szCs w:val="24"/>
                <w:color w:val="auto"/>
              </w:rPr>
            </w:pPr>
          </w:p>
        </w:tc>
      </w:tr>
      <w:tr>
        <w:trPr>
          <w:trHeight w:val="27"/>
        </w:trPr>
        <w:tc>
          <w:tcPr>
            <w:tcW w:w="8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 beginning of period</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2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liabilities incurred</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acquired</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settled</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Accretion expense</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retirement obligations, end of period</w:t>
            </w:r>
          </w:p>
        </w:tc>
        <w:tc>
          <w:tcPr>
            <w:tcW w:w="10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8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retirement obligations - long-term</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2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8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 The current portion of the asset retirement obligation liability is included in other accrued liabilities in the Company’s consolidated balance sheets.</w:t>
      </w:r>
    </w:p>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EQUITY METHOD INVESTMENTS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October 2014, the Company obtained a 25% interest in HMW Fluid Management LLC (“HMW LLC”), which was formed to develop, own and operate an integrated water management system to gather, store, process, treat, distribute and dispose of water to exploration and production companies operating in Midland, Martin and Andrews Counties, Texas.</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June 30, 2018, HMW LLC’s operating agreement was amended. As a result of the amendment, the Company no longer recognizes an equity investment in HMW LLC but instead consolidates its undivided interest in the salt water disposal assets owned by HMW LLC. In exchange for Rattler’s 25% investment, Rattler received a 50% undivided ownership interest in two of the four SWD wells and associated assets previously owned by HMW LLC. Rattler’s basis in the assets is equivalent to its basis in the equity investment in HMW LLC.</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February 1, 2019, Rattler LLC obtained a 10% equity interest in EPIC Crude Holdings, LP (“EPIC”), which is building a pipeline (the “EPIC project”) that, once operational, will transport crude and NGL across Texas for delivery into the Corpus Christi market. As of June 30, 2019, Rattler’s total investment in the EPIC project was $72 million. During the six months ended June 30, 2019, Rattler recorded an expense of $3,000 related to interest. The EPIC project is anticipated to be operational in the second half of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9"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February 15, 2019, Rattler LLC obtained a 10% equity interest in Gray Oak Pipeline, LLC (“Gray Oak”), which is building a pipeline (the “Gray Oak project”) that, once operational, will transport crude from the Permian to Corpus Christi on the Texas Gulf Coast. As of June 30, 2019, Rattler’s total investment in the Gray Oak project was $115 million. During the six months ended June 30, 2019, Rattler recorded a net expense of $61,000 related to interest. The Gray Oak project is anticipated to be operational in the second half of 2019.</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March 29, 2019, Rattler LLC executed a short-term promissory note to Gray Oak. The note allows for borrowing by Gray Oak of up to $123 million at 2.52% interest rate with a maturity date of March 31, 2022. During three months ended June 30, 2019, Gray Oak borrowed and repaid $23 million. As of June 30, 2019, there were no outstanding borrowings under the note.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impairments were recorded for Rattler’s equity method investments for the six months ended June 30, 2019 or 2018.</w:t>
      </w:r>
    </w:p>
    <w:p>
      <w:pPr>
        <w:spacing w:after="0" w:line="2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DEBT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consisted of the following as of the dates indicated:</w:t>
            </w: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78"/>
        </w:trPr>
        <w:tc>
          <w:tcPr>
            <w:tcW w:w="6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62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58"/>
        </w:trPr>
        <w:tc>
          <w:tcPr>
            <w:tcW w:w="6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640" w:type="dxa"/>
            <w:vAlign w:val="bottom"/>
          </w:tcPr>
          <w:p>
            <w:pPr>
              <w:spacing w:after="0"/>
              <w:rPr>
                <w:sz w:val="24"/>
                <w:szCs w:val="24"/>
                <w:color w:val="auto"/>
              </w:rPr>
            </w:pPr>
          </w:p>
        </w:tc>
      </w:tr>
      <w:tr>
        <w:trPr>
          <w:trHeight w:val="27"/>
        </w:trPr>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4.625%</w:t>
            </w:r>
          </w:p>
        </w:tc>
        <w:tc>
          <w:tcPr>
            <w:tcW w:w="64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Notes due 2021</w:t>
            </w:r>
            <w:r>
              <w:rPr>
                <w:rFonts w:ascii="Times New Roman" w:cs="Times New Roman" w:eastAsia="Times New Roman" w:hAnsi="Times New Roman"/>
                <w:sz w:val="25"/>
                <w:szCs w:val="25"/>
                <w:color w:val="auto"/>
                <w:vertAlign w:val="superscript"/>
              </w:rPr>
              <w:t>(1)</w:t>
            </w:r>
          </w:p>
        </w:tc>
        <w:tc>
          <w:tcPr>
            <w:tcW w:w="154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r>
      <w:tr>
        <w:trPr>
          <w:trHeight w:val="270"/>
        </w:trPr>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7.320%</w:t>
            </w:r>
          </w:p>
        </w:tc>
        <w:tc>
          <w:tcPr>
            <w:tcW w:w="64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A, due 2022</w:t>
            </w:r>
            <w:r>
              <w:rPr>
                <w:rFonts w:ascii="Times New Roman" w:cs="Times New Roman" w:eastAsia="Times New Roman" w:hAnsi="Times New Roman"/>
                <w:sz w:val="25"/>
                <w:szCs w:val="25"/>
                <w:color w:val="auto"/>
                <w:vertAlign w:val="superscript"/>
              </w:rPr>
              <w:t>(1)</w:t>
            </w:r>
          </w:p>
        </w:tc>
        <w:tc>
          <w:tcPr>
            <w:tcW w:w="15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4.750 % Senior Notes due 2024</w:t>
            </w:r>
          </w:p>
        </w:tc>
        <w:tc>
          <w:tcPr>
            <w:tcW w:w="1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5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5.375 % Senior Notes due 2025</w:t>
            </w:r>
          </w:p>
        </w:tc>
        <w:tc>
          <w:tcPr>
            <w:tcW w:w="1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5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r>
      <w:tr>
        <w:trPr>
          <w:trHeight w:val="27"/>
        </w:trPr>
        <w:tc>
          <w:tcPr>
            <w:tcW w:w="6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7.350%</w:t>
            </w:r>
          </w:p>
        </w:tc>
        <w:tc>
          <w:tcPr>
            <w:tcW w:w="64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A, due 2027</w:t>
            </w:r>
            <w:r>
              <w:rPr>
                <w:rFonts w:ascii="Times New Roman" w:cs="Times New Roman" w:eastAsia="Times New Roman" w:hAnsi="Times New Roman"/>
                <w:sz w:val="25"/>
                <w:szCs w:val="25"/>
                <w:color w:val="auto"/>
                <w:vertAlign w:val="superscript"/>
              </w:rPr>
              <w:t>(1)</w:t>
            </w:r>
          </w:p>
        </w:tc>
        <w:tc>
          <w:tcPr>
            <w:tcW w:w="15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7.125%</w:t>
            </w:r>
          </w:p>
        </w:tc>
        <w:tc>
          <w:tcPr>
            <w:tcW w:w="64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B, due 2028</w:t>
            </w:r>
            <w:r>
              <w:rPr>
                <w:rFonts w:ascii="Times New Roman" w:cs="Times New Roman" w:eastAsia="Times New Roman" w:hAnsi="Times New Roman"/>
                <w:sz w:val="25"/>
                <w:szCs w:val="25"/>
                <w:color w:val="auto"/>
                <w:vertAlign w:val="superscript"/>
              </w:rPr>
              <w:t>(1)</w:t>
            </w:r>
          </w:p>
        </w:tc>
        <w:tc>
          <w:tcPr>
            <w:tcW w:w="15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54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DrillCo Agreement</w:t>
            </w:r>
          </w:p>
        </w:tc>
        <w:tc>
          <w:tcPr>
            <w:tcW w:w="1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08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premium costs</w:t>
            </w:r>
          </w:p>
        </w:tc>
        <w:tc>
          <w:tcPr>
            <w:tcW w:w="1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5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1,490</w:t>
            </w:r>
          </w:p>
        </w:tc>
      </w:tr>
      <w:tr>
        <w:trPr>
          <w:trHeight w:val="27"/>
        </w:trPr>
        <w:tc>
          <w:tcPr>
            <w:tcW w:w="708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Viper revolving credit facility</w:t>
            </w:r>
          </w:p>
        </w:tc>
        <w:tc>
          <w:tcPr>
            <w:tcW w:w="1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5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Rattler revolving credit facility</w:t>
            </w:r>
          </w:p>
        </w:tc>
        <w:tc>
          <w:tcPr>
            <w:tcW w:w="1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Borders>
              <w:bottom w:val="single" w:sz="8" w:color="CCEEFF"/>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long-term debt</w:t>
            </w: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4,464</w:t>
            </w:r>
          </w:p>
        </w:tc>
      </w:tr>
      <w:tr>
        <w:trPr>
          <w:trHeight w:val="20"/>
        </w:trPr>
        <w:tc>
          <w:tcPr>
            <w:tcW w:w="6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Merger, Energen became a wholly owned subsidiary of the Company and remained the issuer of these notes (the “Energen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Diamondback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Senior Notes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October 28, 2016, the Company issued $500 million in aggregate principal amount of 4.750% Senior Notes due 2024 (the “existing 2024 Senior Notes”). The existing 2024 Senior Notes bear interest at a rate of 4.750% per annum, payable semi-annually, in arrears on May 1 and November 1 of each year and will mature on November 1, 2024. All of the Company’s existing and future restricted subsidiaries that guarantee its revolving credit facility or certain other debt guarantee the existing 2024 Senior Notes; provided, however, that the existing 2024 Senior Notes are not guaranteed by Viper, Viper’s General Partner, Viper LLC, Rattler, Rattler’s General Partner or Rattler LLC, and will not be guaranteed by any of the Company’s future unrestricted subsidiaries.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25, 2018, the Company issued $750 million aggregate principal amount of new 4.750% Senior Notes due 2024 (the “New 2024 Notes”), which together with the existing Senior Notes are referred to as the 2024 Senior Notes, as additional notes under, and subject to the terms of, the 2024 Indenture. The New 2024 Notes were issued in a transaction exempt from the registration requirements under the Securities Act. The Company received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9"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$741 million in net proceeds, after deducting the initial purchasers’ discount and its estimated offering expenses, but disregarding accrued interest, from the issuance of the New 2024 Notes. The Company used a portion of the net proceeds from the issuance of the New 2024 Notes to repay the outstanding borrowings under its revolving credit facility and used the balance for general corporate purposes, including funding a portion of the cash consideration for the acquisition of assets from Ajax Resources, LLC.</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2024 Senior Notes were issued under, and are governed by, an indenture among the Company, the subsidiary guarantors party thereto and Wells Fargo, as the trustee, as supplemented (the “2024 Indenture”). The 2024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 to November 1, 2019, the Company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the Company may on any 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required under the terms of the registration rights agreement relating to the New 2024 Notes, on March 22, 2019, the Company filed with the SEC its registration Statement on Form S-4, as amended on July 3, 2019 (the “Exchange Offer S-4”), relating to the exchange offer of the New 2024 Notes for substantially identical notes registered under the Securities Act of 1933, as amended. The Exchange Offer S-4 was declared effective by the SEC on July 11, 2019 and the Company commenced the Exchange Offer on July 12, 2019. The Company expects to close the Exchange Offer in August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December 20, 2016, the Company issued $500 million in aggregate principal amount of 5.375% Senior Notes due 2025 (the “existing 2025 Senior Notes”). The existing 2025 Senior Notes bear interest at a rate of 5.375% per annum, payable semi-annually, in arrears on May 31 and November 30 of each year and will mature on May 31, 2025. All of the Company’s existing and future restricted subsidiaries that guarantee its revolving credit facility or certain other debt guarantee the existing 2025 Senior Notes, provided, however, that the existing 2025 Senior Notes are not guaranteed by Viper, Viper’s General Partner, Viper LLC, Rattler, Rattler’s General Partner or Rattler LLC, and will not be guaranteed by any of the Company’s future unrestricted subsidiaries.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29, 2018, the Company issued $300 million aggregate principal amount of new 5.375% Senior Notes due 2025 (the “New 2025 Notes”), which together with the existing 2025 Senior Notes are referred to as the 2025 Senior Notes, as additional notes under, and subject to the terms of, the 2025 Indenture. The New 2025 Notes were issued in a transaction exempt from the registration requirements under the Securities Act. The Company received approximately $308 million in net proceeds, after deducting the initial purchaser’s discount and its estimated offering expenses, but disregarding accrued interest, from the issuance of the New 2025 Notes. The Company used the net proceeds from the issuance of the New 2025 Notes to repay a portion of the outstanding borrowings under its revolving credit facility.</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2025 Senior Notes were issued under an indenture, dated as of December 20, 2016, among the Company, the guarantors party thereto and Wells Fargo Bank, as the trustee (the “2025 Indenture”). The 2025 Indenture contains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9"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the Company may on any one or more occasions redeem all or a portion of the 2025 Senior Notes at a price equal to 100% of the principal amount of the 2025 Senior Notes plus a “make-whole” premium and accrued and unpaid interest to the redemption date. In addition, any time prior to May 31, 2020, the Company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Energen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effective time of the Merger, Energen became the Company’s wholly owned subsidiary and remained the issuer of $530 million aggregate principal amount of the Energen Notes, issued under an indenture dated September 1, 1996 with The Bank of New York as Trustee (the “Energen Indenture”). The Energen Notes consist of: (1) $400 million aggregate principal amount of 4.625% senior notes due on September 1, 2021, (2) $100 million of 7.125% notes due on February 15, 2028, (3) $20 million of 7.32% notes due on July 28, 2022, and (4) $10 million of 7.35% notes due on July 28, 2027.</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Energen Notes are the senior unsecured obligations of Energen and, post-merger, Energen, as a wholly owned subsidiary of the Company, continues to be the sole issuer and obligor under the Energen Notes. The Energen Notes rank equally in right of payment with all other senior unsecured indebtedness of Energen, including any unsecured guaranties by Energen of the Company’s indebtedness and are effectively subordinated to Energen’s senior secured indebtedness, including Energen’s secured guaranty of all borrowings and other obligations under the Company’s revolving credit facility, to the extent of the value of the collateral securing such indebtedness.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Energen Indenture contains certain covenants that, subject to certain exceptions and qualifications, limit Energen’s ability to incur or suffer to exist liens, to enter into sale and leaseback transactions, to consolidate with or merge into any other entity, and to convey, transfer or lease its properties and assets substantially as an entirety to any person or entity. The Energen Indenture does not include a restriction on the payment of dividends.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29, 2018, Energen guaranteed the Company’s indebtedness under its credit facility and granted a lien on certain of its assets to secure such indebtedness and, on December 21, 2018, Energen’s subsidiaries guaranteed the Company’s indebtedness under its credit agreement and granted liens on certain of their assets to secure such indebtedness. As a result of such guarantees, under the terms of the 2024 Indenture and the 2025 Indenture, Energen also guaranteed the 2024 Senior Notes and the 2025 Senior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Credit Facility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and Diamondback O&amp;G LLC, as borrower, entered into the second amended and restated credit agreement, dated November 1, 2013, as amended, with a syndicate of banks, including Wells Fargo, as administrative agent, and its affiliate Wells Fargo Securities, LLC, as sole book runner and lead arranger. On June 28, 2019, the credit agreement was amended pursuant to an eleventh amendment, which implemented certain changes to the credit facility for the period on and after the date on which the Company’s unsecured debt achieves an investment grade rating from two rating agencies and certain other conditions in the credit agreement are satisfied (the “investment grade changeover date”). The maximum credit amount available under the credit agreement is $5 billion, subject, prior to the investment grade changeover date, to a borrowing base based on the Company’s oil and natural gas reserves and other factors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9"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“borrowing base”) and the elected commitment amount. Prior to the investment grade changeover date, the borrowing base is scheduled to be redetermined, under certain circumstances, annually with an effective date of May 1st, and, under certain circumstances, semi-annually with effective dates of May 1st and November 1st. In addition, the Company and Wells Fargo each may request up to two interim redeterminations of the borrowing base during any 12-month period. Effective June 28, 2019, the borrowing base was increased from $2.65 billion to $3.4 billion. On and after the investment grade changeover date, the maximum credit amount available under the credit agreement will be based solely on the commitments of the lenders, and will no longer be limited by the borrowing base. On the investment grade changeover date, the aggregate commitments of the lenders will be set at an amount equal to the aggregate elected commitment amount in effect on such date. As of June 30, 2019, the aggregate elected commitment amount was $2.5 billion and the Company had approximately $1.6 billion of outstanding borrowings under its revolving credit facility and $861 million available for future borrowings under its revolving credit facility.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Diamondback O&amp;G LLC is the borrower under the credit agreement. As of June 30, 2019, the credit agreement is guaranteed by the Company, Diamondback E&amp;P LLC and Energen and its subsidiaries and will also be guaranteed by any of the Company’s future subsidiaries that are classified as restricted subsidiaries under the credit agreement. On and after the investment grade changeover date, the Company and Diamondback O&amp;G LLC will no longer be required to cause all restricted subsidiaries to guarantee the credit agreement, and, in certain circumstances, may cause guaranties made by subsidiary guarantors to be released. Prior to the investment grade changeover date, the credit agreement is also secured by substantially all of the assets of the Company, Diamondback O&amp;G LLC and the guarantors. On and after the investment grade changeover date, the credit agreement will be unsecured and all liens securing the credit facility will be released.</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a per annum rate elected by the Company that is equal to an alternate base rate (which is equal to the greatest of the prime rate, the Federal Funds effective rate plus 0.5%, and 3-month LIBOR plus 1.0%) or LIBOR, in each case plus the applicable margin. Prior to the investment grade changeover date, the applicable margin ranges from 0.25% to 1.25% in the case of the alternate base rate and from 1.25% to 2.25% in the case of LIBOR, in each case depending on the amount of loans and letters of credit outstanding in relation to the commitment, which is defined as the least of the maximum credit amount, the borrowing base and the elected commitment amount. On and after the investment grade changeover date, the applicable margin will range from 0.125% to 1.0% per annum in the case of the alternate base rate and from 1.125% to 2.0% per annum in the case of LIBOR, in each case, depending on the pricing level, which in turn depends on the rating agencies’ rating of the Company’s unsecured debt. Prior to the investment grade changeover date, the Company is obligated to pay a quarterly commitment fee ranging from 0.375% to 0.500% per year on the unused portion of the commitment, which fee is also dependent on the amount of loans and letters of credit outstanding in relation to the commitment. On and after the investment grade changeover date, the commitment fee will range from 0.125% to 0.350% per year on the unused portion of the commitment, based on the pricing level, which in turn depends on the rating agencies’ rating of the Company’s unsecured debt.</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Loan principal may be optionally repaid from time to time without premium or penalty (other than customary LIBOR breakage). Prior to the investment grade changeover date, loan principal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 On and after the investment grade changeover date, loan principal is required to be repaid (a) to the extent the loan amount exceeds the commitment due to any termination or reduction of the aggregate maximum credit amount and (b) at the maturity date of November 1, 2022.</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 (prior to the investment grade</w:t>
            </w:r>
          </w:p>
        </w:tc>
        <w:tc>
          <w:tcPr>
            <w:tcW w:w="6040" w:type="dxa"/>
            <w:vAlign w:val="bottom"/>
          </w:tcPr>
          <w:p>
            <w:pPr>
              <w:spacing w:after="0"/>
              <w:rPr>
                <w:sz w:val="18"/>
                <w:szCs w:val="18"/>
                <w:color w:val="auto"/>
              </w:rPr>
            </w:pPr>
          </w:p>
        </w:tc>
      </w:tr>
      <w:tr>
        <w:trPr>
          <w:trHeight w:val="238"/>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changeover date)</w:t>
            </w:r>
          </w:p>
        </w:tc>
        <w:tc>
          <w:tcPr>
            <w:tcW w:w="604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538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net debt to EBITDAX, as defined in the credit agreement</w:t>
            </w:r>
          </w:p>
        </w:tc>
        <w:tc>
          <w:tcPr>
            <w:tcW w:w="6040" w:type="dxa"/>
            <w:vAlign w:val="bottom"/>
            <w:tcBorders>
              <w:bottom w:val="single" w:sz="8" w:color="CCEEFF"/>
            </w:tcBorders>
            <w:shd w:val="clear" w:color="auto" w:fill="CCEEFF"/>
          </w:tcPr>
          <w:p>
            <w:pPr>
              <w:jc w:val="center"/>
              <w:ind w:left="321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604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w w:val="99"/>
              </w:rPr>
              <w:t>Not less than 1.0 to 1.0</w:t>
            </w:r>
          </w:p>
        </w:tc>
      </w:tr>
      <w:tr>
        <w:trPr>
          <w:trHeight w:val="918"/>
        </w:trPr>
        <w:tc>
          <w:tcPr>
            <w:tcW w:w="5380" w:type="dxa"/>
            <w:vAlign w:val="bottom"/>
          </w:tcPr>
          <w:p>
            <w:pPr>
              <w:spacing w:after="0"/>
              <w:rPr>
                <w:sz w:val="24"/>
                <w:szCs w:val="24"/>
                <w:color w:val="auto"/>
              </w:rPr>
            </w:pPr>
          </w:p>
        </w:tc>
        <w:tc>
          <w:tcPr>
            <w:tcW w:w="6040" w:type="dxa"/>
            <w:vAlign w:val="bottom"/>
          </w:tcPr>
          <w:p>
            <w:pPr>
              <w:jc w:val="right"/>
              <w:ind w:right="5530"/>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420"/>
          </w:cols>
          <w:pgMar w:left="240" w:top="279"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covenant prohibiting additional indebtedness, applicable prior to the investment grade changeover date,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and after the investment grade changeover date, the financial covenants listed above will be replaced by a financial covenant that will require the Company to not permit the total net debt to capitalization ratio, as defined in the credit agreement, to exceed 65%. Additionally, on and after the investment grade changeover date, many of the negative covenants set forth in the credit agreement will no longer restrict the Company, Diamondback O&amp;G LLC and their restricted subsidiaries (the “Restricted Group”), including the covenants that limit (i) equity repurchases, dividends and other restricted payments, (ii) redemptions of the senior or senior subordinated notes, (iii) making investments, (iv) dispositions of property, (v) transactions with affiliates, and (vi) entering into swap agreements. In addition, on and after the investment grade changeover date, (i) the debt covenant will no longer restrict incurrences of debt by Diamondback O&amp;G LLC and guarantors, and will allow non-guarantor restricted subsidiaries to incur debt for borrowed money in an aggregate principal amount up to 15% of consolidated net tangible assets (as defined in the credit agreement) and (ii) the liens covenant will be modified to allow the Restricted Group to create liens if the aggregate amount of debt secured by such liens does not exceed 15% of consolidated net tangible assets.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2019 and December 31, 2018, the Company was in compliance with all financial covenants under its revolving credit facility, as then in effect. The lenders may accelerate all of the indebtedness under the 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Viper’s Credit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8, 2014, Viper entered into a secured revolving credit agreement with Wells Fargo, as administrative agent, certain other lenders and Viper LLC, Viper’s consolidated subsidiary, as guarantor. On May 8, 2018, Viper LLC assumed all liabilities as borrower under the credit agreement and Viper became a guarantor of the credit agreement. On July 20, 2018, Viper LLC, Viper, Wells Fargo and the other lenders amended and restated the credit agreement to reflect the assumption by Viper LLC.</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as amended and restated, provides for a revolving credit facility in the maximum credit amount of $2 billion and a borrowing base based on Viper’s oil and natural gas reserves and other factors (the “borrowing base”) of $600 million, subject to scheduled semi-annual and other elective borrowing base redeterminations. The borrowing base is scheduled to be re-determined semi-annually with effective dates of May 1st and November 1st. In addition, Viper LLC and Wells Fargo each may request up to three interim redeterminations of the borrowing base during any 12-month period. Effective June 27, 2019, in connection with Viper’s spring 2019 redetermination, the borrowing base increased from $555 million to $600 million and, as of June 30, 2019, Viper had $213 million of outstanding borrowings and $387 million available for future borrowings under its revolving credit facility.</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a per annum rate elected by Viper LLC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Viper LLC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(i) to the extent the loan amount exceeds the commitment or the borrowing base, whether due to a borrowing base redetermination or otherwise (in some cases subject to a cure period), (ii) in an amount equal to the net cash proceeds from the sale of property when a borrowing base deficiency or event of default exists under the credit agreement and (iii) at the maturity date of November 1, 2022. The loan is secured by substantially all of the assets of Viper and Viper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9"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Not less than 1.0 to 1.0</w:t>
            </w:r>
          </w:p>
        </w:tc>
      </w:tr>
    </w:tbl>
    <w:p>
      <w:pPr>
        <w:spacing w:after="0" w:line="200" w:lineRule="exact"/>
        <w:rPr>
          <w:sz w:val="20"/>
          <w:szCs w:val="20"/>
          <w:color w:val="auto"/>
        </w:rPr>
      </w:pP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covenant prohibiting additional indebtedness allows for the issuance of unsecured debt of up to $400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2019 and December 31, 2018, Viper was in compliance with all financial covenants under its revolving credit facility, as then in effect. The lenders may accelerate all of the indebtedness under Viper’s credit agreement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Rattler’s Credit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Rattler Offering, Rattler, as parent, and Rattler LLC, as borrower, entered into a credit agreement, dated May 28, 2019, with Wells Fargo Bank, National Association, as administrative agent, and a syndicate of banks, including Wells Fargo Bank, National Association, as lenders party thereto (the “Rattler credit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Rattler credit agreement provides for a revolving credit facility in the maximum credit amount of $600 million. Loan principal may be optionally repaid from time to time without premium or penalty (other than customary LIBOR breakage), and is required to be paid at the maturity date of May 28, 2024. The loan is guaranteed by Rattler and Tall City, and is secured by substantially all of the assets of Rattler LLC, Rattler and Tall City. As of June 30, 2019, Rattler LLC had $1 million of outstanding borrowings and $599 million available for future borrowings under the Rattler credit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outstanding borrowings under the Rattler credit agreement bear interest at a per annum rate elected by Rattler LLC that is based on the prime rate or LIBOR, in each case plus an applicable margin. The applicable margin ranges from 0.250% to 1.250% per annum for prime-based loans and 1.250% to 2.250% per annum for LIBOR loans, in each case depending on the Consolidated Total Leverage Ratio (as defined in the Rattler credit agreement). Rattler LLC is obligated to pay a quarterly commitment fee ranging from 0.250% to 0.375% per annum on the unused portion of the commitment, which fee is also dependent on the Consolidated Total Leverage Ratio.</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Rattler credit agreement contains various affirmative and negative covenants. These covenants, among other things, limit additional indebtedness, additional liens, sales of assets, mergers and consolidations, distributions and other restricted payments, transactions with affiliates, and entering into certain swap agreements, in each case of Rattler, Rattler LLC and their restricted subsidiaries. The covenants are subject to exceptions set forth in the Rattler credit agreement, including an exception allowing Rattler LLC or Rattler to issue unsecured debt securities and an exception allowing payment of distributions if no default exists. The Rattler credit agreement may be used to fund capital expenditures, to finance working capital, for general company purposes, to pay fees and expenses related to the Rattler credit agreement, and to make distributions permitted under the Rattler credit agreement.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9"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Rattler credit agreement also contains financial maintenance covenants that require the maintenance of the financial ratios described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0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18"/>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Total Leverage Ratio commencing with the fiscal quarter ending September 30,</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greater than 5.00 to 1.00 (or not greater than 5.50 to</w:t>
            </w:r>
          </w:p>
        </w:tc>
      </w:tr>
      <w:tr>
        <w:trPr>
          <w:trHeight w:val="216"/>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for 3 fiscal quarters following certain acquisitions),</w:t>
            </w:r>
          </w:p>
        </w:tc>
      </w:tr>
      <w:tr>
        <w:trPr>
          <w:trHeight w:val="216"/>
        </w:trPr>
        <w:tc>
          <w:tcPr>
            <w:tcW w:w="7060" w:type="dxa"/>
            <w:vAlign w:val="bottom"/>
            <w:shd w:val="clear" w:color="auto" w:fill="CCEEFF"/>
          </w:tcPr>
          <w:p>
            <w:pPr>
              <w:spacing w:after="0"/>
              <w:rPr>
                <w:sz w:val="18"/>
                <w:szCs w:val="18"/>
                <w:color w:val="auto"/>
              </w:rPr>
            </w:pP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but if the Consolidated Senior Secured Leverage Ratio (as</w:t>
            </w:r>
          </w:p>
        </w:tc>
      </w:tr>
      <w:tr>
        <w:trPr>
          <w:trHeight w:val="216"/>
        </w:trPr>
        <w:tc>
          <w:tcPr>
            <w:tcW w:w="7060" w:type="dxa"/>
            <w:vAlign w:val="bottom"/>
            <w:shd w:val="clear" w:color="auto" w:fill="CCEEFF"/>
          </w:tcPr>
          <w:p>
            <w:pPr>
              <w:spacing w:after="0"/>
              <w:rPr>
                <w:sz w:val="18"/>
                <w:szCs w:val="18"/>
                <w:color w:val="auto"/>
              </w:rPr>
            </w:pP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defined in the Rattler credit agreement) is applicable, then</w:t>
            </w:r>
          </w:p>
        </w:tc>
      </w:tr>
      <w:tr>
        <w:trPr>
          <w:trHeight w:val="241"/>
        </w:trPr>
        <w:tc>
          <w:tcPr>
            <w:tcW w:w="7060" w:type="dxa"/>
            <w:vAlign w:val="bottom"/>
            <w:tcBorders>
              <w:bottom w:val="single" w:sz="8" w:color="CCEEFF"/>
            </w:tcBorders>
            <w:shd w:val="clear" w:color="auto" w:fill="CCEEFF"/>
          </w:tcPr>
          <w:p>
            <w:pPr>
              <w:spacing w:after="0"/>
              <w:rPr>
                <w:sz w:val="20"/>
                <w:szCs w:val="20"/>
                <w:color w:val="auto"/>
              </w:rPr>
            </w:pPr>
          </w:p>
        </w:tc>
        <w:tc>
          <w:tcPr>
            <w:tcW w:w="4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greater than 5.25 to 1.00)</w:t>
            </w:r>
          </w:p>
        </w:tc>
      </w:tr>
      <w:tr>
        <w:trPr>
          <w:trHeight w:val="225"/>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Senior Secured Leverage Ratio commencing with the last day of any fiscal quarter</w:t>
            </w:r>
          </w:p>
        </w:tc>
        <w:tc>
          <w:tcPr>
            <w:tcW w:w="4360" w:type="dxa"/>
            <w:vAlign w:val="bottom"/>
          </w:tcPr>
          <w:p>
            <w:pPr>
              <w:spacing w:after="0"/>
              <w:rPr>
                <w:sz w:val="19"/>
                <w:szCs w:val="19"/>
                <w:color w:val="auto"/>
              </w:rPr>
            </w:pPr>
          </w:p>
        </w:tc>
      </w:tr>
      <w:tr>
        <w:trPr>
          <w:trHeight w:val="234"/>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which the Financial Covenant Election (as defined in the Rattler credit agreement) is made</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greater than 3.50 to 1.00</w:t>
            </w:r>
          </w:p>
        </w:tc>
      </w:tr>
      <w:tr>
        <w:trPr>
          <w:trHeight w:val="27"/>
        </w:trPr>
        <w:tc>
          <w:tcPr>
            <w:tcW w:w="7060" w:type="dxa"/>
            <w:vAlign w:val="bottom"/>
          </w:tcPr>
          <w:p>
            <w:pPr>
              <w:spacing w:after="0"/>
              <w:rPr>
                <w:sz w:val="2"/>
                <w:szCs w:val="2"/>
                <w:color w:val="auto"/>
              </w:rPr>
            </w:pPr>
          </w:p>
        </w:tc>
        <w:tc>
          <w:tcPr>
            <w:tcW w:w="4360" w:type="dxa"/>
            <w:vAlign w:val="bottom"/>
          </w:tcPr>
          <w:p>
            <w:pPr>
              <w:spacing w:after="0"/>
              <w:rPr>
                <w:sz w:val="2"/>
                <w:szCs w:val="2"/>
                <w:color w:val="auto"/>
              </w:rPr>
            </w:pPr>
          </w:p>
        </w:tc>
      </w:tr>
      <w:tr>
        <w:trPr>
          <w:trHeight w:val="225"/>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Interest Coverage Ratio (as defined in the Rattler credit agreement) commencing</w:t>
            </w:r>
          </w:p>
        </w:tc>
        <w:tc>
          <w:tcPr>
            <w:tcW w:w="4360" w:type="dxa"/>
            <w:vAlign w:val="bottom"/>
            <w:shd w:val="clear" w:color="auto" w:fill="CCEEFF"/>
          </w:tcPr>
          <w:p>
            <w:pPr>
              <w:spacing w:after="0"/>
              <w:rPr>
                <w:sz w:val="19"/>
                <w:szCs w:val="19"/>
                <w:color w:val="auto"/>
              </w:rPr>
            </w:pPr>
          </w:p>
        </w:tc>
      </w:tr>
      <w:tr>
        <w:trPr>
          <w:trHeight w:val="234"/>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 the fiscal quarter ending September 30, 2019</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Not less than 2.50 to 1.00</w:t>
            </w:r>
          </w:p>
        </w:tc>
      </w:tr>
      <w:tr>
        <w:trPr>
          <w:trHeight w:val="27"/>
        </w:trPr>
        <w:tc>
          <w:tcPr>
            <w:tcW w:w="706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calculating the financial maintenance covenants prior to the fiscal quarter ending June 30, 2020, EBITDA (as defined in the Rattler credit agreement) will be annualized based on the actual EBITDA for the preceding fiscal quarters starting with the fiscal quarter ending September 30, 2019.</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June 30, 2019, each of Rattler and Rattler LLC were in compliance with all financial covenants under the Rattler credit agreement. The lenders may accelerate all of the indebtedness under the Rattler credit agreement upon the occurrence and during the continuance of any event of default. The Rattler credit agreement contains customary events of default, including non-payment, breach of covenants, materially incorrect representations, cross-default, bankruptcy and change in control. There are no cure periods for events of default due to non-payment of principal and breaches of negative and financial maintenance covenants, but non-payment of interest and breaches of certain affirmative covenants are subject to customary cure periods. With certain specified exceptions, the terms and provisions of the Rattler credit agreement generally may be amended with the consent of the lenders holding a majority of the outstanding loans or commitments to lend.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Alliance with Obsidian Resources, L.L.C.</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entered into a participation and development agreement (the “DrillCo Agreement”), dated September 10, 2018, with Obsidian Resources, L.L.C. (“CEMOF”) to fund oil and natural gas development. Funds managed by CEMOF and its affiliates have agreed to commit to funding certain costs out of CEMOF’s net production revenue and, for a period of time, to the extent not funded by such revenue, up to an additional $300 million, to fund drilling programs on locations provided by the Company. Subject to adjustments depending on asset characteristics and return expectations of the selected drilling plan, CEMOF will fund up to 85% of the costs associated with new wells drilled under the DrillCo Agreement and is expected to receive an 80% working interest in these wells until it reaches certain payout thresholds equal to a cumulative 9% and then 13% internal rate of return. Upon reaching the final internal rate of return target, CEMOF’s interest will be reduced to 15%, while the Company’s interest will increase to 85%. As of June 30, 2019, CEMOF had funded approximately $30 million. As of June 30, 2019, eight joint wells have been drilled and completed.</w:t>
      </w:r>
    </w:p>
    <w:p>
      <w:pPr>
        <w:spacing w:after="0" w:line="1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CAPITAL STOCK AND EARNINGS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Diamondback did not complete any equity offerings during the six months ended June 30, 2019 and June 30,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Viper’s Equity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 2019, Viper completed an underwritten public offering of 10,925,000 common units, which included 1,425,000 common units issued pursuant to an option to purchase additional common units granted to the underwriters. Following this offering, the Company owned approximately 54% of Viper’s total units then outstanding. Viper received net proceeds from this offering of approximately $341 million, after deducting underwriting discounts and commissions and estimated offering expenses. Viper used the net proceeds to purchase units of Viper LLC. Viper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9"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LLC in turn used the net proceeds to repay a portion of the outstanding borrowings under its revolving credit facility and finance acquisitions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Rattler’s Initial Public Offering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Note 6—Rattler Midstream LP for information regarding Rattler’s IPO.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May 2019, the Company’s board of directors approved a stock repurchase program to acquire up to $2 billion of the Company’s outstanding common stock through December 31, 2020.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months ended June 30, 2019, the Company repurchased approximately $104 million of common stock under this repurchase program. As of June 30, 2019, $1.9 billion remained available for use to repurchase shares under the Company's common stock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for the diluted earnings per share computation, the per share earnings of Viper are included in the consolidated earnings per share computation based on the consolidated group’s holdings of the subsidiary.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components of basic and diluted earnings per common share is presented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gridSpan w:val="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in millions, except per share amounts, shares in thousands)</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164,839</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164,846</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98,584</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Potential common shares issuable</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97"/>
        </w:trPr>
        <w:tc>
          <w:tcPr>
            <w:tcW w:w="62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165,019</w:t>
            </w:r>
          </w:p>
        </w:tc>
        <w:tc>
          <w:tcPr>
            <w:tcW w:w="3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98,797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165,253</w:t>
            </w:r>
          </w:p>
        </w:tc>
        <w:tc>
          <w:tcPr>
            <w:tcW w:w="3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98,820</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attributable to common stock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income attributable to 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the following shares that were excluded from the computation of diluted earnings per share because their inclusion would have been anti-dilutive for the periods presented but could potentially dilute basic earnings per share in future periods: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4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6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120" w:type="dxa"/>
            <w:vAlign w:val="bottom"/>
          </w:tcPr>
          <w:p>
            <w:pPr>
              <w:spacing w:after="0"/>
              <w:rPr>
                <w:sz w:val="20"/>
                <w:szCs w:val="20"/>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67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7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jc w:val="right"/>
              <w:ind w:right="589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891"/>
        </w:trPr>
        <w:tc>
          <w:tcPr>
            <w:tcW w:w="67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27</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EQUITY-BASED COMPENSATION</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effects of the equity compensation plans and related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6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Equity-based compensation capitalized pursuant to full cost method of accounting</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oil and natural gas properties</w:t>
            </w:r>
          </w:p>
        </w:tc>
        <w:tc>
          <w:tcPr>
            <w:tcW w:w="9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presents the Company’s restricted stock units activity under the Equity Plan during the six months ended June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Weighted Average Grant-</w:t>
            </w:r>
          </w:p>
        </w:tc>
      </w:tr>
      <w:tr>
        <w:trPr>
          <w:trHeight w:val="216"/>
        </w:trPr>
        <w:tc>
          <w:tcPr>
            <w:tcW w:w="6860" w:type="dxa"/>
            <w:vAlign w:val="bottom"/>
          </w:tcPr>
          <w:p>
            <w:pPr>
              <w:spacing w:after="0"/>
              <w:rPr>
                <w:sz w:val="18"/>
                <w:szCs w:val="18"/>
                <w:color w:val="auto"/>
              </w:rPr>
            </w:pPr>
          </w:p>
        </w:tc>
        <w:tc>
          <w:tcPr>
            <w:tcW w:w="22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38"/>
        </w:trPr>
        <w:tc>
          <w:tcPr>
            <w:tcW w:w="6860" w:type="dxa"/>
            <w:vAlign w:val="bottom"/>
          </w:tcPr>
          <w:p>
            <w:pPr>
              <w:spacing w:after="0"/>
              <w:rPr>
                <w:sz w:val="20"/>
                <w:szCs w:val="20"/>
                <w:color w:val="auto"/>
              </w:rPr>
            </w:pPr>
          </w:p>
        </w:tc>
        <w:tc>
          <w:tcPr>
            <w:tcW w:w="2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Awards &amp; Units</w:t>
            </w:r>
          </w:p>
        </w:tc>
        <w:tc>
          <w:tcPr>
            <w:tcW w:w="140" w:type="dxa"/>
            <w:vAlign w:val="bottom"/>
          </w:tcPr>
          <w:p>
            <w:pPr>
              <w:spacing w:after="0"/>
              <w:rPr>
                <w:sz w:val="20"/>
                <w:szCs w:val="20"/>
                <w:color w:val="auto"/>
              </w:rPr>
            </w:pPr>
          </w:p>
        </w:tc>
        <w:tc>
          <w:tcPr>
            <w:tcW w:w="2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324,224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116.01</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450,297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107.08</w:t>
            </w:r>
          </w:p>
        </w:tc>
      </w:tr>
      <w:tr>
        <w:trPr>
          <w:trHeight w:val="27"/>
        </w:trPr>
        <w:tc>
          <w:tcPr>
            <w:tcW w:w="6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109.08</w:t>
            </w:r>
          </w:p>
        </w:tc>
      </w:tr>
      <w:tr>
        <w:trPr>
          <w:trHeight w:val="243"/>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108.93</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June 30, 2019</w:t>
            </w:r>
          </w:p>
        </w:tc>
        <w:tc>
          <w:tcPr>
            <w:tcW w:w="2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539,838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111.59</w:t>
            </w:r>
          </w:p>
        </w:tc>
      </w:tr>
      <w:tr>
        <w:trPr>
          <w:trHeight w:val="20"/>
        </w:trPr>
        <w:tc>
          <w:tcPr>
            <w:tcW w:w="68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fair value of restricted stock units that vested during the six months ended June 30, 2019 and 2018 was $19 million and $10 million, respectively. As of June 30, 2019, the Company’s unrecognized compensation cost related to unvested restricted stock awards and units was $37 million. Such cost is expected to be recognized over a weighted-average period of 1.1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Based Restricted Stock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provide long-term incentives for the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three-year performance period.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2019, eligible employees received performance restricted stock unit awards totaling 199,723 units from which a minimum of 0% and a maximum of 200% units could be awarded. The awards have a performance period of January 1, 2019 to December 31, 2021 and cliff vest at December 31, 2021. In March 2019, eligible employees received performance restricted stock unit awards totaling 32,958 units from which a minimum of 0% and a maximum of 200% units could be awarded. The awards have a performance period of January 1, 2019 to December 31, 2021 and vest in five equal installments beginning on March 1, 2025.</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9"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grant-date fair values of performance restricted stock units granted and the related assumptions for the March 2019 awards.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212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4"/>
        </w:trPr>
        <w:tc>
          <w:tcPr>
            <w:tcW w:w="21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 (3-year vesting)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137.22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212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Grant-date fair value (5-year vesting)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132.48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21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1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212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volatility</w:t>
            </w:r>
          </w:p>
        </w:tc>
        <w:tc>
          <w:tcPr>
            <w:tcW w:w="3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657"/>
        </w:trPr>
        <w:tc>
          <w:tcPr>
            <w:tcW w:w="114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The following table presents the Company’s performance restricted stock units activity under the Equity Plan for the six months ended June 30,</w:t>
            </w: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56"/>
        </w:trPr>
        <w:tc>
          <w:tcPr>
            <w:tcW w:w="21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200" w:type="dxa"/>
            <w:vAlign w:val="bottom"/>
          </w:tcPr>
          <w:p>
            <w:pPr>
              <w:spacing w:after="0"/>
              <w:rPr>
                <w:sz w:val="24"/>
                <w:szCs w:val="24"/>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21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1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Grant-Date Fair Value</w:t>
            </w:r>
          </w:p>
        </w:tc>
      </w:tr>
      <w:tr>
        <w:trPr>
          <w:trHeight w:val="27"/>
        </w:trPr>
        <w:tc>
          <w:tcPr>
            <w:tcW w:w="72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196,203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169.76</w:t>
            </w:r>
          </w:p>
        </w:tc>
      </w:tr>
      <w:tr>
        <w:trPr>
          <w:trHeight w:val="243"/>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300" w:type="dxa"/>
            <w:vAlign w:val="bottom"/>
          </w:tcPr>
          <w:p>
            <w:pPr>
              <w:spacing w:after="0"/>
              <w:rPr>
                <w:sz w:val="21"/>
                <w:szCs w:val="21"/>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356,227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131.30</w:t>
            </w:r>
          </w:p>
        </w:tc>
      </w:tr>
      <w:tr>
        <w:trPr>
          <w:trHeight w:val="27"/>
        </w:trPr>
        <w:tc>
          <w:tcPr>
            <w:tcW w:w="7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(123,546)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121.41</w:t>
            </w:r>
          </w:p>
        </w:tc>
      </w:tr>
      <w:tr>
        <w:trPr>
          <w:trHeight w:val="243"/>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300" w:type="dxa"/>
            <w:vAlign w:val="bottom"/>
          </w:tcPr>
          <w:p>
            <w:pPr>
              <w:spacing w:after="0"/>
              <w:rPr>
                <w:sz w:val="21"/>
                <w:szCs w:val="21"/>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(45,868)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155.68</w:t>
            </w:r>
          </w:p>
        </w:tc>
      </w:tr>
      <w:tr>
        <w:trPr>
          <w:trHeight w:val="27"/>
        </w:trPr>
        <w:tc>
          <w:tcPr>
            <w:tcW w:w="72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64"/>
        </w:trPr>
        <w:tc>
          <w:tcPr>
            <w:tcW w:w="7240" w:type="dxa"/>
            <w:vAlign w:val="bottom"/>
            <w:tcBorders>
              <w:bottom w:val="single" w:sz="8" w:color="CCEEFF"/>
            </w:tcBorders>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Unvested at June 30, 2019</w:t>
            </w:r>
            <w:r>
              <w:rPr>
                <w:rFonts w:ascii="Times New Roman" w:cs="Times New Roman" w:eastAsia="Times New Roman" w:hAnsi="Times New Roman"/>
                <w:sz w:val="25"/>
                <w:szCs w:val="25"/>
                <w:color w:val="auto"/>
                <w:vertAlign w:val="superscript"/>
              </w:rPr>
              <w:t>(1)</w:t>
            </w:r>
          </w:p>
        </w:tc>
        <w:tc>
          <w:tcPr>
            <w:tcW w:w="3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151.27</w:t>
            </w:r>
          </w:p>
        </w:tc>
      </w:tr>
      <w:tr>
        <w:trPr>
          <w:trHeight w:val="20"/>
        </w:trPr>
        <w:tc>
          <w:tcPr>
            <w:tcW w:w="2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 maximum of 766,032 units could be awarded based upon the Company’s final TSR ranking.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2019, the Company’s unrecognized compensation cost related to unvested performance based restricted stock awards and units was $37 million. Such cost is expected to be recognized over a weighted-average period of 2.5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Energen Merger, each outstanding stock appreciation right in respect of Energen common stock that was outstanding immediately prior to the effective time of the Merger was converted into a fully vested stock appreciation right in respect of such number of whole shares of Diamondback common stock (rounded down to the nearest whole share) equal to the product of (A) the total number of shares of Energen common stock subject to such stock appreciation right immediately prior to the effective time of the Merger multiplied by (B) the exchange ratio, at an exercise price per share of Diamondback common stock (rounded up to the nearest whole cent) equal to the quotient of (A) the exercise price per share of Energen common stock of such stock appreciation right immediately prior to the effective time of the Merger divided by (B) the exchange ratio. These awards have a three-year requisite service period.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summary of stock appreciation rights activity during the six months ended June 30, 2019:</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824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7"/>
        </w:trPr>
        <w:tc>
          <w:tcPr>
            <w:tcW w:w="8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57,721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22.12</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73.68</w:t>
            </w:r>
          </w:p>
        </w:tc>
      </w:tr>
      <w:tr>
        <w:trPr>
          <w:trHeight w:val="27"/>
        </w:trPr>
        <w:tc>
          <w:tcPr>
            <w:tcW w:w="8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102.92</w:t>
            </w:r>
          </w:p>
        </w:tc>
      </w:tr>
      <w:tr>
        <w:trPr>
          <w:trHeight w:val="25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44,604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28.90</w:t>
            </w:r>
          </w:p>
        </w:tc>
      </w:tr>
      <w:tr>
        <w:trPr>
          <w:trHeight w:val="20"/>
        </w:trPr>
        <w:tc>
          <w:tcPr>
            <w:tcW w:w="8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Energen Merger, each option to purchase shares of Energen common stock that was outstanding immediately prior to the effective time of the Merger was converted into a fully vested option to purchase such number of whole shares of Diamondback common stock (rounded down to the nearest whole share) equal to the</w:t>
      </w:r>
    </w:p>
    <w:p>
      <w:pPr>
        <w:sectPr>
          <w:pgSz w:w="11900" w:h="16838" w:orient="portrait"/>
          <w:cols w:equalWidth="0" w:num="1">
            <w:col w:w="11420"/>
          </w:cols>
          <w:pgMar w:left="240" w:top="279"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9" w:right="239"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of (A) the total number of shares of Energen common stock subject to such option immediately prior to the effective time of the Merger multiplied by</w:t>
      </w:r>
    </w:p>
    <w:p>
      <w:pPr>
        <w:spacing w:after="0" w:line="27" w:lineRule="exact"/>
        <w:rPr>
          <w:sz w:val="20"/>
          <w:szCs w:val="20"/>
          <w:color w:val="auto"/>
        </w:rPr>
      </w:pPr>
    </w:p>
    <w:p>
      <w:pPr>
        <w:jc w:val="both"/>
        <w:ind w:firstLine="8"/>
        <w:spacing w:after="0" w:line="255" w:lineRule="auto"/>
        <w:tabs>
          <w:tab w:leader="none" w:pos="2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at an exercise price per share of Diamondback common stock (rounded up to the nearest whole cent) equal to the quotient of (A) the exercise price per share of Energen common stock of such option immediately prior to the effective time of the Merger divided by (B) the exchange ratio. The exercise price of stock options granted may not be less than the market value of the stock at the date of grant.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values of stock options granted using a Black-Scholes option valuation model, which requires the Company to make several assumptions. The expected term of options granted was determined based on the contractual term of the awards at effective time of the merger. The risk-free interest rate is based on the U.S. treasury yield curve rate for the expected term of the option at the date of grant. All such amounts represent the weighted-average amounts for each year.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5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23"/>
                <w:szCs w:val="23"/>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70"/>
        </w:trPr>
        <w:tc>
          <w:tcPr>
            <w:tcW w:w="5160" w:type="dxa"/>
            <w:vAlign w:val="bottom"/>
          </w:tcPr>
          <w:p>
            <w:pPr>
              <w:spacing w:after="0"/>
              <w:rPr>
                <w:sz w:val="23"/>
                <w:szCs w:val="23"/>
                <w:color w:val="auto"/>
              </w:rPr>
            </w:pP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60" w:type="dxa"/>
            <w:vAlign w:val="bottom"/>
          </w:tcPr>
          <w:p>
            <w:pPr>
              <w:spacing w:after="0"/>
              <w:rPr>
                <w:sz w:val="23"/>
                <w:szCs w:val="23"/>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7"/>
        </w:trPr>
        <w:tc>
          <w:tcPr>
            <w:tcW w:w="51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332,387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80.05</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261,665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at June 30, 2019</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261,665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 at June 30, 2019</w:t>
            </w: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261,665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 Phantom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Viper Energy Partners LP Long Term Incentive Plan (“Viper LTIP”), the Board of Directors of the General Partner is authorized to issue phantom units to eligible employees. Viper estimates the fair value of phantom units as the closing price of Viper’s common units on the grant date of the award, which is expensed over the applicable vesting period. Upon vesting the phantom units entitle the recipient one common unit of Viper for each phantom unit.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phantom unit activity under the Viper LTIP for the six months ended June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Weighted Average Grant-</w:t>
            </w:r>
          </w:p>
        </w:tc>
      </w:tr>
      <w:tr>
        <w:trPr>
          <w:trHeight w:val="216"/>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38"/>
        </w:trPr>
        <w:tc>
          <w:tcPr>
            <w:tcW w:w="766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Phantom Units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7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125,053</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23.44</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17,601</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33.54</w:t>
            </w:r>
          </w:p>
        </w:tc>
      </w:tr>
      <w:tr>
        <w:trPr>
          <w:trHeight w:val="27"/>
        </w:trPr>
        <w:tc>
          <w:tcPr>
            <w:tcW w:w="7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(60,133)</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21.38</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42.50</w:t>
            </w:r>
          </w:p>
        </w:tc>
      </w:tr>
      <w:tr>
        <w:trPr>
          <w:trHeight w:val="27"/>
        </w:trPr>
        <w:tc>
          <w:tcPr>
            <w:tcW w:w="7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June 30,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81,493</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26.91</w:t>
            </w:r>
          </w:p>
        </w:tc>
      </w:tr>
      <w:tr>
        <w:trPr>
          <w:trHeight w:val="20"/>
        </w:trPr>
        <w:tc>
          <w:tcPr>
            <w:tcW w:w="7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fair value of phantom units that vested during the six months ended June 30, 2019 was $1 million. As of June 30, 2019, the unrecognized compensation cost related to unvested phantom units was $1 million. Such cost is expected to be recognized over a weighted-average period of 0.85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 Long-Term Incentive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22, 2019, the board of directors of Rattler’s General Partner adopted the Rattler Midstream LP Long Term Incentive Plan (“Rattler LTIP”), for employees, consultants and directors of Rattler’s General Partner and any of its affiliates, including Diamondback, who perform services for Rattler. The Rattler LTIP provides for the grant of unit options, unit appreciation rights, restricted units, unit awards, phantom units, distribution equivalent rights, cash awards, performance awards, other unit-based awards and substitute awards.</w:t>
      </w:r>
    </w:p>
    <w:p>
      <w:pPr>
        <w:sectPr>
          <w:pgSz w:w="11900" w:h="16838" w:orient="portrait"/>
          <w:cols w:equalWidth="0" w:num="1">
            <w:col w:w="11420"/>
          </w:cols>
          <w:pgMar w:left="240" w:top="279"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9" w:right="2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Rattler LTIP, the board of directors of Rattler’s General Partner is authorized to issue phantom units to eligible employees and non-employee directors. Rattler estimates the fair value of phantom units as the closing price of Rattler’s common units on the grant date of the award, which is expensed over the applicable vesting period. Upon vesting the phantom units entitle the recipient to one common unit of Rattler for each phantom unit. The recipients are also entitled to distribution equivalent rights, which represent the right to receive a cash payment equal to the value of the distributions paid on one phantom unit between the grant date and the vesting date.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phantom unit activity under the Rattler LTIP for the six months ended June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754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Phantom</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38"/>
        </w:trPr>
        <w:tc>
          <w:tcPr>
            <w:tcW w:w="7540" w:type="dxa"/>
            <w:vAlign w:val="bottom"/>
          </w:tcPr>
          <w:p>
            <w:pPr>
              <w:spacing w:after="0"/>
              <w:rPr>
                <w:sz w:val="20"/>
                <w:szCs w:val="20"/>
                <w:color w:val="auto"/>
              </w:rPr>
            </w:pP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75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May 28, 2019</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2,248,572</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19.20</w:t>
            </w:r>
          </w:p>
        </w:tc>
      </w:tr>
      <w:tr>
        <w:trPr>
          <w:trHeight w:val="27"/>
        </w:trPr>
        <w:tc>
          <w:tcPr>
            <w:tcW w:w="75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June 30, 2019</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2,248,572</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19.20</w:t>
            </w:r>
          </w:p>
        </w:tc>
      </w:tr>
      <w:tr>
        <w:trPr>
          <w:trHeight w:val="20"/>
        </w:trPr>
        <w:tc>
          <w:tcPr>
            <w:tcW w:w="75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2019, the unrecognized compensation cost related to unvested phantom units was $42 million. Such cost is expected to be recognized over a weighted-average period of 2.9 years.</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Services Agreement - Viper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Viper Offering, Viper and Viper’s General Partner entered into an advisory services agreement (the “Viper Advisory Services Agreement”) with Wexford, dated as of June 23, 2014, under which Wexford provided Viper and Viper’s General Partner with general financial and strategic advisory services related to the business in return for an annual fee of $500,000, plus reasonable out-of-pocket expenses. The Advisory Services Agreement was terminated on November 12, 2018 and Viper’s payment obligation ended in June 2019. For the three months and six months ended June 30, 2019 and 2018, Viper did not pay any amounts under the Advisory Services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Bonus - Viper</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2019, the Company paid Viper $39,000 in lease bonus payments to extend the term of one lease, reflecting an average bonus of $1,800 per acre. During the six months ended June 30, 2019, the Company paid Viper $39,198 in lease bonus payments to extend the term of two leases, reflecting an average bonus of $1,686 per acre and $3,101 in lease bonus payments for two new leases, reflecting an average bonus of $14,766 per acre. During the three months and six months ended June 30, 2018, the Company did not pay Viper any lease bonus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 Offering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Note 6—Rattler Midstream LP for information regarding relationships between the Company and Rattler.</w:t>
      </w:r>
    </w:p>
    <w:p>
      <w:pPr>
        <w:spacing w:after="0" w:line="2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effective income tax rates were 22.3% and (2.2)% for the three months ended June 30, 2019 and 2018, respectively, and 14.8% and 7.8% for the six months ended June 30, 2019 and 2018, respectively. Total income tax expense for the three and six months ended June 30, 2019 differed from amounts computed by applying the United States federal statutory tax rate to pre-tax income primarily due to current and deferred state income taxes, the impact of permanent differences between book and taxable income, and, for the six months ended June 30, 2019, the revision of estimated deferred taxes recognized by Viper as a result of its change in tax status. The Company recorded a discrete income tax expense of less than $1 million related to equity-based compensation for the six months ended June 30, 2019 and a discrete benefit of approximately $35 million during the three months ended March 31, 2019, related to the revision of estimated deferred taxes on Viper’s investment in Viper LLC arising from the change in Viper’s tax status. Viper revised its estimate of deferred taxes on Viper’s investment in Viper LLC based on information regarding unitholders’ tax basis which, under IRS reporting rules, was not available until the current period. Total income tax expense for the three and six months ended June 30, 2018 differed from amounts computed by applying the federal statutory rate to pre-tax income primarily due to (i) deferred taxes recognized by Viper as a result of its change in tax status, (ii) state income taxes, (iii) net income attributable to the noncontrolling interest, and (iv) the impact of permanent differences between book and taxable income.</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further in Note 6, on May 28, 2019, Rattler completed its initial public offering. Even though Rattler is organized as a limited partnership under state law, Rattler is subject to U.S. federal and state income tax at corporate rates, subsequent to the effective date of Rattler’s election to be treated as a corporation for U.S. federal income tax purposes. As such, Rattler’s provision for income taxes is included in the Company’s consolidated financial statements and to the extent applicable, in net income attributable to the non-controlling interest.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further in Note 5, on March 29, 2018, Viper announced that the Board of Directors of Viper’s General Partner had unanimously approved a change of Viper’s federal income tax status from that of a pass-through partnership to that of a taxable entity, which change became effective on May 10, 2018. The transactions undertaken in connection with the change in Viper’s tax status were not taxable to the Company. Subsequent to Viper’s change in tax status, Viper’s provision for income taxes is based on its estimated annual effective tax rate plus discrete items. As such, Viper’s provision for income taxes is included in the Company’s consolidated financial statements and to the extent applicable, in net income attributable to the non-controlling interest.</w:t>
      </w:r>
    </w:p>
    <w:p>
      <w:pPr>
        <w:sectPr>
          <w:pgSz w:w="11900" w:h="16838" w:orient="portrait"/>
          <w:cols w:equalWidth="0" w:num="1">
            <w:col w:w="11420"/>
          </w:cols>
          <w:pgMar w:left="240" w:top="279" w:right="239" w:bottom="131"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79" w:right="239" w:bottom="131"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combined consolidated statements of operations under the caption “Gain (loss) on derivative instruments, net.”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used fixed price swap contracts, fixed price basis swap contracts and three-way costless collars with corresponding put, short put and call options to reduce price volatility associated with certain of its oil and natural gas sales. With respect to the Company’s fixed price swap contracts and fixed price basis swap contracts, the counterparty is required to make a payment to the Company if the settlement price for any settlement period is less than the swap or basis price, and the Company is required to make a payment to the counterparty if the settlement price for any settlement period is greater than the swap or basis price. The Company has fixed price basis swaps for the spread between the WTI Magellan East Houston oil price and the WTI Cushing price and for the spread between the Henry Hub natural gas price and the Waha Hub natural gas price.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Company’s costless collar contracts, a three-way collar is a combination of three options: a ceiling call, a floor put, and a short put. The counterparty is required to make a payment to the Company if the settlement price for any settlement period is less than the ceiling price to a maximum of the difference between the floor price and the short put price. The Company is required to make a payment to the counterparty if the settlement price for any settlement period is greater than the ceiling price. If the settlement price is between the floor and the ceiling price, there is no payment required.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derivative contracts are based upon reported settlement prices on commodity exchanges, with crude oil derivative settlements based on New York Mercantile Exchange West Texas Intermediate pricing (Cushing and Magellan East Houston) and ICE Brent pricing, and with natural gas derivative settlements based on the New York Mercantile Exchange Henry Hub pricing and liquids derivative settlements based on Mt. Belvieu pricing.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in our credit facility and have been deemed an acceptable credit risk.</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2019, the Company had the following outstanding derivative contracts. When aggregating multiple contracts, the weighted average contract price is disclosed.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90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4"/>
        </w:trPr>
        <w:tc>
          <w:tcPr>
            <w:tcW w:w="538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Fixed Price Swap</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Fixed Price Swap</w:t>
            </w:r>
          </w:p>
        </w:tc>
      </w:tr>
      <w:tr>
        <w:trPr>
          <w:trHeight w:val="238"/>
        </w:trPr>
        <w:tc>
          <w:tcPr>
            <w:tcW w:w="5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(Bbls/MMBtu)</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(per Bbl/MMBtu)</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(Bbls/MMBtu)</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(per Bbl/MMBtu)</w:t>
            </w:r>
          </w:p>
        </w:tc>
      </w:tr>
      <w:tr>
        <w:trPr>
          <w:trHeight w:val="27"/>
        </w:trPr>
        <w:tc>
          <w:tcPr>
            <w:tcW w:w="53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Swaps - WTI Cushing</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5,512,000</w:t>
            </w:r>
          </w:p>
        </w:tc>
        <w:tc>
          <w:tcPr>
            <w:tcW w:w="8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2,555,000</w:t>
            </w:r>
          </w:p>
        </w:tc>
        <w:tc>
          <w:tcPr>
            <w:tcW w:w="76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59.37</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Swaps - WTI Magellan East Houston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1,472,000</w:t>
            </w:r>
          </w:p>
        </w:tc>
        <w:tc>
          <w:tcPr>
            <w:tcW w:w="8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2,190,000</w:t>
            </w:r>
          </w:p>
        </w:tc>
        <w:tc>
          <w:tcPr>
            <w:tcW w:w="7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62.80</w:t>
            </w:r>
          </w:p>
        </w:tc>
      </w:tr>
      <w:tr>
        <w:trPr>
          <w:trHeight w:val="27"/>
        </w:trPr>
        <w:tc>
          <w:tcPr>
            <w:tcW w:w="5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Swaps - BRENT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1,288,000</w:t>
            </w:r>
          </w:p>
        </w:tc>
        <w:tc>
          <w:tcPr>
            <w:tcW w:w="8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730,000</w:t>
            </w:r>
          </w:p>
        </w:tc>
        <w:tc>
          <w:tcPr>
            <w:tcW w:w="76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66.00</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Basis Swaps - WTI Cushing</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8,280,000</w:t>
            </w:r>
          </w:p>
        </w:tc>
        <w:tc>
          <w:tcPr>
            <w:tcW w:w="8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15,120,000</w:t>
            </w:r>
          </w:p>
        </w:tc>
        <w:tc>
          <w:tcPr>
            <w:tcW w:w="7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5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Swaps - Henry Hub</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12,880,000</w:t>
            </w:r>
          </w:p>
        </w:tc>
        <w:tc>
          <w:tcPr>
            <w:tcW w:w="8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Basis Swaps - Waha Hub</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12,880,000</w:t>
            </w:r>
          </w:p>
        </w:tc>
        <w:tc>
          <w:tcPr>
            <w:tcW w:w="8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18,250,000</w:t>
            </w:r>
          </w:p>
        </w:tc>
        <w:tc>
          <w:tcPr>
            <w:tcW w:w="7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7"/>
        </w:trPr>
        <w:tc>
          <w:tcPr>
            <w:tcW w:w="5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Liquid Swaps - Mont Belvieu</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1,380,000</w:t>
            </w:r>
          </w:p>
        </w:tc>
        <w:tc>
          <w:tcPr>
            <w:tcW w:w="8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5380" w:type="dxa"/>
            <w:vAlign w:val="bottom"/>
          </w:tcPr>
          <w:p>
            <w:pPr>
              <w:spacing w:after="0"/>
              <w:rPr>
                <w:sz w:val="24"/>
                <w:szCs w:val="24"/>
                <w:color w:val="auto"/>
              </w:rPr>
            </w:pPr>
          </w:p>
        </w:tc>
        <w:tc>
          <w:tcPr>
            <w:tcW w:w="13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4"/>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WTI Magellan East</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WTI Magellan East</w:t>
            </w:r>
          </w:p>
        </w:tc>
      </w:tr>
      <w:tr>
        <w:trPr>
          <w:trHeight w:val="238"/>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Oil Three-Way Collars</w:t>
            </w:r>
          </w:p>
        </w:tc>
        <w:tc>
          <w:tcPr>
            <w:tcW w:w="14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WTI Cushing</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Brent</w:t>
            </w:r>
          </w:p>
        </w:tc>
        <w:tc>
          <w:tcPr>
            <w:tcW w:w="30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1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WTI Cushing</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Brent</w:t>
            </w:r>
          </w:p>
        </w:tc>
        <w:tc>
          <w:tcPr>
            <w:tcW w:w="3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Houston</w:t>
            </w:r>
          </w:p>
        </w:tc>
      </w:tr>
      <w:tr>
        <w:trPr>
          <w:trHeight w:val="27"/>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 (Bbls)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920,000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3,650,000</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6,588,000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5,110,000</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 put price (per Bbl)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50.00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Floor price (per Bbl)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Ceiling price (per Bbl)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78.70</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66.10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67.06</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68.81</w:t>
            </w: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Put Spreads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Volume (Bbls)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1,715,500</w:t>
            </w:r>
          </w:p>
        </w:tc>
        <w:tc>
          <w:tcPr>
            <w:tcW w:w="240" w:type="dxa"/>
            <w:vAlign w:val="bottom"/>
          </w:tcPr>
          <w:p>
            <w:pPr>
              <w:spacing w:after="0"/>
              <w:rPr>
                <w:sz w:val="21"/>
                <w:szCs w:val="21"/>
                <w:color w:val="auto"/>
              </w:rPr>
            </w:pPr>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1,222,750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Put - Sell price (per Bbl)</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Put - Buy price (per Bbl)</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offsetting of derivative assets and liabilities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that are with the same counterparty and are subject to contractual terms which provide for net settlement.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gross amounts of recognized derivative assets and liabilities, the amounts offset under master netting arrangements with counterparties and the resulting net amounts presented in the Company’s consolidated balance sheets as of June 30, 2019 and December 31,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480" w:type="dxa"/>
            <w:vAlign w:val="bottom"/>
          </w:tcPr>
          <w:p>
            <w:pPr>
              <w:spacing w:after="0"/>
              <w:rPr>
                <w:sz w:val="20"/>
                <w:szCs w:val="20"/>
                <w:color w:val="auto"/>
              </w:rPr>
            </w:pPr>
          </w:p>
        </w:tc>
        <w:tc>
          <w:tcPr>
            <w:tcW w:w="22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4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amounts of assets presented in the Consolidated Balance Sheet</w:t>
            </w:r>
          </w:p>
        </w:tc>
        <w:tc>
          <w:tcPr>
            <w:tcW w:w="3300" w:type="dxa"/>
            <w:vAlign w:val="bottom"/>
            <w:tcBorders>
              <w:bottom w:val="single" w:sz="8" w:color="CCEEFF"/>
            </w:tcBorders>
            <w:gridSpan w:val="2"/>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16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97"/>
        </w:trPr>
        <w:tc>
          <w:tcPr>
            <w:tcW w:w="5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amounts of assets presented in the Consolidated Balance Sheet</w:t>
            </w:r>
          </w:p>
        </w:tc>
        <w:tc>
          <w:tcPr>
            <w:tcW w:w="164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1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311"/>
        </w:trPr>
        <w:tc>
          <w:tcPr>
            <w:tcW w:w="54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amounts of liabilities presented in the Consolidated Balance Sheet</w:t>
            </w:r>
          </w:p>
        </w:tc>
        <w:tc>
          <w:tcPr>
            <w:tcW w:w="16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amounts of liabilities presented in the Consolidated Balance Sheet</w:t>
            </w:r>
          </w:p>
        </w:tc>
        <w:tc>
          <w:tcPr>
            <w:tcW w:w="3300" w:type="dxa"/>
            <w:vAlign w:val="bottom"/>
            <w:gridSpan w:val="2"/>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16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33</w:t>
            </w: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4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net amounts are classified as current or noncurrent based on their anticipated settlement dates. The net fair value of the Company’s derivative assets and liabilities and their locations on the consolidated balance sheet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480" w:type="dxa"/>
            <w:vAlign w:val="bottom"/>
          </w:tcPr>
          <w:p>
            <w:pPr>
              <w:spacing w:after="0"/>
              <w:rPr>
                <w:sz w:val="20"/>
                <w:szCs w:val="20"/>
                <w:color w:val="auto"/>
              </w:rPr>
            </w:pPr>
          </w:p>
        </w:tc>
        <w:tc>
          <w:tcPr>
            <w:tcW w:w="22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0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4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 derivative instruments</w:t>
            </w:r>
          </w:p>
        </w:tc>
        <w:tc>
          <w:tcPr>
            <w:tcW w:w="1660" w:type="dxa"/>
            <w:vAlign w:val="bottom"/>
            <w:tcBorders>
              <w:bottom w:val="single" w:sz="8" w:color="CCEEFF"/>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 derivative instruments</w:t>
            </w:r>
          </w:p>
        </w:tc>
        <w:tc>
          <w:tcPr>
            <w:tcW w:w="16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1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r>
        <w:trPr>
          <w:trHeight w:val="20"/>
        </w:trPr>
        <w:tc>
          <w:tcPr>
            <w:tcW w:w="70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 derivative instruments</w:t>
            </w:r>
          </w:p>
        </w:tc>
        <w:tc>
          <w:tcPr>
            <w:tcW w:w="166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16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liabilities: derivative instruments</w:t>
            </w:r>
          </w:p>
        </w:tc>
        <w:tc>
          <w:tcPr>
            <w:tcW w:w="1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60" w:type="dxa"/>
            <w:vAlign w:val="bottom"/>
            <w:tcBorders>
              <w:top w:val="single" w:sz="8" w:color="auto"/>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16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70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the Company’s derivatives have been designated as hedges. As such, all changes in fair value are immediately recognized in earnings. The following table summarizes the gains and losses on derivative instruments included in the consolidated statements of operations: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6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fair value of open non-hedge derivative instruments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settlement of non-hedge derivative instruments</w:t>
            </w:r>
          </w:p>
        </w:tc>
        <w:tc>
          <w:tcPr>
            <w:tcW w:w="9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6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6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 as of the reporting date.</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not corroborated by market data and may be used with internally developed methodologies that result in management’s best estimate of fair value.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values of proved oil and natural gas properties assumed in business combinations using discounted cash flow techniques and based on market assumptions as to the future commodity prices, internal estimates of future quantities of oil and natural gas reserves, future estimated rates of production, expected recovery rates and risk-adjustment discounts. The estimated fair values of unevaluated oil and natural gas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79"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properties were based on the location, engineering and geological studies, historical well performance, and applicable mineral lease terms. Given the unobservable nature of the inputs, the estimated fair values of oil and natural gas properties assumed is deemed to use Level 3 inputs. The asset retirement obligations assumed as part of business combinations are estimated using the same assumptions and methodology as described below.</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estimates asset retirement obligations pursuant to the provisions of the Financial Accounting Standards Board issued Accounting Standards Codification Topic 410, “Asset Retirement and Environmental Obligations”. The initial measurement of asset retirement obligations at fair value is calculated using discounted cash flow techniques and based on internal estimates of future retirement costs associated with the future plugging and abandonment of wells and related facilities. Given the unobservable nature of the inputs, including plugging costs and useful lives, the initial measurement of the asset retirement obligation liability is deemed to use Level 3 inputs. See Note 9—Asset Retirement Obligations for further discussion of the Company’s asset retirement obligations.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reported at fair value on a recurring basis, including the Company’s derivative instruments and Viper’s cost method investment. The fair value of Viper’s investment is determined using quoted market prices. These valuations are Level 1 inputs. The fair values of the Company’s fixed price swaps, fixed price basis swaps and costless collars are measured internally using established commodity futures price strips for the underlying commodity provided by a reputable third party, the contracted notional volumes, and time to maturity. These valuations are Level 2 inputs.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fair value measurement information for financial assets and liabilities measured at fair value on a recurring basis 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June 30, 2019 and December 31, 2018.:</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0"/>
        </w:trPr>
        <w:tc>
          <w:tcPr>
            <w:tcW w:w="4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900" w:type="dxa"/>
            <w:vAlign w:val="bottom"/>
          </w:tcPr>
          <w:p>
            <w:pPr>
              <w:spacing w:after="0"/>
              <w:rPr>
                <w:sz w:val="24"/>
                <w:szCs w:val="24"/>
                <w:color w:val="auto"/>
              </w:rPr>
            </w:pPr>
          </w:p>
        </w:tc>
      </w:tr>
      <w:tr>
        <w:trPr>
          <w:trHeight w:val="27"/>
        </w:trPr>
        <w:tc>
          <w:tcPr>
            <w:tcW w:w="4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4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w:t>
            </w: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price swaps</w:t>
            </w: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price swaps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0200" w:type="dxa"/>
            <w:vAlign w:val="bottom"/>
            <w:gridSpan w:val="13"/>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Viper’s cost method investment during the periods presented:</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4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7"/>
        </w:trPr>
        <w:tc>
          <w:tcPr>
            <w:tcW w:w="4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Value at December 31, 2017</w:t>
            </w: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5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Impact of adoption of Accounting Standards Update 2016-01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investment</w:t>
            </w:r>
          </w:p>
        </w:tc>
        <w:tc>
          <w:tcPr>
            <w:tcW w:w="8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Value at June 30, 2018</w:t>
            </w: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1"/>
        </w:trPr>
        <w:tc>
          <w:tcPr>
            <w:tcW w:w="4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Value at December 31, 2018</w:t>
            </w: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investment</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Value at June 30, 2019</w:t>
            </w: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79"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fair value of financial instruments that are not recorded at fair value in the consolidated balance sheets:</w:t>
      </w:r>
    </w:p>
    <w:p>
      <w:pPr>
        <w:spacing w:after="0" w:line="167" w:lineRule="exact"/>
        <w:rPr>
          <w:sz w:val="20"/>
          <w:szCs w:val="20"/>
          <w:color w:val="auto"/>
        </w:rPr>
      </w:pPr>
    </w:p>
    <w:tbl>
      <w:tblPr>
        <w:tblLayout w:type="fixed"/>
        <w:tblInd w:w="5500" w:type="dxa"/>
        <w:tblCellMar>
          <w:top w:w="0" w:type="dxa"/>
          <w:left w:w="0" w:type="dxa"/>
          <w:bottom w:w="0" w:type="dxa"/>
          <w:right w:w="0" w:type="dxa"/>
        </w:tblCellMar>
      </w:tblPr>
      <w:tr>
        <w:trPr>
          <w:trHeight w:val="238"/>
        </w:trPr>
        <w:tc>
          <w:tcPr>
            <w:tcW w:w="30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5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500" w:type="dxa"/>
            <w:vAlign w:val="bottom"/>
          </w:tcPr>
          <w:p>
            <w:pPr>
              <w:spacing w:after="0"/>
              <w:rPr>
                <w:sz w:val="20"/>
                <w:szCs w:val="20"/>
                <w:color w:val="auto"/>
              </w:rPr>
            </w:pPr>
          </w:p>
        </w:tc>
      </w:tr>
      <w:tr>
        <w:trPr>
          <w:trHeight w:val="27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5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17145</wp:posOffset>
            </wp:positionV>
            <wp:extent cx="37649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1,490</w:t>
            </w:r>
          </w:p>
        </w:tc>
      </w:tr>
      <w:tr>
        <w:trPr>
          <w:trHeight w:val="27"/>
        </w:trPr>
        <w:tc>
          <w:tcPr>
            <w:tcW w:w="9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4.625%</w:t>
            </w:r>
          </w:p>
        </w:tc>
        <w:tc>
          <w:tcPr>
            <w:tcW w:w="38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Notes due 2021</w:t>
            </w:r>
            <w:r>
              <w:rPr>
                <w:rFonts w:ascii="Times New Roman" w:cs="Times New Roman" w:eastAsia="Times New Roman" w:hAnsi="Times New Roman"/>
                <w:sz w:val="25"/>
                <w:szCs w:val="25"/>
                <w:color w:val="auto"/>
                <w:vertAlign w:val="superscript"/>
              </w:rPr>
              <w:t>(1)</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r>
      <w:tr>
        <w:trPr>
          <w:trHeight w:val="270"/>
        </w:trPr>
        <w:tc>
          <w:tcPr>
            <w:tcW w:w="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7.320%</w:t>
            </w:r>
          </w:p>
        </w:tc>
        <w:tc>
          <w:tcPr>
            <w:tcW w:w="38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A, due 2022</w:t>
            </w:r>
            <w:r>
              <w:rPr>
                <w:rFonts w:ascii="Times New Roman" w:cs="Times New Roman" w:eastAsia="Times New Roman" w:hAnsi="Times New Roman"/>
                <w:sz w:val="25"/>
                <w:szCs w:val="25"/>
                <w:color w:val="auto"/>
                <w:vertAlign w:val="superscript"/>
              </w:rPr>
              <w:t>(1)</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50"/>
        </w:trPr>
        <w:tc>
          <w:tcPr>
            <w:tcW w:w="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4.750%</w:t>
            </w:r>
          </w:p>
        </w:tc>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2024</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r>
      <w:tr>
        <w:trPr>
          <w:trHeight w:val="243"/>
        </w:trPr>
        <w:tc>
          <w:tcPr>
            <w:tcW w:w="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5.375%</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w:t>
            </w:r>
          </w:p>
        </w:tc>
      </w:tr>
      <w:tr>
        <w:trPr>
          <w:trHeight w:val="27"/>
        </w:trPr>
        <w:tc>
          <w:tcPr>
            <w:tcW w:w="9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7.350%</w:t>
            </w:r>
          </w:p>
        </w:tc>
        <w:tc>
          <w:tcPr>
            <w:tcW w:w="38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A, due 2027</w:t>
            </w:r>
            <w:r>
              <w:rPr>
                <w:rFonts w:ascii="Times New Roman" w:cs="Times New Roman" w:eastAsia="Times New Roman" w:hAnsi="Times New Roman"/>
                <w:sz w:val="25"/>
                <w:szCs w:val="25"/>
                <w:color w:val="auto"/>
                <w:vertAlign w:val="superscript"/>
              </w:rPr>
              <w:t>(1)</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7.125%</w:t>
            </w:r>
          </w:p>
        </w:tc>
        <w:tc>
          <w:tcPr>
            <w:tcW w:w="38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Medium-term Notes, Series B, due 2028</w:t>
            </w:r>
            <w:r>
              <w:rPr>
                <w:rFonts w:ascii="Times New Roman" w:cs="Times New Roman" w:eastAsia="Times New Roman" w:hAnsi="Times New Roman"/>
                <w:sz w:val="25"/>
                <w:szCs w:val="25"/>
                <w:color w:val="auto"/>
                <w:vertAlign w:val="superscript"/>
              </w:rPr>
              <w:t>(1)</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50"/>
        </w:trPr>
        <w:tc>
          <w:tcPr>
            <w:tcW w:w="47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Viper revolving credit facility</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r>
      <w:tr>
        <w:trPr>
          <w:trHeight w:val="243"/>
        </w:trPr>
        <w:tc>
          <w:tcPr>
            <w:tcW w:w="4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Rattler revolving credit facility</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DrillCo Agreement</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6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Energen Merger, Energen became a wholly owned subsidiary of the Company and remained the issuer of the Energen Notes. These notes were marked to fair value with the excess being amortized.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revolving credit facility, Viper’s revolving credit facility and Rattler’s revolving credit facility approximates their carrying value based on borrowing rates available to the Company for bank loans with similar terms and maturities and is classified as Level 2 in the fair value hierarchy. The fair value of the Senior Notes and the Energen Notes was determined using the June 30, 2019 quoted market price, a Level 1 classification in the fair value hierarchy.</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leases certain drilling rigs, facilities, compression and other equipment.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in Note 2—Summary of Significant Accounting Policies, the Company adopted ASU 2016-02, ASU 2018-11 and ASU 2019-01 on January 1, 2019 using the optional transition method of adoption. The Company elected a package of practical expedients that together allows an entity to not reassess (i) whether a contract is or contains a lease, (ii) lease classification and (iii) initial direct costs. In addition, the Company elected the following practical expedients: (i) to not reassess certain land easements; (ii) to not apply the recognition requirements under the standard to short-term leases; (iii) to not reassess lease terms on leases entered into prior to the effective date of adoption; and (iv) lessor accounting policy election to exclude lessor costs paid directly by the lessee.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leases where the Company is the lessee, the Company recorded a total of $13 million in right-of-use assets and corresponding new lease liabilities in other on its Condensed Consolidated Balance Sheet representing the present value of its future operating lease payments. Adoption of the standards did not require an adjustment to the opening balance of retained earnings. The discount rate used to determine present value was based on the rate of interest that the Company estimated it would have to pay to borrow (on a collateralized-basis over a similar term) an amount equal to the lease payments in a similar economic environment as of January 1, 2019. The Company is required to reassess the discount rate for any new and modified lease contracts as of the lease effective date.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right-of-use assets and lease liabilities recognized upon adoption of ASU 2016-02 were based on the lease classifications, lease commitment amounts and terms recognized under the prior lease accounting guidance. Leases with an initial term of twelve months or less are considered short-term leases and are not recorded on the balance sheet.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9"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operating lease costs for the three months and six months ended June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30, 2019</w:t>
            </w:r>
          </w:p>
        </w:tc>
        <w:tc>
          <w:tcPr>
            <w:tcW w:w="780" w:type="dxa"/>
            <w:vAlign w:val="bottom"/>
          </w:tcPr>
          <w:p>
            <w:pPr>
              <w:spacing w:after="0"/>
              <w:rPr>
                <w:sz w:val="20"/>
                <w:szCs w:val="20"/>
                <w:color w:val="auto"/>
              </w:rPr>
            </w:pPr>
          </w:p>
        </w:tc>
        <w:tc>
          <w:tcPr>
            <w:tcW w:w="16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6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cash paid for operating lease liabilities, and reported in cash flows provided by operating activities on the Company's Statement of Condensed Consolidated Cash Flows, was $12 million. During the six months ended June 30, 2019, the Company recorded an additional $13 million of right-of-use assets in exchange for new lease liabilities.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operating lease right-of-use assets were reported in other assets and the current and noncurrent portions of the operating lease liabilities were reported in other accrued liabilities and other long-term liabilities, respectively, on the Condensed Consolidated Balance Sheet. As of June 30, 2019, the operating right-of-use assets were $23 million and operating lease liabilities were $23 million, of which $17 million was classified as current. As of June 30, 2019, the weighted average remaining lease term was 1.5 years and the weighted average discount rate was 8.4%.</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Schedule of Operating Lease Liability Maturities</w:t>
      </w:r>
      <w:r>
        <w:rPr>
          <w:rFonts w:ascii="Times New Roman" w:cs="Times New Roman" w:eastAsia="Times New Roman" w:hAnsi="Times New Roman"/>
          <w:sz w:val="18"/>
          <w:szCs w:val="18"/>
          <w:color w:val="auto"/>
        </w:rPr>
        <w:t>. The following table summarizes undiscounted cash flows owed by the Company to lessors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contractual agreements in effect as of June 30, 2019: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 June 30, 2019</w:t>
            </w:r>
          </w:p>
        </w:tc>
      </w:tr>
      <w:tr>
        <w:trPr>
          <w:trHeight w:val="27"/>
        </w:trPr>
        <w:tc>
          <w:tcPr>
            <w:tcW w:w="9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
        </w:trPr>
        <w:tc>
          <w:tcPr>
            <w:tcW w:w="9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(July - December)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9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9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9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9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leases in which the Company is the lessor, the Company (i) retained classification of our historical leases as we are not required to reassess classification upon adoption of the new standard, (ii) expensed indirect leasing costs in connection with new or extended tenant leases, the recognition of which would have been deferred under prior accounting guidance and (iii) aggregated revenue from our lease components and non-lease components (comprised of tenant expense reimbursements) into revenue from rental properties.</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a party to various legal proceedings, disputes and claims arising in the course of its business, including those that arise from interpretation of federal and state laws and regulations affecting the natural gas and crude oil industry. While the ultimate outcome of the pending proceedings, disputes or claims, and any resulting impact on the Company, cannot be predicted with certainty, the Company believes that none of these matters, if ultimately decided adversely, will have a material adverse effect on the Company’s financial condition, cash flows or results of operations.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79"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Divestiture of Certain Conventional and Non-Core Assets Acquired from Energen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 2019, the Company completed its divestiture of 103,750 net acres of certain conventional and non-core Permian assets, which were acquired by the Company in the Merger, for an aggregate sale price of $285 million. This divestiture did not result in a gain or loss because it did not have a significant effect on the Company’s reserve base or depreciation, depletion and amortization rate.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2019 Dividend Declaration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August 5, 2019, the Board of Directors of the Company declared a cash dividend for the second quarter of 2019 of $0.1875 per share of common stock, payable on August 26, 2019 to its stockholders of record at the close of business on August 16, 2019.</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Commodity Contracts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Subsequent to June 30, 2019, the Company entered into new fixed price basis swaps. The Company’s derivative contracts are based upon reported settlement prices on commodity exchanges, with crude oil derivative settlements based on New York Mercantile Exchange West Texas Intermediate pricing (Cushing and Magellan East Houston) and Crude Oil Brent.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279"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derivative contracts entered into by the Company subsequent to June 30, 2019. When aggregating multiple contracts, the weighted average contract price is disclosed.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Fixed Price Swap (per</w:t>
            </w:r>
          </w:p>
        </w:tc>
      </w:tr>
      <w:tr>
        <w:trPr>
          <w:trHeight w:val="238"/>
        </w:trPr>
        <w:tc>
          <w:tcPr>
            <w:tcW w:w="6640" w:type="dxa"/>
            <w:vAlign w:val="bottom"/>
          </w:tcPr>
          <w:p>
            <w:pPr>
              <w:spacing w:after="0"/>
              <w:rPr>
                <w:sz w:val="20"/>
                <w:szCs w:val="20"/>
                <w:color w:val="auto"/>
              </w:rPr>
            </w:pPr>
          </w:p>
        </w:tc>
        <w:tc>
          <w:tcPr>
            <w:tcW w:w="2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Volume (Bbls/MMBtu)</w:t>
            </w:r>
          </w:p>
        </w:tc>
        <w:tc>
          <w:tcPr>
            <w:tcW w:w="240" w:type="dxa"/>
            <w:vAlign w:val="bottom"/>
          </w:tcPr>
          <w:p>
            <w:pPr>
              <w:spacing w:after="0"/>
              <w:rPr>
                <w:sz w:val="20"/>
                <w:szCs w:val="20"/>
                <w:color w:val="auto"/>
              </w:rPr>
            </w:pP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Bbl/MMBtu)</w:t>
            </w:r>
          </w:p>
        </w:tc>
      </w:tr>
      <w:tr>
        <w:trPr>
          <w:trHeight w:val="27"/>
        </w:trPr>
        <w:tc>
          <w:tcPr>
            <w:tcW w:w="66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January 2020 - December 2020</w:t>
            </w: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Oil Swaps - WTI</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57.15</w:t>
            </w:r>
          </w:p>
        </w:tc>
      </w:tr>
      <w:tr>
        <w:trPr>
          <w:trHeight w:val="27"/>
        </w:trPr>
        <w:tc>
          <w:tcPr>
            <w:tcW w:w="6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6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Oil Swaps - BRENT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63.00</w:t>
            </w:r>
          </w:p>
        </w:tc>
      </w:tr>
      <w:tr>
        <w:trPr>
          <w:trHeight w:val="27"/>
        </w:trPr>
        <w:tc>
          <w:tcPr>
            <w:tcW w:w="66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January 2020 -</w:t>
            </w:r>
          </w:p>
        </w:tc>
      </w:tr>
      <w:tr>
        <w:trPr>
          <w:trHeight w:val="238"/>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Gas Swap Double-Up - Waha Hub</w:t>
            </w:r>
          </w:p>
        </w:tc>
        <w:tc>
          <w:tcPr>
            <w:tcW w:w="22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2020</w:t>
            </w:r>
          </w:p>
        </w:tc>
      </w:tr>
      <w:tr>
        <w:trPr>
          <w:trHeight w:val="27"/>
        </w:trPr>
        <w:tc>
          <w:tcPr>
            <w:tcW w:w="9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 (Mcf)</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10,980,000</w:t>
            </w: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Swap price (per Mcf)</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9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 price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9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January 2020 -</w:t>
            </w:r>
          </w:p>
        </w:tc>
        <w:tc>
          <w:tcPr>
            <w:tcW w:w="0" w:type="dxa"/>
            <w:vAlign w:val="bottom"/>
          </w:tcPr>
          <w:p>
            <w:pPr>
              <w:spacing w:after="0"/>
              <w:rPr>
                <w:sz w:val="1"/>
                <w:szCs w:val="1"/>
                <w:color w:val="auto"/>
              </w:rPr>
            </w:pPr>
          </w:p>
        </w:tc>
      </w:tr>
      <w:tr>
        <w:trPr>
          <w:trHeight w:val="238"/>
        </w:trPr>
        <w:tc>
          <w:tcPr>
            <w:tcW w:w="9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2020</w:t>
            </w:r>
          </w:p>
        </w:tc>
        <w:tc>
          <w:tcPr>
            <w:tcW w:w="0" w:type="dxa"/>
            <w:vAlign w:val="bottom"/>
          </w:tcPr>
          <w:p>
            <w:pPr>
              <w:spacing w:after="0"/>
              <w:rPr>
                <w:sz w:val="1"/>
                <w:szCs w:val="1"/>
                <w:color w:val="auto"/>
              </w:rPr>
            </w:pPr>
          </w:p>
        </w:tc>
      </w:tr>
      <w:tr>
        <w:trPr>
          <w:trHeight w:val="27"/>
        </w:trPr>
        <w:tc>
          <w:tcPr>
            <w:tcW w:w="96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Oil Three-Way Collars</w:t>
            </w: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WTI</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 (Bbls)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366,000</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 put price (per Bbl)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Floor price (per Bbl)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Ceiling price (per Bbl)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Pending Drop-Down and Anticipated Increase in the Borrowing Base under Viper LLC’s Revolving Credit Facility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Subsequent to the end of the second quarter of 2019, Viper entered into a definitive purchase agreement to acquire certain mineral and royalty interests from the Company for 18.3 million of Viper’s newly-issued Class B units, 18.3 million newly-issued units of Viper LLC and $150 million in cash, subject to certain adjustments (the “Pending Drop-Down”). Based on the volume weighted average sales price of Viper’s common units for the 10-trading day period ended July 26, 2019 of approximately $30.07, the transaction is valued at $700 million. The mineral and royalty interests being acquired in the Pending Drop-Down represent approximately 5,090 net royalty acres across the Midland and Delaware Basins, of which over 95% are operated by the Company, and have an average net royalty interest of approximately 3.2%. After giving pro forma effect to the Pending Drop-Down, Viper’s mineral interests at June 30, 2019 would have totaled 20,960 net royalty acres. Viper anticipates closing the Pending Drop-Down during the fourth quarter of 2019. However, the Pending Drop-Down remains subject to completion of due diligence and satisfaction of other closing conditions. There can be no assurance that Viper will complete the Pending Drop-Down on the terms contemplated in this report or at all. Viper intends to finance the cash portion of the purchase price of the Pending Drop-Down through a combination of cash on hand and borrowings under Viper LLC’s revolving credit facility.</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closing of the Pending Drop-Down, Viper anticipates that the borrowing base under Viper’s revolving credit facility will be increased by $125 million to $725 million from $600 million at June 30, 2019.</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REPORT OF BUSINESS SEGMENTS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reports its operations in two business segments: (i) the exploration and production segment, which is engaged in the acquisition, development, exploration and exploitation of unconventional, onshore oil and natural gas reserves in the Permian Basin in West Texas and (ii) the midstream operations segment. The following tables summarize the results of the Company's business segments during the periods presented: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279"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Exploration and</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Midstream</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Production</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 2019: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5"/>
            <w:shd w:val="clear" w:color="auto" w:fill="CCEEFF"/>
          </w:tcPr>
          <w:p>
            <w:pPr>
              <w:ind w:left="78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Third-party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1,021</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revenues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1,021</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Diamondback Energy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22,138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23,171</w:t>
            </w: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Exploration and</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Midstream</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Production</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 2018: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5"/>
            <w:shd w:val="clear" w:color="auto" w:fill="CCEEFF"/>
          </w:tcPr>
          <w:p>
            <w:pPr>
              <w:ind w:left="78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Third-party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revenues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527</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Diamondback Energy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8,473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8,954</w:t>
            </w: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Exploration and</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Midstream</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Production</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2019: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5"/>
            <w:shd w:val="clear" w:color="auto" w:fill="CCEEFF"/>
          </w:tcPr>
          <w:p>
            <w:pPr>
              <w:ind w:left="78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Third-party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revenues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Diamondback Energy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22,138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23,171</w:t>
            </w:r>
          </w:p>
        </w:tc>
      </w:tr>
      <w:tr>
        <w:trPr>
          <w:trHeight w:val="702"/>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Exploration and</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Midstream</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Production</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2018: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5"/>
            <w:shd w:val="clear" w:color="auto" w:fill="CCEEFF"/>
          </w:tcPr>
          <w:p>
            <w:pPr>
              <w:ind w:left="78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Third-party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1,006</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revenues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1,006</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Diamondback Energy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8,473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8,954</w:t>
            </w:r>
          </w:p>
        </w:tc>
      </w:tr>
    </w:tbl>
    <w:p>
      <w:pPr>
        <w:spacing w:after="0" w:line="200" w:lineRule="exact"/>
        <w:rPr>
          <w:sz w:val="20"/>
          <w:szCs w:val="20"/>
          <w:color w:val="auto"/>
        </w:rPr>
      </w:pP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GUARANTOR FINANCIAL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June 30, 2019, Diamondback E&amp;P LLC, Diamondback O&amp;G LLC and Energen Corporation and its subsidiaries (the “Guarantor Subsidiaries”) are guarantors under the 2024 Indenture and the 2025 Indenture. In connection with the issuance of the 2024 Senior Notes and the 2025 Senior Notes, Viper, Viper’s General Partner, Viper LLC and Rattler LLC were designated as Non-Guarantor Subsidiaries. The following presents condensed consolidated financial information for the Company (which for purposes of this Note 22 is referred to as the “Parent”), the Guarantor Subsidiaries and the Non–Guarantor Subsidiaries on a consolidated basis. Elimination entries presented are necessary to combine the entities. The information is presented in accordance with the requirements of Rule 3-10 under the SEC’s Regulation S-X. The financial information may not necessarily be indicative of results of operations, cash flows or financial position had the Guarantor Subsidiaries operated as independent entities. The Company has not presented separate financial and narrative information for each of the Guarantor Subsidiaries because it believes such financial and narrative information would not provide any additional information that would be material in evaluating the sufficiency of the Guarantor Subsidiaries.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Rattler entities were not guarantors under the 2024 Senior Notes or the 2025 Senior Notes for the previous periods presented; therefore, the schedules that follow have been adjusted to reflect this correction of an immaterial 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279" w:right="2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2019</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23"/>
                <w:szCs w:val="2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23"/>
                <w:szCs w:val="23"/>
                <w:color w:val="auto"/>
              </w:rPr>
            </w:pPr>
          </w:p>
        </w:tc>
        <w:tc>
          <w:tcPr>
            <w:tcW w:w="11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326</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517</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receivable - related party</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Intercompany receivable</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r>
      <w:tr>
        <w:trPr>
          <w:trHeight w:val="270"/>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r>
      <w:tr>
        <w:trPr>
          <w:trHeight w:val="250"/>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4,679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1,791</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972</w:t>
            </w:r>
          </w:p>
        </w:tc>
      </w:tr>
      <w:tr>
        <w:trPr>
          <w:trHeight w:val="269"/>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Oil and natural gas properties, at cost, full cost method of accounting</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22,388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24,076</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Midstream assets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828</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property, equipment and land</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r>
      <w:tr>
        <w:trPr>
          <w:trHeight w:val="270"/>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Accumulated depletion, depreciation, amortization and impairment</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w:t>
            </w:r>
          </w:p>
        </w:tc>
      </w:tr>
      <w:tr>
        <w:trPr>
          <w:trHeight w:val="250"/>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19,327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2,433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21,603</w:t>
            </w:r>
          </w:p>
        </w:tc>
      </w:tr>
      <w:tr>
        <w:trPr>
          <w:trHeight w:val="25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Funds held in escrow</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187</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 asset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 real estate, net</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w:t>
            </w:r>
          </w:p>
        </w:tc>
      </w:tr>
      <w:tr>
        <w:trPr>
          <w:trHeight w:val="270"/>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111</w:t>
            </w:r>
          </w:p>
        </w:tc>
      </w:tr>
      <w:tr>
        <w:trPr>
          <w:trHeight w:val="282"/>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16,687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21,231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3,008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(17,755)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23,171</w:t>
            </w:r>
          </w:p>
        </w:tc>
      </w:tr>
      <w:tr>
        <w:trPr>
          <w:trHeight w:val="251"/>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payable-trade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204</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Intercompany payable</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573</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239</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and royalties payable</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r>
      <w:tr>
        <w:trPr>
          <w:trHeight w:val="250"/>
        </w:trPr>
        <w:tc>
          <w:tcPr>
            <w:tcW w:w="43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5,946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1,180</w:t>
            </w:r>
          </w:p>
        </w:tc>
      </w:tr>
      <w:tr>
        <w:trPr>
          <w:trHeight w:val="25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4,472</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1,909</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r>
      <w:tr>
        <w:trPr>
          <w:trHeight w:val="255"/>
        </w:trPr>
        <w:tc>
          <w:tcPr>
            <w:tcW w:w="43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2,683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9,731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7,721</w:t>
            </w:r>
          </w:p>
        </w:tc>
      </w:tr>
      <w:tr>
        <w:trPr>
          <w:trHeight w:val="259"/>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14,004</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1,446</w:t>
            </w:r>
          </w:p>
        </w:tc>
      </w:tr>
      <w:tr>
        <w:trPr>
          <w:trHeight w:val="250"/>
        </w:trPr>
        <w:tc>
          <w:tcPr>
            <w:tcW w:w="43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equity</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14,004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11,500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2,669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15,450</w:t>
            </w:r>
          </w:p>
        </w:tc>
      </w:tr>
      <w:tr>
        <w:trPr>
          <w:trHeight w:val="242"/>
        </w:trPr>
        <w:tc>
          <w:tcPr>
            <w:tcW w:w="43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16,687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21,231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3,008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(17,755)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23,171</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90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279" w:right="239" w:bottom="90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23"/>
                <w:szCs w:val="2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23"/>
                <w:szCs w:val="23"/>
                <w:color w:val="auto"/>
              </w:rPr>
            </w:pP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9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392</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receivable - related party</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Intercompany receivable</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231</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4,556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925</w:t>
            </w:r>
          </w:p>
        </w:tc>
      </w:tr>
      <w:tr>
        <w:trPr>
          <w:trHeight w:val="269"/>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Oil and natural gas properties, at cost, full cost method of accounting</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22,299</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Midstream assets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700</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property, equipment and land</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Accumulated depletion, depreciation, amortization and impairment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18,455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1,933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20,372</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Investment in real estate, net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tax asset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w:t>
            </w:r>
          </w:p>
        </w:tc>
      </w:tr>
      <w:tr>
        <w:trPr>
          <w:trHeight w:val="282"/>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16,132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19,596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2,245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21,596</w:t>
            </w:r>
          </w:p>
        </w:tc>
      </w:tr>
      <w:tr>
        <w:trPr>
          <w:trHeight w:val="251"/>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payable-trade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Intercompany payable</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495</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253</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and royalties payable</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5,609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1,019</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2,036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4,464</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1,785</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2,432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9,190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7,429</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13,700</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467</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13,700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10,406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1,765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14,167</w:t>
            </w:r>
          </w:p>
        </w:tc>
      </w:tr>
      <w:tr>
        <w:trPr>
          <w:trHeight w:val="242"/>
        </w:trPr>
        <w:tc>
          <w:tcPr>
            <w:tcW w:w="4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21,596</w:t>
            </w: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8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279" w:right="239" w:bottom="86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23"/>
                <w:szCs w:val="23"/>
                <w:color w:val="auto"/>
              </w:rPr>
            </w:pPr>
          </w:p>
        </w:tc>
        <w:tc>
          <w:tcPr>
            <w:tcW w:w="11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sales</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947</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Natural gas sales</w:t>
            </w:r>
          </w:p>
        </w:tc>
        <w:tc>
          <w:tcPr>
            <w:tcW w:w="8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Natural gas liquid sales</w:t>
            </w:r>
          </w:p>
        </w:tc>
        <w:tc>
          <w:tcPr>
            <w:tcW w:w="880" w:type="dxa"/>
            <w:vAlign w:val="bottom"/>
          </w:tcPr>
          <w:p>
            <w:pPr>
              <w:spacing w:after="0"/>
              <w:rPr>
                <w:sz w:val="23"/>
                <w:szCs w:val="23"/>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Royalty income</w:t>
            </w:r>
          </w:p>
        </w:tc>
        <w:tc>
          <w:tcPr>
            <w:tcW w:w="8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bonus</w:t>
            </w:r>
          </w:p>
        </w:tc>
        <w:tc>
          <w:tcPr>
            <w:tcW w:w="880" w:type="dxa"/>
            <w:vAlign w:val="bottom"/>
          </w:tcPr>
          <w:p>
            <w:pPr>
              <w:spacing w:after="0"/>
              <w:rPr>
                <w:sz w:val="23"/>
                <w:szCs w:val="23"/>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services</w:t>
            </w:r>
          </w:p>
        </w:tc>
        <w:tc>
          <w:tcPr>
            <w:tcW w:w="8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r>
      <w:tr>
        <w:trPr>
          <w:trHeight w:val="265"/>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operating income</w:t>
            </w:r>
          </w:p>
        </w:tc>
        <w:tc>
          <w:tcPr>
            <w:tcW w:w="8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r>
      <w:tr>
        <w:trPr>
          <w:trHeight w:val="255"/>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8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1,021</w:t>
            </w:r>
          </w:p>
        </w:tc>
      </w:tr>
      <w:tr>
        <w:trPr>
          <w:trHeight w:val="259"/>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Lease operating expenses</w:t>
            </w:r>
          </w:p>
        </w:tc>
        <w:tc>
          <w:tcPr>
            <w:tcW w:w="8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880" w:type="dxa"/>
            <w:vAlign w:val="bottom"/>
          </w:tcPr>
          <w:p>
            <w:pPr>
              <w:spacing w:after="0"/>
              <w:rPr>
                <w:sz w:val="23"/>
                <w:szCs w:val="23"/>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Gathering and transportation</w:t>
            </w:r>
          </w:p>
        </w:tc>
        <w:tc>
          <w:tcPr>
            <w:tcW w:w="8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Midstream services</w:t>
            </w:r>
          </w:p>
        </w:tc>
        <w:tc>
          <w:tcPr>
            <w:tcW w:w="880" w:type="dxa"/>
            <w:vAlign w:val="bottom"/>
          </w:tcPr>
          <w:p>
            <w:pPr>
              <w:spacing w:after="0"/>
              <w:rPr>
                <w:sz w:val="23"/>
                <w:szCs w:val="23"/>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8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8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8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operating expense</w:t>
            </w:r>
          </w:p>
        </w:tc>
        <w:tc>
          <w:tcPr>
            <w:tcW w:w="880" w:type="dxa"/>
            <w:vAlign w:val="bottom"/>
          </w:tcPr>
          <w:p>
            <w:pPr>
              <w:spacing w:after="0"/>
              <w:rPr>
                <w:sz w:val="23"/>
                <w:szCs w:val="23"/>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55"/>
        </w:trPr>
        <w:tc>
          <w:tcPr>
            <w:tcW w:w="43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80" w:type="dxa"/>
            <w:vAlign w:val="bottom"/>
            <w:tcBorders>
              <w:top w:val="single" w:sz="8" w:color="auto"/>
              <w:bottom w:val="single" w:sz="8" w:color="auto"/>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610</w:t>
            </w:r>
          </w:p>
        </w:tc>
      </w:tr>
      <w:tr>
        <w:trPr>
          <w:trHeight w:val="24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880" w:type="dxa"/>
            <w:vAlign w:val="bottom"/>
          </w:tcPr>
          <w:p>
            <w:pPr>
              <w:spacing w:after="0"/>
              <w:rPr>
                <w:sz w:val="21"/>
                <w:szCs w:val="21"/>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411</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8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 net</w:t>
            </w:r>
          </w:p>
        </w:tc>
        <w:tc>
          <w:tcPr>
            <w:tcW w:w="880" w:type="dxa"/>
            <w:vAlign w:val="bottom"/>
          </w:tcPr>
          <w:p>
            <w:pPr>
              <w:spacing w:after="0"/>
              <w:rPr>
                <w:sz w:val="23"/>
                <w:szCs w:val="23"/>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75"/>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65"/>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Gain on derivative instruments, net</w:t>
            </w:r>
          </w:p>
        </w:tc>
        <w:tc>
          <w:tcPr>
            <w:tcW w:w="880" w:type="dxa"/>
            <w:vAlign w:val="bottom"/>
          </w:tcPr>
          <w:p>
            <w:pPr>
              <w:spacing w:after="0"/>
              <w:rPr>
                <w:sz w:val="23"/>
                <w:szCs w:val="23"/>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r>
      <w:tr>
        <w:trPr>
          <w:trHeight w:val="250"/>
        </w:trPr>
        <w:tc>
          <w:tcPr>
            <w:tcW w:w="43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r>
      <w:tr>
        <w:trPr>
          <w:trHeight w:val="25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80" w:type="dxa"/>
            <w:vAlign w:val="bottom"/>
          </w:tcPr>
          <w:p>
            <w:pPr>
              <w:spacing w:after="0"/>
              <w:rPr>
                <w:sz w:val="21"/>
                <w:szCs w:val="21"/>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458</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r>
      <w:tr>
        <w:trPr>
          <w:trHeight w:val="24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8"/>
              </w:rPr>
              <w:t>(119)</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356</w:t>
            </w:r>
          </w:p>
        </w:tc>
      </w:tr>
      <w:tr>
        <w:trPr>
          <w:trHeight w:val="270"/>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8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r>
        <w:trPr>
          <w:trHeight w:val="242"/>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(loss) attributable to Diamondback Energy, Inc.</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8"/>
              </w:rPr>
              <w:t>(119)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349</w:t>
            </w:r>
          </w:p>
        </w:tc>
      </w:tr>
      <w:tr>
        <w:trPr>
          <w:trHeight w:val="20"/>
        </w:trPr>
        <w:tc>
          <w:tcPr>
            <w:tcW w:w="4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279"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0"/>
        </w:trPr>
        <w:tc>
          <w:tcPr>
            <w:tcW w:w="4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5"/>
        </w:trPr>
        <w:tc>
          <w:tcPr>
            <w:tcW w:w="4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23"/>
                <w:szCs w:val="2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23"/>
                <w:szCs w:val="23"/>
                <w:color w:val="auto"/>
              </w:rPr>
            </w:pPr>
          </w:p>
        </w:tc>
        <w:tc>
          <w:tcPr>
            <w:tcW w:w="11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sales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461</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Natural gas sales</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Natural gas liquid sales</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Royalty income</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bonus</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services</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r>
      <w:tr>
        <w:trPr>
          <w:trHeight w:val="265"/>
        </w:trPr>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operating income</w:t>
            </w:r>
          </w:p>
        </w:tc>
        <w:tc>
          <w:tcPr>
            <w:tcW w:w="8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55"/>
        </w:trPr>
        <w:tc>
          <w:tcPr>
            <w:tcW w:w="4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8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527</w:t>
            </w:r>
          </w:p>
        </w:tc>
      </w:tr>
      <w:tr>
        <w:trPr>
          <w:trHeight w:val="259"/>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Lease operating expenses</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Gathering and transportation</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Midstream services</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w:t>
            </w:r>
          </w:p>
        </w:tc>
      </w:tr>
      <w:tr>
        <w:trPr>
          <w:trHeight w:val="265"/>
        </w:trPr>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r>
      <w:tr>
        <w:trPr>
          <w:trHeight w:val="255"/>
        </w:trPr>
        <w:tc>
          <w:tcPr>
            <w:tcW w:w="4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246</w:t>
            </w:r>
          </w:p>
        </w:tc>
      </w:tr>
      <w:tr>
        <w:trPr>
          <w:trHeight w:val="245"/>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880" w:type="dxa"/>
            <w:vAlign w:val="bottom"/>
          </w:tcPr>
          <w:p>
            <w:pPr>
              <w:spacing w:after="0"/>
              <w:rPr>
                <w:sz w:val="21"/>
                <w:szCs w:val="21"/>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281</w:t>
            </w:r>
          </w:p>
        </w:tc>
      </w:tr>
      <w:tr>
        <w:trPr>
          <w:trHeight w:val="27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 net</w:t>
            </w:r>
          </w:p>
        </w:tc>
        <w:tc>
          <w:tcPr>
            <w:tcW w:w="880" w:type="dxa"/>
            <w:vAlign w:val="bottom"/>
          </w:tcPr>
          <w:p>
            <w:pPr>
              <w:spacing w:after="0"/>
              <w:rPr>
                <w:sz w:val="23"/>
                <w:szCs w:val="23"/>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75"/>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w:t>
            </w:r>
          </w:p>
        </w:tc>
      </w:tr>
      <w:tr>
        <w:trPr>
          <w:trHeight w:val="265"/>
        </w:trPr>
        <w:tc>
          <w:tcPr>
            <w:tcW w:w="4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derivative instruments, net</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70"/>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on revaluation of investment</w:t>
            </w:r>
          </w:p>
        </w:tc>
        <w:tc>
          <w:tcPr>
            <w:tcW w:w="8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r>
      <w:tr>
        <w:trPr>
          <w:trHeight w:val="250"/>
        </w:trPr>
        <w:tc>
          <w:tcPr>
            <w:tcW w:w="4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880" w:type="dxa"/>
            <w:vAlign w:val="bottom"/>
          </w:tcPr>
          <w:p>
            <w:pPr>
              <w:spacing w:after="0"/>
              <w:rPr>
                <w:sz w:val="21"/>
                <w:szCs w:val="21"/>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r>
      <w:tr>
        <w:trPr>
          <w:trHeight w:val="25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8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294</w:t>
            </w:r>
          </w:p>
        </w:tc>
      </w:tr>
      <w:tr>
        <w:trPr>
          <w:trHeight w:val="265"/>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88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5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8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301</w:t>
            </w:r>
          </w:p>
        </w:tc>
      </w:tr>
      <w:tr>
        <w:trPr>
          <w:trHeight w:val="265"/>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88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w:t>
            </w:r>
          </w:p>
        </w:tc>
      </w:tr>
      <w:tr>
        <w:trPr>
          <w:trHeight w:val="242"/>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Diamondback Energy, Inc.</w:t>
            </w:r>
          </w:p>
        </w:tc>
        <w:tc>
          <w:tcPr>
            <w:tcW w:w="88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219</w:t>
            </w:r>
          </w:p>
        </w:tc>
      </w:tr>
      <w:tr>
        <w:trPr>
          <w:trHeight w:val="20"/>
        </w:trPr>
        <w:tc>
          <w:tcPr>
            <w:tcW w:w="4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00"/>
          </w:cols>
          <w:pgMar w:left="300" w:top="279" w:right="29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5"/>
        </w:trPr>
        <w:tc>
          <w:tcPr>
            <w:tcW w:w="436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5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5"/>
        </w:trPr>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Oil sales</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1,572</w:t>
            </w:r>
          </w:p>
        </w:tc>
        <w:tc>
          <w:tcPr>
            <w:tcW w:w="12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1,690</w:t>
            </w:r>
          </w:p>
        </w:tc>
      </w:tr>
      <w:tr>
        <w:trPr>
          <w:trHeight w:val="275"/>
        </w:trPr>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Natural gas sales</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r>
      <w:tr>
        <w:trPr>
          <w:trHeight w:val="265"/>
        </w:trPr>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Natural gas liquid sales</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132</w:t>
            </w:r>
          </w:p>
        </w:tc>
      </w:tr>
      <w:tr>
        <w:trPr>
          <w:trHeight w:val="275"/>
        </w:trPr>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Royalty income</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Lease bonus</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r>
      <w:tr>
        <w:trPr>
          <w:trHeight w:val="275"/>
        </w:trPr>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Midstream services</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r>
      <w:tr>
        <w:trPr>
          <w:trHeight w:val="265"/>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Other operating income</w:t>
            </w:r>
          </w:p>
        </w:tc>
        <w:tc>
          <w:tcPr>
            <w:tcW w:w="8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r>
      <w:tr>
        <w:trPr>
          <w:trHeight w:val="250"/>
        </w:trPr>
        <w:tc>
          <w:tcPr>
            <w:tcW w:w="4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revenues</w:t>
            </w:r>
          </w:p>
        </w:tc>
        <w:tc>
          <w:tcPr>
            <w:tcW w:w="8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1,711</w:t>
            </w:r>
          </w:p>
        </w:tc>
        <w:tc>
          <w:tcPr>
            <w:tcW w:w="12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1,885</w:t>
            </w:r>
          </w:p>
        </w:tc>
      </w:tr>
      <w:tr>
        <w:trPr>
          <w:trHeight w:val="264"/>
        </w:trPr>
        <w:tc>
          <w:tcPr>
            <w:tcW w:w="5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Costs and expenses:</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5"/>
        </w:trPr>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Lease operating expenses</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236</w:t>
            </w:r>
          </w:p>
        </w:tc>
      </w:tr>
      <w:tr>
        <w:trPr>
          <w:trHeight w:val="265"/>
        </w:trPr>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w:t>
            </w:r>
          </w:p>
        </w:tc>
      </w:tr>
      <w:tr>
        <w:trPr>
          <w:trHeight w:val="275"/>
        </w:trPr>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Gathering and transportation</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r>
      <w:tr>
        <w:trPr>
          <w:trHeight w:val="265"/>
        </w:trPr>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Midstream services</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w:t>
            </w:r>
          </w:p>
        </w:tc>
      </w:tr>
      <w:tr>
        <w:trPr>
          <w:trHeight w:val="275"/>
        </w:trPr>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614</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681</w:t>
            </w:r>
          </w:p>
        </w:tc>
      </w:tr>
      <w:tr>
        <w:trPr>
          <w:trHeight w:val="265"/>
        </w:trPr>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r>
      <w:tr>
        <w:trPr>
          <w:trHeight w:val="275"/>
        </w:trPr>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r>
      <w:tr>
        <w:trPr>
          <w:trHeight w:val="265"/>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Other operating expense</w:t>
            </w:r>
          </w:p>
        </w:tc>
        <w:tc>
          <w:tcPr>
            <w:tcW w:w="8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50"/>
        </w:trPr>
        <w:tc>
          <w:tcPr>
            <w:tcW w:w="4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1,080</w:t>
            </w:r>
          </w:p>
        </w:tc>
        <w:tc>
          <w:tcPr>
            <w:tcW w:w="12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1,155</w:t>
            </w:r>
          </w:p>
        </w:tc>
      </w:tr>
      <w:tr>
        <w:trPr>
          <w:trHeight w:val="250"/>
        </w:trPr>
        <w:tc>
          <w:tcPr>
            <w:tcW w:w="5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21"/>
                <w:szCs w:val="21"/>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21"/>
                <w:szCs w:val="21"/>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730</w:t>
            </w:r>
          </w:p>
        </w:tc>
      </w:tr>
      <w:tr>
        <w:trPr>
          <w:trHeight w:val="275"/>
        </w:trPr>
        <w:tc>
          <w:tcPr>
            <w:tcW w:w="5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5"/>
        </w:trPr>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Interest expense, net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275"/>
        </w:trPr>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r>
      <w:tr>
        <w:trPr>
          <w:trHeight w:val="265"/>
        </w:trPr>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Loss on derivative instruments, net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270"/>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Gain on revaluation of investment</w:t>
            </w:r>
          </w:p>
        </w:tc>
        <w:tc>
          <w:tcPr>
            <w:tcW w:w="8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r>
      <w:tr>
        <w:trPr>
          <w:trHeight w:val="250"/>
        </w:trPr>
        <w:tc>
          <w:tcPr>
            <w:tcW w:w="43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8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255"/>
        </w:trPr>
        <w:tc>
          <w:tcPr>
            <w:tcW w:w="5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468</w:t>
            </w:r>
          </w:p>
        </w:tc>
      </w:tr>
      <w:tr>
        <w:trPr>
          <w:trHeight w:val="265"/>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8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r>
      <w:tr>
        <w:trPr>
          <w:trHeight w:val="255"/>
        </w:trPr>
        <w:tc>
          <w:tcPr>
            <w:tcW w:w="5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399</w:t>
            </w:r>
          </w:p>
        </w:tc>
      </w:tr>
      <w:tr>
        <w:trPr>
          <w:trHeight w:val="265"/>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8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r>
      <w:tr>
        <w:trPr>
          <w:trHeight w:val="242"/>
        </w:trPr>
        <w:tc>
          <w:tcPr>
            <w:tcW w:w="5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attributable to Diamondback Energy, Inc.</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279" w:right="2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4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23"/>
                <w:szCs w:val="23"/>
                <w:color w:val="auto"/>
              </w:rPr>
            </w:pPr>
          </w:p>
        </w:tc>
        <w:tc>
          <w:tcPr>
            <w:tcW w:w="11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69"/>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6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Oil sales</w:t>
            </w: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880</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Natural gas sales</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Natural gas liquid sales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Royalty income</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Lease bonus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Midstream services</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r>
      <w:tr>
        <w:trPr>
          <w:trHeight w:val="265"/>
        </w:trPr>
        <w:tc>
          <w:tcPr>
            <w:tcW w:w="43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Other operating income</w:t>
            </w:r>
          </w:p>
        </w:tc>
        <w:tc>
          <w:tcPr>
            <w:tcW w:w="8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r>
      <w:tr>
        <w:trPr>
          <w:trHeight w:val="255"/>
        </w:trPr>
        <w:tc>
          <w:tcPr>
            <w:tcW w:w="4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revenues</w:t>
            </w:r>
          </w:p>
        </w:tc>
        <w:tc>
          <w:tcPr>
            <w:tcW w:w="8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1,006</w:t>
            </w:r>
          </w:p>
        </w:tc>
      </w:tr>
      <w:tr>
        <w:trPr>
          <w:trHeight w:val="259"/>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Lease operating expenses</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Gathering and transportation</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Midstream services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245</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6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50"/>
        </w:trPr>
        <w:tc>
          <w:tcPr>
            <w:tcW w:w="43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458</w:t>
            </w:r>
          </w:p>
        </w:tc>
      </w:tr>
      <w:tr>
        <w:trPr>
          <w:trHeight w:val="25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860" w:type="dxa"/>
            <w:vAlign w:val="bottom"/>
          </w:tcPr>
          <w:p>
            <w:pPr>
              <w:spacing w:after="0"/>
              <w:rPr>
                <w:sz w:val="21"/>
                <w:szCs w:val="21"/>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548</w:t>
            </w:r>
          </w:p>
        </w:tc>
      </w:tr>
      <w:tr>
        <w:trPr>
          <w:trHeight w:val="27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expense, net</w:t>
            </w:r>
          </w:p>
        </w:tc>
        <w:tc>
          <w:tcPr>
            <w:tcW w:w="860" w:type="dxa"/>
            <w:vAlign w:val="bottom"/>
          </w:tcPr>
          <w:p>
            <w:pPr>
              <w:spacing w:after="0"/>
              <w:rPr>
                <w:sz w:val="23"/>
                <w:szCs w:val="23"/>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7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w:t>
            </w:r>
          </w:p>
        </w:tc>
      </w:tr>
      <w:tr>
        <w:trPr>
          <w:trHeight w:val="265"/>
        </w:trPr>
        <w:tc>
          <w:tcPr>
            <w:tcW w:w="4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on derivative instruments, net</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70"/>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Gain on revaluation of investment</w:t>
            </w:r>
          </w:p>
        </w:tc>
        <w:tc>
          <w:tcPr>
            <w:tcW w:w="8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r>
      <w:tr>
        <w:trPr>
          <w:trHeight w:val="250"/>
        </w:trPr>
        <w:tc>
          <w:tcPr>
            <w:tcW w:w="43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86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5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6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519</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86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r>
      <w:tr>
        <w:trPr>
          <w:trHeight w:val="255"/>
        </w:trPr>
        <w:tc>
          <w:tcPr>
            <w:tcW w:w="43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479</w:t>
            </w:r>
          </w:p>
        </w:tc>
      </w:tr>
      <w:tr>
        <w:trPr>
          <w:trHeight w:val="265"/>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86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r>
      <w:tr>
        <w:trPr>
          <w:trHeight w:val="242"/>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attributable to Diamondback Energy, Inc.</w:t>
            </w:r>
          </w:p>
        </w:tc>
        <w:tc>
          <w:tcPr>
            <w:tcW w:w="860" w:type="dxa"/>
            <w:vAlign w:val="bottom"/>
            <w:tcBorders>
              <w:top w:val="single" w:sz="8" w:color="auto"/>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382</w:t>
            </w:r>
          </w:p>
        </w:tc>
      </w:tr>
      <w:tr>
        <w:trPr>
          <w:trHeight w:val="20"/>
        </w:trPr>
        <w:tc>
          <w:tcPr>
            <w:tcW w:w="4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279"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1,043</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Additions to oil and natural gas properties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Additions to midstream assets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Purchase of other property, equipment and land</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leasehold interests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Acquisition of mineral interests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Funds held in escrow</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Equity investments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70"/>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Investment in real estate</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0"/>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w:t>
            </w:r>
          </w:p>
        </w:tc>
      </w:tr>
      <w:tr>
        <w:trPr>
          <w:trHeight w:val="269"/>
        </w:trPr>
        <w:tc>
          <w:tcPr>
            <w:tcW w:w="49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borrowing under credit facility</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925</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Repayment under credit facility</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joint venture</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Public offering costs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public offerings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1,106</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Distribution to parent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Contributions from subsidiaries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Distributions from subsidiary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Dividends to stockholders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Repurchased for tax withholdings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Repurchased as part of share buyback</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65"/>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Intercompany transfers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840</w:t>
            </w:r>
          </w:p>
        </w:tc>
      </w:tr>
      <w:tr>
        <w:trPr>
          <w:trHeight w:val="250"/>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w:t>
            </w:r>
          </w:p>
        </w:tc>
      </w:tr>
      <w:tr>
        <w:trPr>
          <w:trHeight w:val="242"/>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326</w:t>
            </w:r>
          </w:p>
        </w:tc>
      </w:tr>
      <w:tr>
        <w:trPr>
          <w:trHeight w:val="20"/>
        </w:trPr>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279" w:right="2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764</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Additions to oil and natural gas properties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Additions to midstream assets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Purchase of other property, equipment and land</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leasehold interests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Acquisition of mineral interests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Funds held in escrow</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Intercompany transfers</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Investment in real estate</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250"/>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r>
      <w:tr>
        <w:trPr>
          <w:trHeight w:val="269"/>
        </w:trPr>
        <w:tc>
          <w:tcPr>
            <w:tcW w:w="49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borrowing under credit facility</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569</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Repayment under credit facility</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senior notes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312</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Public offering costs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Contributions to subsidiaries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Contributions by members</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Distributions from subsidiary</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Dividends to stockholders</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75"/>
        </w:trPr>
        <w:tc>
          <w:tcPr>
            <w:tcW w:w="4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65"/>
        </w:trPr>
        <w:tc>
          <w:tcPr>
            <w:tcW w:w="4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Intercompany transfers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436</w:t>
            </w:r>
          </w:p>
        </w:tc>
      </w:tr>
      <w:tr>
        <w:trPr>
          <w:trHeight w:val="250"/>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w:t>
            </w:r>
          </w:p>
        </w:tc>
      </w:tr>
      <w:tr>
        <w:trPr>
          <w:trHeight w:val="242"/>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w:t>
            </w:r>
          </w:p>
        </w:tc>
      </w:tr>
      <w:tr>
        <w:trPr>
          <w:trHeight w:val="20"/>
        </w:trPr>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79" w:right="239" w:bottom="1440" w:gutter="0" w:footer="0" w:header="0"/>
        </w:sectPr>
      </w:pPr>
    </w:p>
    <w:bookmarkStart w:id="55" w:name="page56"/>
    <w:bookmarkEnd w:id="5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unaudited consolidated financial statements and notes thereto presented in this report as well as our audited consolidated financial statements and notes thereto included in our Annual Report on Form 10-K for the year ended December 31, 2018.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“Part II. Item 1A. Risk Factors” and “Cautionary Statement Regarding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in two business segments: (i) the exploration and production segment, which is engaged in the acquisition, development, exploration and exploitation of unconventional, onshore oil and natural gas reserves in the Permian Basin in West Texas and (ii) through our subsidiary, Rattler, the midstream operations segment, which is focused on ownership, operation, development and acquisition of the midstream infrastructure assets in the Midland and Delaware Basins of the Permian Basin.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Production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our exploration and production segment,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2019, we had approximately 467,884 net acres, which primarily consisted of approximately 190,444 net acres in the Midland Basin and approximately 162,159 net acres in the Delaware Basin. As of December 31, 2018, we had an estimated 11,868 gross horizontal locations that we believe to be economic at $60 per Bbl West Texas Intermediate, or WTI.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Midstream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our midstream operations segment, Rattler’s crude oil infrastructure assets consist of gathering pipelines and metering facilities, which collectively gather crude oil for its customers. Rattler’s facilities gather crude oil from horizontal and vertical wells in our ReWard, Spanish Trail, Pecos and Fivestones areas within the Permian Basin. Rattler’s natural gas gathering and compression system consists of gathering pipelines, compression and metering facilities, which collectively service the production from our Pecos area assets within the Permian Basin. Rattler’s fresh water sourcing and distribution assets consists of water wells, frac pits, pipelines and water treatment facilities, which collectively gather and distribute water from Permian Basin aquifers to the drilling and completion sites through buried pipelines and temporary surface pipelines. Rattler’s saltwater gathering and disposal system spans approximately 414 miles and consists of gathering pipelines along with SWD wells and facilities which collectively gather and dispose of saltwater from operations throughout our Permian Basin acreage.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substantial acreage dedications.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Our Revenues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our exploration and production segment, our main sources of revenues are the sale of oil and natural gas production, as well as the sale of natural gas liquids that are extracted from our natural gas during processing.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midstream operations segment, our results are primarily driven by the volumes of crude oil that Rattler gathers, transports and delivers; natural gas that Rattler gathers, compresses, transports and delivers; fresh water that Rattler sources, transports and delivers; and produced water that Rattler gathers, transports and disposes of, and the fees Rattler charges per unit of throughput for our midstream services.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576" w:right="2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The following table presents the breakdown of our revenues for the following periods:</w:t>
      </w:r>
    </w:p>
    <w:p>
      <w:pPr>
        <w:sectPr>
          <w:pgSz w:w="11900" w:h="16838" w:orient="portrait"/>
          <w:cols w:equalWidth="0" w:num="1">
            <w:col w:w="11420"/>
          </w:cols>
          <w:pgMar w:left="240" w:top="580" w:right="239" w:bottom="1440" w:gutter="0" w:footer="0" w:header="0"/>
        </w:sectPr>
      </w:pPr>
    </w:p>
    <w:p>
      <w:pPr>
        <w:spacing w:after="0" w:line="16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44450</wp:posOffset>
            </wp:positionV>
            <wp:extent cx="16122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68" w:lineRule="exact"/>
        <w:rPr>
          <w:sz w:val="20"/>
          <w:szCs w:val="20"/>
          <w:color w:val="auto"/>
        </w:rPr>
      </w:pPr>
    </w:p>
    <w:p>
      <w:pPr>
        <w:ind w:left="672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44450</wp:posOffset>
            </wp:positionV>
            <wp:extent cx="15779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68" w:lineRule="exact"/>
        <w:rPr>
          <w:sz w:val="20"/>
          <w:szCs w:val="20"/>
          <w:color w:val="auto"/>
        </w:rPr>
      </w:pPr>
    </w:p>
    <w:p>
      <w:pPr>
        <w:ind w:left="20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81" w:lineRule="exact"/>
        <w:rPr>
          <w:sz w:val="20"/>
          <w:szCs w:val="20"/>
          <w:color w:val="auto"/>
        </w:rPr>
      </w:pPr>
    </w:p>
    <w:p>
      <w:pPr>
        <w:sectPr>
          <w:pgSz w:w="11900" w:h="16838" w:orient="portrait"/>
          <w:cols w:equalWidth="0" w:num="2">
            <w:col w:w="8740" w:space="400"/>
            <w:col w:w="2280"/>
          </w:cols>
          <w:pgMar w:left="240" w:top="580"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Revenues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Oil sales</w:t>
            </w:r>
          </w:p>
        </w:tc>
        <w:tc>
          <w:tcPr>
            <w:tcW w:w="1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95 %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6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Natural gas sales</w:t>
            </w:r>
          </w:p>
        </w:tc>
        <w:tc>
          <w:tcPr>
            <w:tcW w:w="16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Natural gas liquid sales</w:t>
            </w:r>
          </w:p>
        </w:tc>
        <w:tc>
          <w:tcPr>
            <w:tcW w:w="1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2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100 %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production, in our exploration and production business, consists primarily of oil, our revenues are more sensitive to fluctuations in oil prices than they are to fluctuations in natural gas or natural gas liquids prices. Oil, natural gas and natural gas liquids prices have historically been volatile. Lower commodity prices may not only decrease our revenues, but also potentially the amount of oil and natural gas that we can produce economically. Lower oil and natural gas prices may also result in a reduction in the borrowing base under our credit agreement, which may be redetermined at the discretion of our lenders.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our midstream operations business, we have indirect exposure to commodity price risk in that persistent low commodity prices may cause us or Rattler’s other customers to delay drilling or shut in production, which would reduce the volumes available for gathering and processing by our infrastructure assets. If we or Rattler’s other customers delay drilling or temporarily shut in production due to persistently low commodity prices or for any other reason, our revenue in the midstream operations segment could decrease, as Rattler’s commercial agreements do not contain minimum volume commitments.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580" w:right="239" w:bottom="1440" w:gutter="0" w:footer="0" w:header="0"/>
          <w:type w:val="continuous"/>
        </w:sectPr>
      </w:pPr>
    </w:p>
    <w:bookmarkStart w:id="57" w:name="page58"/>
    <w:bookmarkEnd w:id="57"/>
    <w:p>
      <w:pPr>
        <w:ind w:left="660"/>
        <w:spacing w:after="0"/>
        <w:rPr>
          <w:sz w:val="20"/>
          <w:szCs w:val="20"/>
          <w:color w:val="auto"/>
        </w:rPr>
      </w:pPr>
      <w:r>
        <w:rPr>
          <w:rFonts w:ascii="Times New Roman" w:cs="Times New Roman" w:eastAsia="Times New Roman" w:hAnsi="Times New Roman"/>
          <w:sz w:val="17"/>
          <w:szCs w:val="17"/>
          <w:color w:val="auto"/>
        </w:rPr>
        <w:t>The following table sets forth information related to commodity prices for the following periods:</w:t>
      </w:r>
    </w:p>
    <w:p>
      <w:pPr>
        <w:sectPr>
          <w:pgSz w:w="11900" w:h="16838" w:orient="portrait"/>
          <w:cols w:equalWidth="0" w:num="1">
            <w:col w:w="11420"/>
          </w:cols>
          <w:pgMar w:left="240" w:top="580" w:right="239" w:bottom="1440" w:gutter="0" w:footer="0" w:header="0"/>
        </w:sectPr>
      </w:pPr>
    </w:p>
    <w:p>
      <w:pPr>
        <w:spacing w:after="0" w:line="395"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44450</wp:posOffset>
            </wp:positionV>
            <wp:extent cx="1955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8" w:lineRule="exact"/>
        <w:rPr>
          <w:sz w:val="20"/>
          <w:szCs w:val="20"/>
          <w:color w:val="auto"/>
        </w:rPr>
      </w:pPr>
    </w:p>
    <w:p>
      <w:pPr>
        <w:ind w:left="6220"/>
        <w:spacing w:after="0"/>
        <w:tabs>
          <w:tab w:leader="none" w:pos="774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44450</wp:posOffset>
            </wp:positionV>
            <wp:extent cx="1663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68"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77" w:lineRule="exact"/>
        <w:rPr>
          <w:sz w:val="20"/>
          <w:szCs w:val="20"/>
          <w:color w:val="auto"/>
        </w:rPr>
      </w:pPr>
    </w:p>
    <w:p>
      <w:pPr>
        <w:sectPr>
          <w:pgSz w:w="11900" w:h="16838" w:orient="portrait"/>
          <w:cols w:equalWidth="0" w:num="2">
            <w:col w:w="8360" w:space="720"/>
            <w:col w:w="2340"/>
          </w:cols>
          <w:pgMar w:left="240" w:top="580"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High and Low Futures Contract Prices: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Oil ($/Bbl, WTI Futures Contract 1)</w:t>
            </w: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High</w:t>
            </w:r>
          </w:p>
        </w:tc>
        <w:tc>
          <w:tcPr>
            <w:tcW w:w="8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66.30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74.15</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66.30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74.15</w:t>
            </w:r>
          </w:p>
        </w:tc>
      </w:tr>
      <w:tr>
        <w:trPr>
          <w:trHeight w:val="243"/>
        </w:trPr>
        <w:tc>
          <w:tcPr>
            <w:tcW w:w="5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Low</w:t>
            </w: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51.14</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62.06</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46.54</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59.19</w:t>
            </w:r>
          </w:p>
        </w:tc>
      </w:tr>
      <w:tr>
        <w:trPr>
          <w:trHeight w:val="27"/>
        </w:trPr>
        <w:tc>
          <w:tcPr>
            <w:tcW w:w="5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Natural Gas ($/MMBtu, Futures Contract 1)</w:t>
            </w: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High</w:t>
            </w: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2.71</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3.02</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3.59</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3.63</w:t>
            </w:r>
          </w:p>
        </w:tc>
      </w:tr>
      <w:tr>
        <w:trPr>
          <w:trHeight w:val="27"/>
        </w:trPr>
        <w:tc>
          <w:tcPr>
            <w:tcW w:w="5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Low</w:t>
            </w:r>
          </w:p>
        </w:tc>
        <w:tc>
          <w:tcPr>
            <w:tcW w:w="8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2.19</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2.55</w:t>
            </w:r>
          </w:p>
        </w:tc>
      </w:tr>
      <w:tr>
        <w:trPr>
          <w:trHeight w:val="324"/>
        </w:trPr>
        <w:tc>
          <w:tcPr>
            <w:tcW w:w="5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realized oil price ($/Bbl)</w:t>
            </w:r>
          </w:p>
        </w:tc>
        <w:tc>
          <w:tcPr>
            <w:tcW w:w="8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54.41</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61.56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50.42</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61.60</w:t>
            </w: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WTI Futures Contract 1 ($/Bbl)</w:t>
            </w: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59.91</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67.91</w:t>
            </w:r>
          </w:p>
        </w:tc>
        <w:tc>
          <w:tcPr>
            <w:tcW w:w="48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57.45</w:t>
            </w:r>
          </w:p>
        </w:tc>
        <w:tc>
          <w:tcPr>
            <w:tcW w:w="42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65.46</w:t>
            </w:r>
          </w:p>
        </w:tc>
      </w:tr>
      <w:tr>
        <w:trPr>
          <w:trHeight w:val="27"/>
        </w:trPr>
        <w:tc>
          <w:tcPr>
            <w:tcW w:w="5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Differential to WTI Futures Contract 1</w:t>
            </w: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(5.50)</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(6.35)</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realized oil price to WTI Futures Contract 1</w:t>
            </w:r>
          </w:p>
        </w:tc>
        <w:tc>
          <w:tcPr>
            <w:tcW w:w="8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5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5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realized natural gas price ($/Mcf)</w:t>
            </w: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(0.41)</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0.46</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5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Natural Gas Futures Contract 1 ($/Mcf)</w:t>
            </w:r>
          </w:p>
        </w:tc>
        <w:tc>
          <w:tcPr>
            <w:tcW w:w="8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2.51</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2.83</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2.69</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2.84</w:t>
            </w:r>
          </w:p>
        </w:tc>
      </w:tr>
      <w:tr>
        <w:trPr>
          <w:trHeight w:val="243"/>
        </w:trPr>
        <w:tc>
          <w:tcPr>
            <w:tcW w:w="5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Differential to Natural Gas Futures Contract 1</w:t>
            </w:r>
          </w:p>
        </w:tc>
        <w:tc>
          <w:tcPr>
            <w:tcW w:w="8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(2.92)</w:t>
            </w:r>
          </w:p>
        </w:tc>
        <w:tc>
          <w:tcPr>
            <w:tcW w:w="5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(1.29)</w:t>
            </w: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realized natural gas price to Natural Gas Futures Contract 1</w:t>
            </w: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realized natural gas liquids price ($/Bbl)</w:t>
            </w:r>
          </w:p>
        </w:tc>
        <w:tc>
          <w:tcPr>
            <w:tcW w:w="8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13.60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27.99</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15.64</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26.40</w:t>
            </w: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WTI Futures Contract 1 ($/Bbl)</w:t>
            </w: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59.91</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67.91</w:t>
            </w:r>
          </w:p>
        </w:tc>
        <w:tc>
          <w:tcPr>
            <w:tcW w:w="48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57.45</w:t>
            </w:r>
          </w:p>
        </w:tc>
        <w:tc>
          <w:tcPr>
            <w:tcW w:w="42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65.46</w:t>
            </w:r>
          </w:p>
        </w:tc>
      </w:tr>
      <w:tr>
        <w:trPr>
          <w:trHeight w:val="27"/>
        </w:trPr>
        <w:tc>
          <w:tcPr>
            <w:tcW w:w="5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realized natural gas liquids price to WTI Futures Contract 1</w:t>
            </w:r>
          </w:p>
        </w:tc>
        <w:tc>
          <w:tcPr>
            <w:tcW w:w="8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5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28, 2019, the WTI Futures Contract 1 price for crude oil was $58.47 per Bbl and the Natural Gas Futures Contract 1 price was $2.31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MMBtu.</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 Midstream LP</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Rattler is a publicly traded Delaware limited partnership, the common units of which are listed on the Nasdaq Global Select Market under the symbol “RTLR”. Rattler was formed by Diamondback in July 2018 to own, operate, develop and acquire midstream infrastructure assets in the Midland and Delaware Basins of the Permian Basin. Rattler Midstream GP LLC, or Rattler’s General Partner, a wholly-owned subsidiary of Diamondback, serves as the general partner of Rattler. As of June 30, 2019, Diamondback owned approximately 71% of Rattler’s total units outstanding.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completion of the Rattler Offering in May of 2019, Diamondback owned all of the general and limited partner interests in Rattler. The Rattler Offering consisted of 43,700,000 common units representing approximately 29% of the limited partner interests in Rattler at a price to the public of $17.50 per common unit, which included 5,700,000 common units issued pursuant to an option to purchase additional common units granted to the underwriters on the same terms which closed on May 30, 2019. Rattler received net proceeds of approximately $720 million from the sale of these common units, after deducting offering expenses and underwriting discounts and commissions.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completion of the Rattler Offering, Rattler (i) issued 107,815,152 Class B units representing an aggregate 71% voting limited partner interest in Rattler in exchange for a $1 million cash contribution from Diamondback, (ii) issued a general partner interest in Rattler to Rattler’s General Partner, in exchange for a $1 million cash contribution from its general partner, and (iii) caused Rattler LLC to make a distribution of approximately $727 million to Diamondback. Diamondback, as the holder of the Class B units, and Rattler’s General Partner, as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80" w:right="239" w:bottom="1440" w:gutter="0" w:footer="0" w:header="0"/>
          <w:type w:val="continuous"/>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holder of the general partner interest, are entitled to receive cash preferred distributions equal to 8% per annum on the outstanding amount of their respective $1 million capital contributions, payable quarterly.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2019 Dividend Declaration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5, 2019, our board of directors declared a cash dividend for the second quarter of 2019 of $0.1875 per share of common stock, payable on August 26, 2019 to our stockholders of record at the close of business on August 16,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May 2019, our board of directors approved a stock repurchase program to acquire up to $2 billion of our outstanding common stock through December 31, 2020. This repurchase program is another component of our capital return program that includes the quarterly dividend discussed above. We anticipate that the repurchase program will be funded primarily by free cash flow generated from operations and liquidity events such as the sale of assets. Purchases under the repurchase program may be made from time to time in open market or privately negotiated transactions, and are subject to market conditions, applicable legal requirements, contractual obligations and other factors. The repurchase program does not require us to acquire any specific number of shares. This repurchase program may be suspended from time to time, modified, extended or discontinued by the board of directors at any time. During the three months ended June 30, 2019, we repurchased approximately $104 million of common stock under our repurchase program. As of June 30, 2019, $1.9 billion remains available for use to repurchase shares under the Company's common stock repurchase program.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of Certain Conventional and Non-Core Assets Acquired from Energen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23, 2019, we completed our divestiture of 6,589 net acres of certain conventional and non-core Permian assets, which were acquired by us in the Merger, for an aggregate sale price of $37 million. This divestiture did not result in a gain or loss because it did not have a significant effect on our reserve base or depreciation, depletion and amortization rate.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 2019, we completed our divestiture of 103,750 net acres of certain conventional and non-core Permian assets, which were acquired by us in the Merger, for an aggregate sale price of $285 million. This divestiture did not result in a gain or loss because it did not have a significant effect on our reserve base or depreciation, depletion and amortization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Viper’s Equity Offering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 2019, Viper completed an underwritten public offering of 10,925,000 common units, which included 1,425,000 common units issued pursuant to an option to purchase additional common units granted to the underwriters. Following this offering, we owned approximately 54% of Viper’s total units then outstanding. Viper received net proceeds from this offering of approximately $341 million, after deducting underwriting discounts and commissions and estimated offering expenses. Viper used the net proceeds to purchase units of Viper LLC. Viper LLC in turn used the net proceeds to repay a portion of the outstanding borrowings under its revolving credit facility and finance acquisitions during the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Drop-Down and Anticipated Increase in the Borrowing Base under Viper LLC’s Revolving Credit Facility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Subsequent to the end of the second quarter of 2019, Viper entered into a definitive purchase agreement to acquire certain mineral and royalty interests from us for 18.3 million of Viper’s newly-issued Class B units, 18.3 million newly-issued units of Viper LLC and $150 million in cash, subject to certain adjustments, which we refer to as the Pending Drop-Down. Based on the volume weighted average sales price of Viper’s common units for the 10-trading day period ended on July 26, 2019 of $30.07, the transaction is valued at $700 million. The mineral and royalty interests being acquired in the Pending Drop-Down represent approximately 5,090 net royalty acres across the Midland and Delaware Basins, of which over 95% are operated by us, and have an average net royalty interest of approximately 3.2%. After giving pro forma effect to the Pending Drop-Down, Viper’s mineral interests at June 30, 2019 would have totaled 20,960 net royalty acres. We anticipate closing the Pending Drop-Down during the fourth quarter of 2019. However, the Pending Drop-Down remains subject to completion of due diligence and satisfaction of other closing conditions. There can be no assurance that we will complete the Pending Drop-Down on the terms contemplated in this report or at all. Viper intends to finance the cash portion of the purchase price of the Pending Drop-Down through a combination of cash on hand and borrowings under Viper LLC’s revolving credit facility.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80" w:right="239" w:bottom="1440" w:gutter="0" w:footer="0" w:header="0"/>
        </w:sectPr>
      </w:pPr>
    </w:p>
    <w:bookmarkStart w:id="59" w:name="page60"/>
    <w:bookmarkEnd w:id="5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closing of the Pending Drop-Down, Viper anticipates that the borrowing base under Viper LLC’s revolving credit facility will be increased by $125 million to $725 million from $600 million at June 30,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Update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total number of operated horizontal wells drilled and completed during the three months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392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June 30, 2019</w:t>
            </w:r>
          </w:p>
        </w:tc>
        <w:tc>
          <w:tcPr>
            <w:tcW w:w="31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 2019</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Drilled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Completed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Drilled</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Completed</w:t>
            </w: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Area</w:t>
            </w: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Midland Basin</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47</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90</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83</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 Basin</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82</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68</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89</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172</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151</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2019, we operated the following wells: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66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Vertical Wells</w:t>
            </w:r>
          </w:p>
        </w:tc>
        <w:tc>
          <w:tcPr>
            <w:tcW w:w="262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Horizontal Wells</w:t>
            </w: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Area</w:t>
            </w:r>
          </w:p>
        </w:tc>
        <w:tc>
          <w:tcPr>
            <w:tcW w:w="1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vMerge w:val="continue"/>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Net</w:t>
            </w: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Midland Basin</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1,586</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899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2,485</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 Basin</w:t>
            </w: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421</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21"/>
                <w:szCs w:val="21"/>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453</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1,618</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1,320</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2,938</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2019, we held interests in 3,850 gross (2,818 net) wells, including wells that we do not operate.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development program is focused entirely within the Permian Basin, where we continue to focus on long-lateral multi-well pad development. Our horizontal development consists of multiple targeted intervals, primarily within the Wolfcamp and Spraberry formations in the Midland Basin and the Wolfcamp and Bone Springs formations in the Delaware Basin.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580"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1016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selected historical operating data for the three months and six months ended June 30, 2019 and 2018:</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4"/>
                <w:szCs w:val="24"/>
                <w:color w:val="auto"/>
              </w:rPr>
            </w:pPr>
          </w:p>
        </w:tc>
        <w:tc>
          <w:tcPr>
            <w:tcW w:w="2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Production Data:</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Oil (MBbls)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17,402</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33,517</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14,278</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Natural gas (MMcf)</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21,439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43,123</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13,913</w:t>
            </w:r>
          </w:p>
        </w:tc>
      </w:tr>
      <w:tr>
        <w:trPr>
          <w:trHeight w:val="243"/>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4,538</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8,446</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2,883</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Combined volumes (MBOE)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25,513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49,150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19,480</w:t>
            </w:r>
          </w:p>
        </w:tc>
      </w:tr>
      <w:tr>
        <w:trPr>
          <w:trHeight w:val="230"/>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Daily Production: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Oil (Bbls)/d</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191,229</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185,176</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78,886</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Natural gas (Mcf)/d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235,598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80,960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238,250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76,867</w:t>
            </w:r>
          </w:p>
        </w:tc>
      </w:tr>
      <w:tr>
        <w:trPr>
          <w:trHeight w:val="243"/>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Natural gas liquids (Bbls)/d</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49,870</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46,663</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15,929</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Daily combined volumes (BOE/d)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280,365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271,548</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107,627</w:t>
            </w:r>
          </w:p>
        </w:tc>
      </w:tr>
      <w:tr>
        <w:trPr>
          <w:trHeight w:val="324"/>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Oil (per Bbl)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61.60</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Natural gas (per Mcf)</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r>
      <w:tr>
        <w:trPr>
          <w:trHeight w:val="243"/>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Natural gas liquids (per Bbl)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13.60</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15.64</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26.40</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Combined (per BOE)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37.47</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50.37</w:t>
            </w:r>
          </w:p>
        </w:tc>
      </w:tr>
      <w:tr>
        <w:trPr>
          <w:trHeight w:val="270"/>
        </w:trPr>
        <w:tc>
          <w:tcPr>
            <w:tcW w:w="5820" w:type="dxa"/>
            <w:vAlign w:val="bottom"/>
          </w:tcPr>
          <w:p>
            <w:pPr>
              <w:ind w:left="500"/>
              <w:spacing w:after="0" w:line="270" w:lineRule="exact"/>
              <w:rPr>
                <w:sz w:val="20"/>
                <w:szCs w:val="20"/>
                <w:color w:val="auto"/>
              </w:rPr>
            </w:pPr>
            <w:r>
              <w:rPr>
                <w:rFonts w:ascii="Times New Roman" w:cs="Times New Roman" w:eastAsia="Times New Roman" w:hAnsi="Times New Roman"/>
                <w:sz w:val="18"/>
                <w:szCs w:val="18"/>
                <w:color w:val="auto"/>
              </w:rPr>
              <w:t>Oil, hedged ($ per Bbl)</w:t>
            </w:r>
            <w:r>
              <w:rPr>
                <w:rFonts w:ascii="Times New Roman" w:cs="Times New Roman" w:eastAsia="Times New Roman" w:hAnsi="Times New Roman"/>
                <w:sz w:val="25"/>
                <w:szCs w:val="25"/>
                <w:color w:val="auto"/>
                <w:vertAlign w:val="superscript"/>
              </w:rPr>
              <w:t>(1)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53.95</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50.56</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56.14</w:t>
            </w:r>
          </w:p>
        </w:tc>
      </w:tr>
      <w:tr>
        <w:trPr>
          <w:trHeight w:val="270"/>
        </w:trPr>
        <w:tc>
          <w:tcPr>
            <w:tcW w:w="5820" w:type="dxa"/>
            <w:vAlign w:val="bottom"/>
            <w:shd w:val="clear" w:color="auto" w:fill="CCEEFF"/>
          </w:tcPr>
          <w:p>
            <w:pPr>
              <w:ind w:left="500"/>
              <w:spacing w:after="0" w:line="270" w:lineRule="exact"/>
              <w:rPr>
                <w:sz w:val="20"/>
                <w:szCs w:val="20"/>
                <w:color w:val="auto"/>
              </w:rPr>
            </w:pPr>
            <w:r>
              <w:rPr>
                <w:rFonts w:ascii="Times New Roman" w:cs="Times New Roman" w:eastAsia="Times New Roman" w:hAnsi="Times New Roman"/>
                <w:sz w:val="18"/>
                <w:szCs w:val="18"/>
                <w:color w:val="auto"/>
              </w:rPr>
              <w:t>Natural gas, hedged ($ per MMbtu)</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0.77</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r>
      <w:tr>
        <w:trPr>
          <w:trHeight w:val="270"/>
        </w:trPr>
        <w:tc>
          <w:tcPr>
            <w:tcW w:w="5820" w:type="dxa"/>
            <w:vAlign w:val="bottom"/>
          </w:tcPr>
          <w:p>
            <w:pPr>
              <w:ind w:left="500"/>
              <w:spacing w:after="0" w:line="270" w:lineRule="exact"/>
              <w:rPr>
                <w:sz w:val="20"/>
                <w:szCs w:val="20"/>
                <w:color w:val="auto"/>
              </w:rPr>
            </w:pPr>
            <w:r>
              <w:rPr>
                <w:rFonts w:ascii="Times New Roman" w:cs="Times New Roman" w:eastAsia="Times New Roman" w:hAnsi="Times New Roman"/>
                <w:sz w:val="18"/>
                <w:szCs w:val="18"/>
                <w:color w:val="auto"/>
              </w:rPr>
              <w:t>Natural gas liquids, hedged ($ per Bbl)</w:t>
            </w:r>
            <w:r>
              <w:rPr>
                <w:rFonts w:ascii="Times New Roman" w:cs="Times New Roman" w:eastAsia="Times New Roman" w:hAnsi="Times New Roman"/>
                <w:sz w:val="25"/>
                <w:szCs w:val="25"/>
                <w:color w:val="auto"/>
                <w:vertAlign w:val="superscript"/>
              </w:rPr>
              <w:t>(1)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16.16</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26.40</w:t>
            </w:r>
          </w:p>
        </w:tc>
      </w:tr>
      <w:tr>
        <w:trPr>
          <w:trHeight w:val="270"/>
        </w:trPr>
        <w:tc>
          <w:tcPr>
            <w:tcW w:w="5820" w:type="dxa"/>
            <w:vAlign w:val="bottom"/>
            <w:shd w:val="clear" w:color="auto" w:fill="CCEEFF"/>
          </w:tcPr>
          <w:p>
            <w:pPr>
              <w:ind w:left="500"/>
              <w:spacing w:after="0" w:line="270" w:lineRule="exact"/>
              <w:rPr>
                <w:sz w:val="20"/>
                <w:szCs w:val="20"/>
                <w:color w:val="auto"/>
              </w:rPr>
            </w:pPr>
            <w:r>
              <w:rPr>
                <w:rFonts w:ascii="Times New Roman" w:cs="Times New Roman" w:eastAsia="Times New Roman" w:hAnsi="Times New Roman"/>
                <w:sz w:val="18"/>
                <w:szCs w:val="18"/>
                <w:color w:val="auto"/>
              </w:rPr>
              <w:t>Average price, hedged ($ per BOE)</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39.39</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37.93</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46.41</w:t>
            </w:r>
          </w:p>
        </w:tc>
      </w:tr>
    </w:tbl>
    <w:p>
      <w:pPr>
        <w:ind w:left="34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effect of our commodity derivative transactions on our average sales prices. Our calculation of such effects include gains and losses on cash settlements for commodity derivatives, which we do not designate for hedge accounting.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Data</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Substantially all of our revenues are generated through the sale of oil, natural gas liquids and natural gas production. The following tables set forth our production data for the three months and six months ended June 30, 2019 and 2018:</w:t>
      </w:r>
    </w:p>
    <w:p>
      <w:pPr>
        <w:sectPr>
          <w:pgSz w:w="11900" w:h="16838" w:orient="portrait"/>
          <w:cols w:equalWidth="0" w:num="1">
            <w:col w:w="11420"/>
          </w:cols>
          <w:pgMar w:left="240" w:top="576" w:right="239" w:bottom="1440" w:gutter="0" w:footer="0" w:header="0"/>
        </w:sectPr>
      </w:pPr>
    </w:p>
    <w:p>
      <w:pPr>
        <w:spacing w:after="0" w:line="104"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44450</wp:posOffset>
            </wp:positionV>
            <wp:extent cx="16554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68" w:lineRule="exact"/>
        <w:rPr>
          <w:sz w:val="20"/>
          <w:szCs w:val="20"/>
          <w:color w:val="auto"/>
        </w:rPr>
      </w:pPr>
    </w:p>
    <w:p>
      <w:pPr>
        <w:ind w:left="6560"/>
        <w:spacing w:after="0"/>
        <w:tabs>
          <w:tab w:leader="none" w:pos="784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44450</wp:posOffset>
            </wp:positionV>
            <wp:extent cx="1663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68"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38" w:lineRule="exact"/>
        <w:rPr>
          <w:sz w:val="20"/>
          <w:szCs w:val="20"/>
          <w:color w:val="auto"/>
        </w:rPr>
      </w:pPr>
    </w:p>
    <w:p>
      <w:pPr>
        <w:sectPr>
          <w:pgSz w:w="11900" w:h="16838" w:orient="portrait"/>
          <w:cols w:equalWidth="0" w:num="2">
            <w:col w:w="8560" w:space="520"/>
            <w:col w:w="2340"/>
          </w:cols>
          <w:pgMar w:left="240" w:top="576"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(MBbls)</w:t>
            </w:r>
          </w:p>
        </w:tc>
        <w:tc>
          <w:tcPr>
            <w:tcW w:w="2240" w:type="dxa"/>
            <w:vAlign w:val="bottom"/>
            <w:tcBorders>
              <w:top w:val="single" w:sz="8" w:color="CCEEFF"/>
              <w:bottom w:val="single" w:sz="8" w:color="CCEEFF"/>
            </w:tcBorders>
            <w:shd w:val="clear" w:color="auto" w:fill="CCEEFF"/>
          </w:tcPr>
          <w:p>
            <w:pPr>
              <w:spacing w:after="0"/>
              <w:rPr>
                <w:sz w:val="22"/>
                <w:szCs w:val="22"/>
                <w:color w:val="auto"/>
              </w:rPr>
            </w:pPr>
          </w:p>
        </w:tc>
        <w:tc>
          <w:tcPr>
            <w:tcW w:w="170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68%</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72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68%</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(MMcf)</w:t>
            </w:r>
          </w:p>
        </w:tc>
        <w:tc>
          <w:tcPr>
            <w:tcW w:w="39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2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7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7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55</w:t>
            </w: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240" w:type="dxa"/>
            <w:vAlign w:val="bottom"/>
            <w:vMerge w:val="continue"/>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type w:val="continuous"/>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3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 2019</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 2018</w:t>
            </w:r>
          </w:p>
        </w:tc>
        <w:tc>
          <w:tcPr>
            <w:tcW w:w="68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4"/>
        </w:trPr>
        <w:tc>
          <w:tcPr>
            <w:tcW w:w="28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Midland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Midland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65"/>
        </w:trPr>
        <w:tc>
          <w:tcPr>
            <w:tcW w:w="2880" w:type="dxa"/>
            <w:vAlign w:val="bottom"/>
          </w:tcPr>
          <w:p>
            <w:pPr>
              <w:spacing w:after="0"/>
              <w:rPr>
                <w:sz w:val="23"/>
                <w:szCs w:val="2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Basin</w:t>
            </w: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Basin</w:t>
            </w:r>
          </w:p>
        </w:tc>
        <w:tc>
          <w:tcPr>
            <w:tcW w:w="1180" w:type="dxa"/>
            <w:vAlign w:val="bottom"/>
            <w:tcBorders>
              <w:bottom w:val="single" w:sz="8" w:color="auto"/>
            </w:tcBorders>
          </w:tcPr>
          <w:p>
            <w:pPr>
              <w:jc w:val="right"/>
              <w:ind w:right="310"/>
              <w:spacing w:after="0" w:line="265"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5"/>
                <w:szCs w:val="25"/>
                <w:b w:val="1"/>
                <w:bCs w:val="1"/>
                <w:color w:val="auto"/>
                <w:vertAlign w:val="superscript"/>
              </w:rPr>
              <w:t>(1)</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Basin</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Basin</w:t>
            </w:r>
          </w:p>
        </w:tc>
        <w:tc>
          <w:tcPr>
            <w:tcW w:w="1200" w:type="dxa"/>
            <w:vAlign w:val="bottom"/>
            <w:tcBorders>
              <w:bottom w:val="single" w:sz="8" w:color="auto"/>
            </w:tcBorders>
          </w:tcPr>
          <w:p>
            <w:pPr>
              <w:jc w:val="right"/>
              <w:ind w:right="330"/>
              <w:spacing w:after="0" w:line="265"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5"/>
                <w:szCs w:val="25"/>
                <w:b w:val="1"/>
                <w:bCs w:val="1"/>
                <w:color w:val="auto"/>
                <w:vertAlign w:val="superscript"/>
              </w:rPr>
              <w:t>(2)</w:t>
            </w: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7"/>
        </w:trPr>
        <w:tc>
          <w:tcPr>
            <w:tcW w:w="2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Production Data:</w:t>
            </w:r>
          </w:p>
        </w:tc>
        <w:tc>
          <w:tcPr>
            <w:tcW w:w="1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(MBbls)</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10,422</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6,311</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669</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17,402</w:t>
            </w: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5,719</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1,702</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57</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7,478</w:t>
            </w: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(MMcf)</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10,470</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10,610</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359</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21,439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4,997</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2,222</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148</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7,367</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2,595</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1,885</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58</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4,538</w:t>
            </w: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1,221</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296</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1,540</w:t>
            </w: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(MBoe)</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14,762</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9,964</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787</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25,513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7,773</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2,368</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105</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10,246</w:t>
            </w:r>
          </w:p>
        </w:tc>
      </w:tr>
      <w:tr>
        <w:trPr>
          <w:trHeight w:val="594"/>
        </w:trPr>
        <w:tc>
          <w:tcPr>
            <w:tcW w:w="2880" w:type="dxa"/>
            <w:vAlign w:val="bottom"/>
          </w:tcPr>
          <w:p>
            <w:pPr>
              <w:spacing w:after="0"/>
              <w:rPr>
                <w:sz w:val="24"/>
                <w:szCs w:val="24"/>
                <w:color w:val="auto"/>
              </w:rPr>
            </w:pPr>
          </w:p>
        </w:tc>
        <w:tc>
          <w:tcPr>
            <w:tcW w:w="35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 June 30, 2019</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Six Months Ended June 30, 2018</w:t>
            </w:r>
          </w:p>
        </w:tc>
        <w:tc>
          <w:tcPr>
            <w:tcW w:w="680" w:type="dxa"/>
            <w:vAlign w:val="bottom"/>
          </w:tcPr>
          <w:p>
            <w:pPr>
              <w:spacing w:after="0"/>
              <w:rPr>
                <w:sz w:val="24"/>
                <w:szCs w:val="24"/>
                <w:color w:val="auto"/>
              </w:rPr>
            </w:pPr>
          </w:p>
        </w:tc>
      </w:tr>
      <w:tr>
        <w:trPr>
          <w:trHeight w:val="27"/>
        </w:trPr>
        <w:tc>
          <w:tcPr>
            <w:tcW w:w="28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4"/>
        </w:trPr>
        <w:tc>
          <w:tcPr>
            <w:tcW w:w="28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Midland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Midland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65"/>
        </w:trPr>
        <w:tc>
          <w:tcPr>
            <w:tcW w:w="2880" w:type="dxa"/>
            <w:vAlign w:val="bottom"/>
          </w:tcPr>
          <w:p>
            <w:pPr>
              <w:spacing w:after="0"/>
              <w:rPr>
                <w:sz w:val="23"/>
                <w:szCs w:val="2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Basin</w:t>
            </w: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Basin</w:t>
            </w:r>
          </w:p>
        </w:tc>
        <w:tc>
          <w:tcPr>
            <w:tcW w:w="1180" w:type="dxa"/>
            <w:vAlign w:val="bottom"/>
            <w:tcBorders>
              <w:bottom w:val="single" w:sz="8" w:color="auto"/>
            </w:tcBorders>
          </w:tcPr>
          <w:p>
            <w:pPr>
              <w:jc w:val="right"/>
              <w:ind w:right="310"/>
              <w:spacing w:after="0" w:line="265"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5"/>
                <w:szCs w:val="25"/>
                <w:b w:val="1"/>
                <w:bCs w:val="1"/>
                <w:color w:val="auto"/>
                <w:vertAlign w:val="superscript"/>
              </w:rPr>
              <w:t>(1)</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Basin</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Basin</w:t>
            </w:r>
          </w:p>
        </w:tc>
        <w:tc>
          <w:tcPr>
            <w:tcW w:w="1200" w:type="dxa"/>
            <w:vAlign w:val="bottom"/>
            <w:tcBorders>
              <w:bottom w:val="single" w:sz="8" w:color="auto"/>
            </w:tcBorders>
          </w:tcPr>
          <w:p>
            <w:pPr>
              <w:jc w:val="right"/>
              <w:ind w:right="330"/>
              <w:spacing w:after="0" w:line="265"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5"/>
                <w:szCs w:val="25"/>
                <w:b w:val="1"/>
                <w:bCs w:val="1"/>
                <w:color w:val="auto"/>
                <w:vertAlign w:val="superscript"/>
              </w:rPr>
              <w:t>(2)</w:t>
            </w: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7"/>
        </w:trPr>
        <w:tc>
          <w:tcPr>
            <w:tcW w:w="2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Production Data:</w:t>
            </w:r>
          </w:p>
        </w:tc>
        <w:tc>
          <w:tcPr>
            <w:tcW w:w="1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(MBbls)</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20,306</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11,929</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1,282</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33,517</w:t>
            </w: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11,048</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3,142</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88</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14,278</w:t>
            </w: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 (MMcf)</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20,765</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21,621</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737</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43,123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9,458</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4,228</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227</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13,913</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4,785</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3,542</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119</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8,446</w:t>
            </w:r>
          </w:p>
        </w:tc>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2,315</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532</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36</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2,883</w:t>
            </w:r>
          </w:p>
        </w:tc>
      </w:tr>
      <w:tr>
        <w:trPr>
          <w:trHeight w:val="27"/>
        </w:trPr>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(MBoe)</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28,552</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19,075</w:t>
            </w:r>
          </w:p>
        </w:tc>
        <w:tc>
          <w:tcPr>
            <w:tcW w:w="1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1,524</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49,150</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14,939</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4,379</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162</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19,480</w:t>
            </w:r>
          </w:p>
        </w:tc>
      </w:tr>
      <w:tr>
        <w:trPr>
          <w:trHeight w:val="27"/>
        </w:trPr>
        <w:tc>
          <w:tcPr>
            <w:tcW w:w="28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Central Basin Platform, the Eagle Ford Shale and the Rockies.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Eagle Ford Shale.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2019 and 2018 and Six Months Ended June 30, 2019 and 2018</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Oil, Natural Gas and Natural Gas Liquids Revenues. </w:t>
      </w:r>
      <w:r>
        <w:rPr>
          <w:rFonts w:ascii="Times New Roman" w:cs="Times New Roman" w:eastAsia="Times New Roman" w:hAnsi="Times New Roman"/>
          <w:sz w:val="18"/>
          <w:szCs w:val="18"/>
          <w:color w:val="auto"/>
        </w:rPr>
        <w:t>Our oil, natural gas and natural gas liquids revenues are a function of oil, natural gas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liquids production volumes sold and average sales prices received for those volumes. Our oil, natural gas and natural gas liquids revenues for the three months ended June 30, 2019 increased by $484 million, or 94%, to $1.0 billion from $516 million during the three months ended June 30, 2018, primarily due to higher oil, natural gas and natural gas liquids production volumes partially offset by lower average sales prices. The increases in production volumes were due to increased drilling activity and growth through acquisitions.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oil, natural gas and natural gas liquids revenues for the six months ended June 30, 2019 increased by $860 million, or 88%, to $1.8 billion from $982 million during the six months ended June 30, 2018, primarily due to higher oil, natural gas and natural gas liquids production volumes partially offset by lower average sales prices The increases in production volumes were due to a combination of increased drilling activity and growth through acquisitions.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738" w:right="239" w:bottom="1440" w:gutter="0" w:footer="0" w:header="0"/>
        </w:sectPr>
      </w:pPr>
    </w:p>
    <w:bookmarkStart w:id="62" w:name="page63"/>
    <w:bookmarkEnd w:id="6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dollar effect of the change in prices (calculated as the change in period-to-period average prices multiplied by current period production volumes of oil, natural gas and natural gas liquids) and the net dollar effect of the change in production (calculated as the increase in period-to-period volumes for oil, natural gas and natural gas liquids multiplied by the period average prices) are shown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Production</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net dollar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Production</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net dollar</w:t>
            </w:r>
          </w:p>
        </w:tc>
      </w:tr>
      <w:tr>
        <w:trPr>
          <w:trHeight w:val="265"/>
        </w:trPr>
        <w:tc>
          <w:tcPr>
            <w:tcW w:w="3100" w:type="dxa"/>
            <w:vAlign w:val="bottom"/>
          </w:tcPr>
          <w:p>
            <w:pPr>
              <w:spacing w:after="0"/>
              <w:rPr>
                <w:sz w:val="23"/>
                <w:szCs w:val="23"/>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 prices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90"/>
              <w:spacing w:after="0" w:line="265" w:lineRule="exact"/>
              <w:rPr>
                <w:sz w:val="20"/>
                <w:szCs w:val="20"/>
                <w:color w:val="auto"/>
              </w:rPr>
            </w:pPr>
            <w:r>
              <w:rPr>
                <w:rFonts w:ascii="Times New Roman" w:cs="Times New Roman" w:eastAsia="Times New Roman" w:hAnsi="Times New Roman"/>
                <w:sz w:val="18"/>
                <w:szCs w:val="18"/>
                <w:b w:val="1"/>
                <w:bCs w:val="1"/>
                <w:color w:val="auto"/>
                <w:w w:val="94"/>
              </w:rPr>
              <w:t>volumes</w:t>
            </w:r>
            <w:r>
              <w:rPr>
                <w:rFonts w:ascii="Times New Roman" w:cs="Times New Roman" w:eastAsia="Times New Roman" w:hAnsi="Times New Roman"/>
                <w:sz w:val="25"/>
                <w:szCs w:val="25"/>
                <w:b w:val="1"/>
                <w:bCs w:val="1"/>
                <w:color w:val="auto"/>
                <w:w w:val="94"/>
                <w:vertAlign w:val="superscript"/>
              </w:rPr>
              <w:t>(1)</w:t>
            </w: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 of change</w:t>
            </w:r>
          </w:p>
        </w:tc>
        <w:tc>
          <w:tcPr>
            <w:tcW w:w="100" w:type="dxa"/>
            <w:vAlign w:val="bottom"/>
          </w:tcPr>
          <w:p>
            <w:pPr>
              <w:spacing w:after="0"/>
              <w:rPr>
                <w:sz w:val="23"/>
                <w:szCs w:val="23"/>
                <w:color w:val="auto"/>
              </w:rPr>
            </w:pPr>
          </w:p>
        </w:tc>
        <w:tc>
          <w:tcPr>
            <w:tcW w:w="1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prices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90"/>
              <w:spacing w:after="0" w:line="265" w:lineRule="exact"/>
              <w:rPr>
                <w:sz w:val="20"/>
                <w:szCs w:val="20"/>
                <w:color w:val="auto"/>
              </w:rPr>
            </w:pPr>
            <w:r>
              <w:rPr>
                <w:rFonts w:ascii="Times New Roman" w:cs="Times New Roman" w:eastAsia="Times New Roman" w:hAnsi="Times New Roman"/>
                <w:sz w:val="18"/>
                <w:szCs w:val="18"/>
                <w:b w:val="1"/>
                <w:bCs w:val="1"/>
                <w:color w:val="auto"/>
                <w:w w:val="94"/>
              </w:rPr>
              <w:t>volumes</w:t>
            </w:r>
            <w:r>
              <w:rPr>
                <w:rFonts w:ascii="Times New Roman" w:cs="Times New Roman" w:eastAsia="Times New Roman" w:hAnsi="Times New Roman"/>
                <w:sz w:val="25"/>
                <w:szCs w:val="25"/>
                <w:b w:val="1"/>
                <w:bCs w:val="1"/>
                <w:color w:val="auto"/>
                <w:w w:val="94"/>
                <w:vertAlign w:val="superscript"/>
              </w:rPr>
              <w:t>(1)</w:t>
            </w: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effect of change</w:t>
            </w:r>
          </w:p>
        </w:tc>
      </w:tr>
      <w:tr>
        <w:trPr>
          <w:trHeight w:val="237"/>
        </w:trPr>
        <w:tc>
          <w:tcPr>
            <w:tcW w:w="3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changes in price: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Oil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33,517</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Natural gas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21,439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43,123</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Natural gas liquids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4,538</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8,446</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 due to change in price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383"/>
        </w:trPr>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production</w:t>
            </w: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Prior period</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net dollar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Prior period</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net dollar</w:t>
            </w:r>
          </w:p>
        </w:tc>
      </w:tr>
      <w:tr>
        <w:trPr>
          <w:trHeight w:val="265"/>
        </w:trPr>
        <w:tc>
          <w:tcPr>
            <w:tcW w:w="3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110"/>
              <w:spacing w:after="0" w:line="265" w:lineRule="exact"/>
              <w:rPr>
                <w:sz w:val="20"/>
                <w:szCs w:val="20"/>
                <w:color w:val="auto"/>
              </w:rPr>
            </w:pPr>
            <w:r>
              <w:rPr>
                <w:rFonts w:ascii="Times New Roman" w:cs="Times New Roman" w:eastAsia="Times New Roman" w:hAnsi="Times New Roman"/>
                <w:sz w:val="18"/>
                <w:szCs w:val="18"/>
                <w:b w:val="1"/>
                <w:bCs w:val="1"/>
                <w:color w:val="auto"/>
                <w:w w:val="94"/>
              </w:rPr>
              <w:t>volumes</w:t>
            </w:r>
            <w:r>
              <w:rPr>
                <w:rFonts w:ascii="Times New Roman" w:cs="Times New Roman" w:eastAsia="Times New Roman" w:hAnsi="Times New Roman"/>
                <w:sz w:val="25"/>
                <w:szCs w:val="25"/>
                <w:b w:val="1"/>
                <w:bCs w:val="1"/>
                <w:color w:val="auto"/>
                <w:w w:val="94"/>
                <w:vertAlign w:val="superscript"/>
              </w:rPr>
              <w:t>(1)</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Prices</w:t>
            </w: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 of change</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90"/>
              <w:spacing w:after="0" w:line="265" w:lineRule="exact"/>
              <w:rPr>
                <w:sz w:val="20"/>
                <w:szCs w:val="20"/>
                <w:color w:val="auto"/>
              </w:rPr>
            </w:pPr>
            <w:r>
              <w:rPr>
                <w:rFonts w:ascii="Times New Roman" w:cs="Times New Roman" w:eastAsia="Times New Roman" w:hAnsi="Times New Roman"/>
                <w:sz w:val="18"/>
                <w:szCs w:val="18"/>
                <w:b w:val="1"/>
                <w:bCs w:val="1"/>
                <w:color w:val="auto"/>
                <w:w w:val="94"/>
              </w:rPr>
              <w:t>volumes</w:t>
            </w:r>
            <w:r>
              <w:rPr>
                <w:rFonts w:ascii="Times New Roman" w:cs="Times New Roman" w:eastAsia="Times New Roman" w:hAnsi="Times New Roman"/>
                <w:sz w:val="25"/>
                <w:szCs w:val="25"/>
                <w:b w:val="1"/>
                <w:bCs w:val="1"/>
                <w:color w:val="auto"/>
                <w:w w:val="94"/>
                <w:vertAlign w:val="superscript"/>
              </w:rPr>
              <w:t>(1)</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Prices</w:t>
            </w: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effect of change</w:t>
            </w:r>
          </w:p>
        </w:tc>
      </w:tr>
      <w:tr>
        <w:trPr>
          <w:trHeight w:val="237"/>
        </w:trPr>
        <w:tc>
          <w:tcPr>
            <w:tcW w:w="3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changes in production volumes: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Oil</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61.60</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1,185</w:t>
            </w:r>
          </w:p>
        </w:tc>
      </w:tr>
      <w:tr>
        <w:trPr>
          <w:trHeight w:val="27"/>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Natural gas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Natural gas liquids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27.99</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26.40</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3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31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revenues due to change in</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61"/>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production volumes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1,386</w:t>
            </w:r>
          </w:p>
        </w:tc>
      </w:tr>
      <w:tr>
        <w:trPr>
          <w:trHeight w:val="250"/>
        </w:trPr>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change in revenues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8890</wp:posOffset>
            </wp:positionV>
            <wp:extent cx="866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8890</wp:posOffset>
            </wp:positionV>
            <wp:extent cx="866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Production volumes are presented in MBbls for oil and natural gas liquids and MMcf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-127635</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-127635</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Realized pricing improved in the second quarter of 2019 compared to the first quarter of 2019 as some of our fixed differential contracts began to roll off and convert to commitments on new-build long-haul pipelines and others moved closer to current Midland market price. Based on current market differentials and estimated in-basin gathering cost, we continue to expect to realize approximately 95% or greater of WTI in the future remainder of 2019 and approximately 100% or greater of WTI in 2020.</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Lease Bonus Revenue. </w:t>
      </w:r>
      <w:r>
        <w:rPr>
          <w:rFonts w:ascii="Times New Roman" w:cs="Times New Roman" w:eastAsia="Times New Roman" w:hAnsi="Times New Roman"/>
          <w:sz w:val="18"/>
          <w:szCs w:val="18"/>
          <w:color w:val="auto"/>
        </w:rPr>
        <w:t>The following table shows lease bonus revenue for the three months and six months ended June 30, 2019 and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bonus 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Lease bonus revenue for the three months ended June 30, 2019 was attributable to lease bonus payments on four new leases, reflecting an average bonus of $13,632 per acre. Lease bonus revenue for the six months ended June 30, 2019 was attributable to lease bonus payments to extend the term of four leases, reflecting an average bonus of $507 per acre, and lease bonus payments on eight new leases, reflecting an average bonus of $14,689 per acre.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Lease bonus revenue for the three and six months ended June 30, 2018 was attributable to lease bonus payments to extend the term of two leases, reflecting an average bonus of $6,111 per acre.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580" w:right="2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Midstream Services Revenue. </w:t>
      </w:r>
      <w:r>
        <w:rPr>
          <w:rFonts w:ascii="Times New Roman" w:cs="Times New Roman" w:eastAsia="Times New Roman" w:hAnsi="Times New Roman"/>
          <w:sz w:val="18"/>
          <w:szCs w:val="18"/>
          <w:color w:val="auto"/>
        </w:rPr>
        <w:t>The following table shows midstream services revenue for the three months and six months ended June 30, 2019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Midstream services 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35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Lease Operating Expenses. </w:t>
      </w:r>
      <w:r>
        <w:rPr>
          <w:rFonts w:ascii="Times New Roman" w:cs="Times New Roman" w:eastAsia="Times New Roman" w:hAnsi="Times New Roman"/>
          <w:sz w:val="18"/>
          <w:szCs w:val="18"/>
          <w:color w:val="auto"/>
        </w:rPr>
        <w:t>The following table shows lease operating expenses for the three months and six months ended June 30, 2019 and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 except per BOE amounts)</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operating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Lease operating expenses for the three months ended June 30, 2019 as compared to the three months ended June 30, 2018, increased by $84 million, or $0.82 per BOE. Lease operating expenses for the six months ended June 30, 2019 as compared to the six months ended June 30, 2018, increased by $156 million, or $0.69 per BOE. In both cases, the per BOE increases in lease operating expenses are primarily attributable to the conventional assets and production in the Central Basin Platform that we acquired in the Energen Merger. We announced the divestiture of these assets in May 2019 and closed on the $285 million sale of these assets on July 1, 2019. This divestiture is expected to reduce lease operating expenses on a per BOE basis for the second half of 2019. We will also continue to work to reduce all lease operating expenses consistent with our historical operating practices.</w:t>
      </w:r>
    </w:p>
    <w:p>
      <w:pPr>
        <w:spacing w:after="0" w:line="184"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Ad Valorem Tax Expense. </w:t>
      </w:r>
      <w:r>
        <w:rPr>
          <w:rFonts w:ascii="Times New Roman" w:cs="Times New Roman" w:eastAsia="Times New Roman" w:hAnsi="Times New Roman"/>
          <w:sz w:val="18"/>
          <w:szCs w:val="18"/>
          <w:color w:val="auto"/>
        </w:rPr>
        <w:t>The following table shows production and ad valorem tax expense for the three months and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2019 and 2018:</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4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 except per BOE amounts)</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Production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 valorem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production and ad valorem</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general, production taxes and ad valorem taxes are directly related to commodity price changes; however, Texas ad valorem taxes are based upon prior year commodity prices, among other factors, whereas production taxes are based upon current year commodity prices. Production taxes for the three months ended June 30, 2019 as compared to the three months ended June 30, 2018, increased by $21 million due to acquisitions of new wells combined with well completions. Production taxes per BOE for the three months ended June 30, 2019 as compared to the three months ended June 30, 2018, decreased by $0.62 primarily due to a higher percentage increase in production volumes as compared to production taxes. Ad valorem taxes for the three months ended June 30, 2019 as compared to the three months ended June 30, 2018, increased by $10 million due to the addition of taxes associated with wells drilled in 2018 that are now being assessed by the county for 2019 taxes coupled with wells acquired in 2018.</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Production taxes for the six months ended June 30, 2019 as compared to the six months ended June 30, 2018, increased by $39 million due to increased overall production from acquisitions and well completions. Production taxes per BOE for the six months ended June 30, 2019 as compared to the six months ended June 30, 2018, decreased by $0.66 primarily due to a higher percentage increase in production volumes as compared to production taxes. Ad valorem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576" w:right="239" w:bottom="1440" w:gutter="0" w:footer="0" w:header="0"/>
        </w:sectPr>
      </w:pPr>
    </w:p>
    <w:bookmarkStart w:id="64" w:name="page65"/>
    <w:bookmarkEnd w:id="64"/>
    <w:p>
      <w:pPr>
        <w:spacing w:after="0" w:line="282" w:lineRule="auto"/>
        <w:rPr>
          <w:sz w:val="20"/>
          <w:szCs w:val="20"/>
          <w:color w:val="auto"/>
        </w:rPr>
      </w:pPr>
      <w:r>
        <w:rPr>
          <w:rFonts w:ascii="Times New Roman" w:cs="Times New Roman" w:eastAsia="Times New Roman" w:hAnsi="Times New Roman"/>
          <w:sz w:val="18"/>
          <w:szCs w:val="18"/>
          <w:color w:val="auto"/>
        </w:rPr>
        <w:t>taxes for the six months ended June 30, 2019 as compared to the six months ended June 30, 2018, increased by $20 million due to the addition of acquired and completed wells from the latter half of 2018.</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Midstream Services Expense. </w:t>
      </w:r>
      <w:r>
        <w:rPr>
          <w:rFonts w:ascii="Times New Roman" w:cs="Times New Roman" w:eastAsia="Times New Roman" w:hAnsi="Times New Roman"/>
          <w:sz w:val="18"/>
          <w:szCs w:val="18"/>
          <w:color w:val="auto"/>
        </w:rPr>
        <w:t>The following table shows midstream services expense for the three months and six months ended June 30, 2019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Midstream services expense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34</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6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Midstream services expense represents costs incurred to operate and maintain our oil and natural gas gathering and transportation systems, natural gas lift, compression infrastructure and water transportation facilities.</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Depletion and Amortization. </w:t>
      </w:r>
      <w:r>
        <w:rPr>
          <w:rFonts w:ascii="Times New Roman" w:cs="Times New Roman" w:eastAsia="Times New Roman" w:hAnsi="Times New Roman"/>
          <w:sz w:val="18"/>
          <w:szCs w:val="18"/>
          <w:color w:val="auto"/>
        </w:rPr>
        <w:t>The following table provides the components of our depreciation, depletion and amortization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and six months ended June 30, 2019 and 2018:</w:t>
      </w:r>
    </w:p>
    <w:p>
      <w:pPr>
        <w:sectPr>
          <w:pgSz w:w="11900" w:h="16838" w:orient="portrait"/>
          <w:cols w:equalWidth="0" w:num="1">
            <w:col w:w="11420"/>
          </w:cols>
          <w:pgMar w:left="240" w:top="580" w:right="239" w:bottom="1440" w:gutter="0" w:footer="0" w:header="0"/>
        </w:sectPr>
      </w:pPr>
    </w:p>
    <w:p>
      <w:pPr>
        <w:spacing w:after="0" w:line="101"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44450</wp:posOffset>
            </wp:positionV>
            <wp:extent cx="15265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68" w:lineRule="exact"/>
        <w:rPr>
          <w:sz w:val="20"/>
          <w:szCs w:val="20"/>
          <w:color w:val="auto"/>
        </w:rPr>
      </w:pPr>
    </w:p>
    <w:p>
      <w:pPr>
        <w:ind w:left="6820"/>
        <w:spacing w:after="0"/>
        <w:tabs>
          <w:tab w:leader="none" w:pos="804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36830</wp:posOffset>
            </wp:positionV>
            <wp:extent cx="15265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44450</wp:posOffset>
            </wp:positionV>
            <wp:extent cx="15862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68" w:lineRule="exact"/>
        <w:rPr>
          <w:sz w:val="20"/>
          <w:szCs w:val="20"/>
          <w:color w:val="auto"/>
        </w:rPr>
      </w:pPr>
    </w:p>
    <w:p>
      <w:pPr>
        <w:ind w:left="16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36830</wp:posOffset>
            </wp:positionV>
            <wp:extent cx="15862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8780" w:space="360"/>
            <w:col w:w="228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20" w:type="dxa"/>
            <w:vAlign w:val="bottom"/>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 millions, except BOE amounts)</w:t>
            </w:r>
          </w:p>
        </w:tc>
        <w:tc>
          <w:tcPr>
            <w:tcW w:w="8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Depletion of proved oil and natural gas properties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of midstream assets</w:t>
            </w:r>
          </w:p>
        </w:tc>
        <w:tc>
          <w:tcPr>
            <w:tcW w:w="4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of other property and equipment</w:t>
            </w: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6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 expense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681</w:t>
            </w:r>
          </w:p>
        </w:tc>
        <w:tc>
          <w:tcPr>
            <w:tcW w:w="5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natural gas properties depreciation, depletion and amortization per BOE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13.53</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13.35</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w:t>
            </w:r>
          </w:p>
        </w:tc>
      </w:tr>
      <w:tr>
        <w:trPr>
          <w:trHeight w:val="27"/>
        </w:trPr>
        <w:tc>
          <w:tcPr>
            <w:tcW w:w="6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depletion of proved oil and natural gas properties of $222 million for the three months ended June 30, 2019 as compared to the three months ended June 30, 2018 resulted primarily from higher production levels and an increase in net book value on new reserves added. The increase in depletion of proved oil and natural gas properties of $424 million for the six months ended June 30, 2019 as compared to the six months ended June 30, 2018 resulted primarily from higher production levels and an increase in net book value on new reserves added.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The following table shows general and administrative expenses for the three months and six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2019 and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4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 except per BOE amounts)</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16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 BOE</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general and administrative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June 30, 2019 as compared to the three months ended June 30, 2018, increased by $7 million primarily due to an increase in salaries and benefits as a result of increased head count. General and administrative expenses for the six months ended June 30, 2019 as compared to the six months ended June 30, 2018, increased by $18 million primarily due to an increase in salaries and benefits as a result of increased head count.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80" w:right="239" w:bottom="1440" w:gutter="0" w:footer="0" w:header="0"/>
          <w:type w:val="continuous"/>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Interest Expense. </w:t>
      </w:r>
      <w:r>
        <w:rPr>
          <w:rFonts w:ascii="Times New Roman" w:cs="Times New Roman" w:eastAsia="Times New Roman" w:hAnsi="Times New Roman"/>
          <w:sz w:val="18"/>
          <w:szCs w:val="18"/>
          <w:color w:val="auto"/>
        </w:rPr>
        <w:t>The following table shows net interest expense for the three months and six months ended June 30, 2019 and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interest expense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95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6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interest expense for the three months ended June 30, 2019 as compared to the three months ended June 30, 2018, increased by $33 million. This increase was primarily due to a higher interest rate and increased average borrowings under our credit facility during the three months ended June 30, 2019 as compared to the three months ended June 30, 2018 as well as an increase in interest expense of $7 million related to our DrillCo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interest expense for the six months ended June 30, 2019 as compared to the six months ended June 30, 2018, increased by $65 million. This increase was primarily due to a higher interest rate and increased average borrowings under our credit facility during the six months ended June 30, 2019 as compared to the six months ended June 30, 2018 as well as an increase in interest expense of $12 million related to our DrillCo Agreement.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The following table shows the gain (loss) on derivative instruments, net for the three months and six months ended June 30, 2019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8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fair value of open non-hedge derivative instruments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settlement of non-hedge derivative instruments</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recognize all derivative instruments on the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following table shows provision for (benefit from) income taxes for the three months and six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2019 and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69</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6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change in our income tax provision was primarily due to the increase in pre-tax book income for the three months ended June 30, 2019 and a discrete income tax benefit resulting from estimated deferred taxes recognized as a result of Viper’s change in tax status for the three months ended June 30, 2018.</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 in our income tax provision was primarily due to the discrete income tax benefit resulting from estimated deferred taxes recognized as a result of Viper’s change in tax status for the six months ended June 30,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576"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our primary sources of liquidity have been proceeds from our public equity offerings, borrowings under our revolving credit facility, proceeds from the issuance of our senior notes and cash flows from operations. Our primary uses of capital have been for the acquisition, development and exploration of oil and natural gas properties. As we pursue reserves and production growth, we regularly consider which capital resources, including equity and debt financings, are available to meet our future financial obligations, planned capital expenditure activities and liquidity requirements. Our future ability to grow proved reserves and production will be highly dependent on the capital resources available to 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Cash Flow</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8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Our cash flows for the six months ended June 30, 2019 and 2018 are presented below:</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8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96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1,043</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r>
      <w:tr>
        <w:trPr>
          <w:trHeight w:val="257"/>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$1.0 billion for the six months ended June 30, 2019 as compared to $764 million for the six months ended June 30, 2018. The increase in operating cash flows is primarily the result of an increase in our oil and natural gas revenues due to an increase in production growth partially offset by a decrease in average prices during the six months ended June 30, 2019.</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See “—Sources of our revenue”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purchase and development of oil and natural gas properties accounted for the majority of our cash outlays for investing activities. Net cash used in investing activities was $1.8 billion and $1.2 billion during the six months ended June 30, 2019 and 2018, respectively.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2019, we spent (a) $1.2 billion on capital expenditures in conjunction with our development program, in which we drilled 172 gross (152 net) operated horizontal wells, of which 82 gross (73 net) wells were in the Delaware Basin and the remaining wells were in the Midland Basin, and turned 151 gross (137 net) operated horizontal wells into production, of which 68 gross (59 net) wells were in the Delaware Basin and the remaining wells were in the Midland Basin, (b) $111 million on additions to midstream assets, (c) $127 million on leasehold acquisitions, (d) $125 million for the acquisition of mineral interests, (e) $7 million for the purchase of other property and equipment and (f) $186 million on equity investments.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2018, we spent (a) $614 million on capital expenditures in conjunction with our drilling program and related infrastructure projects, in which we drilled 94 gross (86 net) operated horizontal wells, of which 33 gross (31 net) wells were in the Delaware Basin and the remaining wells were in the Midland Basin, and turned 85 gross (75 net) operated horizontal wells into production, of which 41 gross (36 net) wells were in the Delaware Basin and the remaining wells were in the Midland Basin, (b) $95 million on additions to midstream assets, (c) $101 million on leasehold acquisitions, (d) $253 million for mineral interests acquisitions, (e) $110 million for investment in real estate and (f) $4 million for the purchase of other property and equipment.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576" w:right="2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Our investing activities for the six months ended June 30, 2019 and 2018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96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Drilling, completion and non-operated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to infrastructure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to midstream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leasehold interests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 mineral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other property, equipment and land</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Funds held in escrow</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2019 and 2018 was $840 million and $436 million, respectively. During the six months ended June 30, 2019, the amount provided by financing activities was primarily attributable to $341 million in net proceeds from Viper’s public offering completed on March 1, 2019, $720 million in net proceeds from the Rattler Offering and $43 million in proceeds from joint ventures, partially offset by $48 million of repayments, net of borrowings under our credit facility, $50 million of distributions to non-controlling interest, $104 million of share repurchases as part of our stock repurchase program and $51 million of dividends to stockholders. The 2018 amount provided by financing activities was primarily attributable to the issuance of $300 million of new senior notes and $12 million of premium on proceeds of the new senior notes described below, $181 million of borrowings, net of repayments, partially offset by $38 million in distributions to non-controlling interest and $12 million of dividends to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Senior Notes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October 28, 2016, we issued $500 million in aggregate principal amount of 4.750% senior notes due 2024, which we refer to as the existing 2024 senior notes, under an indenture among us, the subsidiary guarantors party thereto and Wells Fargo, as the trustee, which we refer to as the 2024 indenture. On September 25, 2018, we issued $750 million aggregate principal amount of new 4.750% senior notes due 2024, which we refer to as the new 2024 notes and, together with the existing 2024 senior notes, as the 2024 senior notes, as additional notes under, and subject to the terms of, the 2024 indenture.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2024 senior notes bear interest at a rate of 4.750% per annum, payable semi-annually, in arrears on May 1 and November 1 of each year, commencing on May 1, 2017 and will mature on November 1, 2024. All of our existing and future restricted subsidiaries that guarantee our revolving credit facility or certain other debt guarantee the 2024 senior notes; provided, however, that the 2024 senior notes are not guaranteed by Viper, Viper’s General Partner, Viper LLC, Rattler, Rattler’s General Partner or Rattler LLC, and will not be guaranteed by any of our future unrestricted subsidiaries.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under the terms of the registration rights agreements relating to the new 2024 senior notes, on March 22, 2019, we filed with the SEC our Registration Statement on Form S-4, as amended on July 3, 2019, which we refer to as the Exchange Offer S-4, relating to the exchange offers of the new 2024 senior notes for substantially identical notes registered under the Securities Act. The Exchange Offer S-4 was declared effective by the SEC on July 11, 2019 and we commenced the exchange offer on July 12, 2019. We expect to close the exchange offer in August of 2019.</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2024 senior notes, see Note 11—Debt included in Notes to the Consolidated Financial Statements included elsewhere in this Form 10-Q.</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580"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2025 Senior Notes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December 20, 2016, we issued $500 million in aggregate principal amount of 5.375% senior notes due 2025, which we refer to as the exiting 2025 notes, under an indenture among us, the subsidiary guarantors party thereto and Wells Fargo, as the trustee. On January 29, 2018, we issued $300 million aggregate principal amount of new 5.375% senior notes due 2025, which we refer to as the new 2025 notes and, together with the existing 2025 notes, as additional notes under the 2025 indenture.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2025 senior notes bear interest at a rate of 5.375% per annum, payable semi-annually, in arrears on May 31 and November 30 of each year and will mature on May 31, 2025. All of our existing and future restricted subsidiaries that guarantee our revolving credit facility or certain other debt guarantee the 2025 senior notes; provided, however, that the 2025 senior notes are not guaranteed by Viper, Viper’s General Partner, Viper LLC, Rattler, Rattler’s General Partner or Rattler LLC, and will not be guaranteed by any of our future unrestricted subsidiaries.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2025 senior notes, see Note 11—Debt included in Notes to the Consolidated Financial Statements included elsewhere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Energen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Energen became our wholly owned subsidiary and remained the issuer of an aggregate principal amount of $530 million in notes, which we refer to as the Energen Notes, issued under an indenture dated September 1, 1996 with The Bank of New York as Trustee, which we refer to as the Energen Indenture. The Energen Notes consist of: (a) $400 million aggregate principal amount of 4.625% senior notes due on September 1, 2021, (b) $100 million of 7.125% notes due on February 15, 2028, (c) $20 million of 7.320% notes due on July 28, 2022, and (d) $10 million of 7.35% notes due on July 28, 2027.</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Energen Notes are the senior unsecured obligations of Energen and, post-merger, Energen, as our wholly owned subsidiary, continues to be the sole issuer and obligor under the Energen Notes. The Energen Notes rank equally in right of payment with all other senior unsecured indebtedness of Energen, including any unsecured guaranties by Energen of our indebtedness, and are effectively subordinated to Energen’s senior secured indebtedness, including Energen’s secured guaranty of all borrowings and other obligations under our revolving credit facility, to the extent of the value of the collateral securing such indebtedness.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Energen Notes, See Note 11—Debt included in Notes to the Consolidated Financial Statements included elsewhere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Credit Facility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and Diamondback O&amp;G LLC, as borrower, entered into the second amended and restated credit agreement, dated November 1, 2013, as amended, with a syndicate of banks, including Wells Fargo, as administrative agent, and its affiliate Wells Fargo Securities, LLC, as sole book runner and lead arranger. On June 28, 2019, the credit agreement was amended pursuant to an eleventh amendment, which implemented certain changes to the credit facility for the period on and after the date on which our unsecured debt achieves an investment grade rating from two rating agencies and certain other conditions in the credit agreement are satisfied (the “investment grade changeover date”). The maximum credit amount available under the credit agreement is $5 billion, subject, prior to the investment grade changeover date, to a borrowing base based on our oil and natural gas reserves and other factors (the “borrowing base”) and the elected commitment amount. Prior to the investment grade changeover date, the borrowing base is scheduled to be redetermined, under certain circumstances, annually with an effective date of May 1st, and, under certain circumstances, semi-annually with effective dates of May 1st and November 1st. In addition, we and Wells Fargo may each request up to two interim redeterminations of the borrowing base during any 12-month period. Effective June 28, 2019, the borrowing base was increased from $2.65 billion to $3.4 billion. On and after the investment grade changeover date, the maximum credit amount available under the credit agreement will be based solely on the commitments of the lenders, and will no longer be limited by the borrowing base. On the investment grade changeover date, the aggregate commitments of the lenders will be set at an amount equal to the aggregate elected commitment amount in effect on such date. As of June 30, 2019, the aggregate elected commitment amount was $2.5 billion and we had approximately $1.6 billion of outstanding borrowings under our revolving credit facility and $861 million available for future borrowings under our revolving credit facility.</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Diamondback O&amp;G LLC is the borrower under the credit agreement. As of June 30, 2019, the credit agreement is guaranteed by us, Diamondback E&amp;P LLC and Energen and its subsidiaries and will also be guaranteed by any 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576" w:right="239" w:bottom="1440" w:gutter="0" w:footer="0" w:header="0"/>
        </w:sectPr>
      </w:pPr>
    </w:p>
    <w:bookmarkStart w:id="69" w:name="page70"/>
    <w:bookmarkEnd w:id="69"/>
    <w:p>
      <w:pPr>
        <w:jc w:val="both"/>
        <w:spacing w:after="0" w:line="258" w:lineRule="auto"/>
        <w:rPr>
          <w:sz w:val="20"/>
          <w:szCs w:val="20"/>
          <w:color w:val="auto"/>
        </w:rPr>
      </w:pPr>
      <w:r>
        <w:rPr>
          <w:rFonts w:ascii="Times New Roman" w:cs="Times New Roman" w:eastAsia="Times New Roman" w:hAnsi="Times New Roman"/>
          <w:sz w:val="18"/>
          <w:szCs w:val="18"/>
          <w:color w:val="auto"/>
        </w:rPr>
        <w:t>our future subsidiaries that are classified as restricted subsidiaries under the credit agreement. On and after the investment grade changeover date, we and Diamondback O&amp;G LLC will no longer be required to cause all restricted subsidiaries to guarantee the credit agreement, and, in certain circumstances, may cause guaranties made by subsidiary guarantors to be released. Prior to the investment grade changeover date, the credit agreement is also secured by substantially all of the assets of us, Diamondback O&amp;G LLC and the guarantors. On and after the investment grade changeover date, the credit agreement will be unsecured and all liens securing the credit facility will be released.</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a per annum rate elected by us that is equal to an alternate base rate (which is equal to the greatest of the prime rate, the Federal Funds effective rate plus 0.5%, and 3-month LIBOR plus 1.0%) or LIBOR, in each case plus the applicable margin. Prior to the investment grade changeover date, the applicable margin ranges from 0.25% to 1.25% in the case of the alternate base rate and from 1.25% to 2.25% in the case of LIBOR, in each case depending on the amount of loans and letters of credit outstanding in relation to the commitment, which is defined as the least of the maximum credit amount, the borrowing base and the elected commitment amount. On and after the investment grade changeover date, the applicable margin will range from 0.125% to 1.0% per annum in the case of the alternate base rate and from 1.125% to 2.0% per annum in the case of LIBOR, in each case, depending on the pricing level, which in turn depends on the rating agencies’ rating of our unsecured debt. Prior to the investment grade changeover date, we are obligated to pay a quarterly commitment fee ranging from 0.375% to 0.500% per year on the unused portion of the commitment, which fee is also dependent on the amount of loans and letters of credit outstanding in relation to the commitment. On and after the investment grade changeover date, the commitment fee will range from 0.125% to 0.350% per year on the unused portion of the commitment, based on the pricing level, which in turn depends on the rating agencies’ rating of our unsecured debt.</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Loan principal may be optionally repaid from time to time without premium or penalty (other than customary LIBOR breakage). Prior to the investment grade changeover date, loan principal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 On and after the investment grade changeover date, loan principal is required to be repaid (a) to the extent the loan amount exceeds the commitment due to any termination or reduction of the aggregate maximum credit amount and (b) at the maturity date of November 1, 2022.</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 (prior to the investment grade</w:t>
            </w:r>
          </w:p>
        </w:tc>
        <w:tc>
          <w:tcPr>
            <w:tcW w:w="4300" w:type="dxa"/>
            <w:vAlign w:val="bottom"/>
          </w:tcPr>
          <w:p>
            <w:pPr>
              <w:spacing w:after="0"/>
              <w:rPr>
                <w:sz w:val="18"/>
                <w:szCs w:val="18"/>
                <w:color w:val="auto"/>
              </w:rPr>
            </w:pPr>
          </w:p>
        </w:tc>
      </w:tr>
      <w:tr>
        <w:trPr>
          <w:trHeight w:val="238"/>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changeover date)</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Not less than 1.0 to 1.0</w:t>
            </w: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covenant prohibiting additional indebtedness, applicable prior to the investment grade changeover date,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and after the investment grade changeover date, the financial covenants listed above will be replaced by a financial covenant that will require the Company to not permit the total net debt to capitalization ratio, as defined in the credit agreement, to exceed 65%. Additionally, on and after the investment grade changeover date, many of the negative covenants set forth in the credit agreement will no longer restrict us, Diamondback O&amp;G LLC and our restricted subsidiaries (the “Restricted Group”), including the covenants that limit (i) equity repurchases, dividends and other restricted payments, (ii) redemptions of the senior or senior subordinated notes, (iii) making investments, (iv) dispositions of property, (v) transactions with affiliates, and (vi) entering into swap agreements. In addition, on and after the investment grade changeover date, (i) the debt covenant will no longer restrict incurrences of debt by Diamondback O&amp;G LLC and guarantors, and will allow non-guarantor restricted subsidiaries to incur debt for borrowed money in an aggregate principal amount up to 15% of consolidated net tangible assets (as defined in the credit agreement) and (ii) the liens covenant will be modified to allow the Restricted Group to create liens if the aggregate amount of debt secured by such liens does not exceed 15% of consolidated net tangible assets.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580" w:right="239" w:bottom="1440" w:gutter="0" w:footer="0" w:header="0"/>
        </w:sectPr>
      </w:pPr>
    </w:p>
    <w:bookmarkStart w:id="70" w:name="page71"/>
    <w:bookmarkEnd w:id="7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2019, we were in compliance with all financial covenants under our revolving credit facility. The lenders may accelerate all of the indebtedness under our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our revolving credit facility generally may be amended with the consent of the lenders holding a majority of the outstanding loans or commitments to lend.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Viper’s Credit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8, 2014, Viper entered into a secured revolving credit agreement, or revolving credit facility, with Wells Fargo, as administrative agent, certain other lenders, and Viper LLC, as guarantor. On May 8, 2018, Viper LLC assumed all liabilities as borrower under the credit agreement and Viper became a guarantor of the credit agreement. On July 20, 2018, Viper LLC, Viper, Wells Fargo and the other lenders amended and restated the credit agreement to reflect the assumption by Viper LLC. The credit agreement, as amended and restated, provides for a revolving credit facility in the maximum credit amount of $2 billion and a borrowing base based on Viper’s oil and natural gas reserves and other factors (the “borrowing base”) of $600 million, subject to scheduled semi-annual and other borrowing base redeterminations. The borrowing base is scheduled to be re-determined semi-annually with effective dates of May 1st and November 1st. In addition, Viper LLC and Wells Fargo each may request up to three interim redeterminations of the borrowing base during any 12-month period. Effective June 27, 2019, in connection with Viper’s spring 2019 redetermination, the borrowing base increased from $555 million to $600 million and, as of June 30, 2019, the borrowing base was set at $600 million, and Viper had $213 million of outstanding borrowings and $387 million available for future borrowings under its revolving credit facility.</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outstanding borrowings under Viper’s credit agreement bear interest at a per annum rate elected by Viper LLC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Viper LLC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 The loan is secured by substantially all of the assets of Viper and Viper LLC.</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Viper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Not greater than 4.0 to 1.0</w:t>
            </w:r>
          </w:p>
        </w:tc>
      </w:tr>
      <w:tr>
        <w:trPr>
          <w:trHeight w:val="243"/>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Not less than 1.0 to 1.0</w:t>
            </w: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covenant prohibiting additional indebtedness allows for the issuance of unsecured debt of up to $400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lenders may accelerate all of the indebtedness under the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580"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covenants, but non-payment of interest and breaches of certain affirmative covenants are subject to customary cure periods.</w:t>
      </w:r>
    </w:p>
    <w:p>
      <w:pPr>
        <w:sectPr>
          <w:pgSz w:w="11900" w:h="16838" w:orient="portrait"/>
          <w:cols w:equalWidth="0" w:num="1">
            <w:col w:w="10219"/>
          </w:cols>
          <w:pgMar w:left="240" w:top="58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219"/>
          </w:cols>
          <w:pgMar w:left="240" w:top="580" w:right="1440"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Rattler’s Credit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Rattler Offering, Rattler, as parent, and Rattler LLC, as borrower, entered into a credit agreement, dated May 28, 2019, with Wells Fargo Bank, National Association, as administrative agent, and a syndicate of banks, including Wells Fargo Bank, National Association, as lenders party thereto, which we refer to as the Rattler credit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Rattler credit agreement provides for a revolving credit facility in the maximum credit amount of $600 million. Loan principal may be optionally repaid from time to time without premium or penalty (other than customary LIBOR breakage), and is required to be paid at the maturity date of May 28, 2024. The loan is guaranteed by Rattler and Tall City, and is secured by substantially all of the assets of Rattler LLC, Rattler and Tall City. As of June 30, 2019, Rattler LLC had $1 million of outstanding borrowings and $599 million available for future borrowings under the Rattler Credit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outstanding borrowings under the Rattler credit agreement bear interest at a per annum rate elected by Rattler LLC that is based on the prime rate or LIBOR, in each case plus an applicable margin. The applicable margin ranges from 0.250% to 1.250% per annum for prime-based loans and 1.250% to 2.250% per annum for LIBOR loans, in each case depending on the Consolidated Total Leverage Ratio (as defined in the Rattler credit agreement). Rattler LLC is obligated to pay a quarterly commitment fee ranging from 0.250% to 0.375% per annum on the unused portion of the commitment, which fee is also dependent on the Consolidated Total Leverage Ratio.</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Rattler credit agreement contains various affirmative and negative covenants. These covenants, among other things, limit additional indebtedness, additional liens, sales of assets, mergers and consolidations, distributions and other restricted payments, transactions with affiliates, and entering into certain swap agreements, in each case of Rattler, Rattler LLC and their restricted subsidiaries. The covenants are subject to exceptions set forth in the Rattler credit agreement, including an exception allowing Rattler LLC or Rattler to issue unsecured debt securities and an exception allowing payment of distributions if no default exists. The Rattler credit agreement may be used to fund capital expenditures, to finance working capital, for general company purposes, to pay fees and expenses related to the Rattler credit agreement, and to make distributions permitted under the Rattler credit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Rattler credit agreement also contains financial maintenance covenants that require the maintenance of the financial ratios described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Required Ratio</w:t>
            </w:r>
          </w:p>
        </w:tc>
      </w:tr>
      <w:tr>
        <w:trPr>
          <w:trHeight w:val="27"/>
        </w:trPr>
        <w:tc>
          <w:tcPr>
            <w:tcW w:w="70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18"/>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Total Leverage Ratio commencing with the fiscal quarter ending September 30,</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greater than 5.00 to 1.00 (or not greater than 5.50 to</w:t>
            </w:r>
          </w:p>
        </w:tc>
      </w:tr>
      <w:tr>
        <w:trPr>
          <w:trHeight w:val="216"/>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for 3 fiscal quarters following certain acquisitions),</w:t>
            </w:r>
          </w:p>
        </w:tc>
      </w:tr>
      <w:tr>
        <w:trPr>
          <w:trHeight w:val="216"/>
        </w:trPr>
        <w:tc>
          <w:tcPr>
            <w:tcW w:w="7060" w:type="dxa"/>
            <w:vAlign w:val="bottom"/>
            <w:shd w:val="clear" w:color="auto" w:fill="CCEEFF"/>
          </w:tcPr>
          <w:p>
            <w:pPr>
              <w:spacing w:after="0"/>
              <w:rPr>
                <w:sz w:val="18"/>
                <w:szCs w:val="18"/>
                <w:color w:val="auto"/>
              </w:rPr>
            </w:pP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but if the Consolidated Senior Secured Leverage Ratio (as</w:t>
            </w:r>
          </w:p>
        </w:tc>
      </w:tr>
      <w:tr>
        <w:trPr>
          <w:trHeight w:val="216"/>
        </w:trPr>
        <w:tc>
          <w:tcPr>
            <w:tcW w:w="7060" w:type="dxa"/>
            <w:vAlign w:val="bottom"/>
            <w:shd w:val="clear" w:color="auto" w:fill="CCEEFF"/>
          </w:tcPr>
          <w:p>
            <w:pPr>
              <w:spacing w:after="0"/>
              <w:rPr>
                <w:sz w:val="18"/>
                <w:szCs w:val="18"/>
                <w:color w:val="auto"/>
              </w:rPr>
            </w:pP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defined in the Rattler credit agreement) is applicable, then</w:t>
            </w:r>
          </w:p>
        </w:tc>
      </w:tr>
      <w:tr>
        <w:trPr>
          <w:trHeight w:val="241"/>
        </w:trPr>
        <w:tc>
          <w:tcPr>
            <w:tcW w:w="7060" w:type="dxa"/>
            <w:vAlign w:val="bottom"/>
            <w:tcBorders>
              <w:bottom w:val="single" w:sz="8" w:color="CCEEFF"/>
            </w:tcBorders>
            <w:shd w:val="clear" w:color="auto" w:fill="CCEEFF"/>
          </w:tcPr>
          <w:p>
            <w:pPr>
              <w:spacing w:after="0"/>
              <w:rPr>
                <w:sz w:val="20"/>
                <w:szCs w:val="20"/>
                <w:color w:val="auto"/>
              </w:rPr>
            </w:pPr>
          </w:p>
        </w:tc>
        <w:tc>
          <w:tcPr>
            <w:tcW w:w="4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greater than 5.25 to 1.00)</w:t>
            </w:r>
          </w:p>
        </w:tc>
      </w:tr>
      <w:tr>
        <w:trPr>
          <w:trHeight w:val="225"/>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Senior Secured Leverage Ratio commencing with the last day of any fiscal quarter</w:t>
            </w:r>
          </w:p>
        </w:tc>
        <w:tc>
          <w:tcPr>
            <w:tcW w:w="4360" w:type="dxa"/>
            <w:vAlign w:val="bottom"/>
          </w:tcPr>
          <w:p>
            <w:pPr>
              <w:spacing w:after="0"/>
              <w:rPr>
                <w:sz w:val="19"/>
                <w:szCs w:val="19"/>
                <w:color w:val="auto"/>
              </w:rPr>
            </w:pPr>
          </w:p>
        </w:tc>
      </w:tr>
      <w:tr>
        <w:trPr>
          <w:trHeight w:val="234"/>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which the Financial Covenant Election (as defined in the Rattler credit agreement) is made</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greater than 3.50 to 1.00</w:t>
            </w:r>
          </w:p>
        </w:tc>
      </w:tr>
      <w:tr>
        <w:trPr>
          <w:trHeight w:val="27"/>
        </w:trPr>
        <w:tc>
          <w:tcPr>
            <w:tcW w:w="7060" w:type="dxa"/>
            <w:vAlign w:val="bottom"/>
          </w:tcPr>
          <w:p>
            <w:pPr>
              <w:spacing w:after="0"/>
              <w:rPr>
                <w:sz w:val="2"/>
                <w:szCs w:val="2"/>
                <w:color w:val="auto"/>
              </w:rPr>
            </w:pPr>
          </w:p>
        </w:tc>
        <w:tc>
          <w:tcPr>
            <w:tcW w:w="4360" w:type="dxa"/>
            <w:vAlign w:val="bottom"/>
          </w:tcPr>
          <w:p>
            <w:pPr>
              <w:spacing w:after="0"/>
              <w:rPr>
                <w:sz w:val="2"/>
                <w:szCs w:val="2"/>
                <w:color w:val="auto"/>
              </w:rPr>
            </w:pPr>
          </w:p>
        </w:tc>
      </w:tr>
      <w:tr>
        <w:trPr>
          <w:trHeight w:val="225"/>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Interest Coverage Ratio (as defined in the Rattler credit agreement) commencing</w:t>
            </w:r>
          </w:p>
        </w:tc>
        <w:tc>
          <w:tcPr>
            <w:tcW w:w="4360" w:type="dxa"/>
            <w:vAlign w:val="bottom"/>
            <w:shd w:val="clear" w:color="auto" w:fill="CCEEFF"/>
          </w:tcPr>
          <w:p>
            <w:pPr>
              <w:spacing w:after="0"/>
              <w:rPr>
                <w:sz w:val="19"/>
                <w:szCs w:val="19"/>
                <w:color w:val="auto"/>
              </w:rPr>
            </w:pPr>
          </w:p>
        </w:tc>
      </w:tr>
      <w:tr>
        <w:trPr>
          <w:trHeight w:val="234"/>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 the fiscal quarter ending September 30, 2019</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Not less than 2.50 to 1.00</w:t>
            </w:r>
          </w:p>
        </w:tc>
      </w:tr>
      <w:tr>
        <w:trPr>
          <w:trHeight w:val="27"/>
        </w:trPr>
        <w:tc>
          <w:tcPr>
            <w:tcW w:w="706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calculating the financial maintenance covenants prior to the fiscal quarter ending June 30, 2020, EBITDA (as defined in the Rattler credit agreement) will be annualized based on the actual EBITDA for the preceding fiscal quarters starting with the fiscal quarter ending September 30, 2019.</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June 30, 2019, each of Rattler and Rattler LLC were in compliance with all financial covenants under the Rattler credit agreement. The lenders may accelerate all of the indebtedness under the Rattler credit agreement upon the occurrence and during the continuance of any event of default. The Rattler credit agreement contains customary events of default, including non-payment, breach of covenants, materially incorrect representations, cross-default, bankruptcy and change in control. There are no cure periods for events of default due to non-payment of principal and breaches of negative and financial maintenance covenants, but non-payment of interest and breaches of certain affirmative covenants are subject to customary cure periods. With certain specified exceptions, the terms and provisions of the Rattler credit agreement generally may be amended with the consent of the lenders holding a majority of the outstanding loans or commitments to lend.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576"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 and Sources of Liquidity</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approved a 2019 capital budget for drilling and infrastructure of approximately $2.7 billion to $3.0 billion. We estimate that, of these expenditures, approximately:</w:t>
      </w:r>
    </w:p>
    <w:p>
      <w:pPr>
        <w:spacing w:after="0" w:line="162"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billion to $2.5 billion will be spent on drilling and completing 300 to 320 gross (265 to 285 net) horizontal wells across our operated leasehold acreage in the Northern Midland and Southern Delaware Basins, with an average lateral length of approximately 9,500 feet;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 million to $250 million will be spent on midstream infrastructure excluding the cost of long-haul pipeline equity investments;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million will be spent on infrastructure and other expenditures, excluding the cost of any leasehold and mineral interest acquisitions.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2019, our aggregate capital expenditures for our development program were $1.2 billion. Additionally during the six months ended June 30, 2019, we spent approximately $252 million in cash on acquisitions of leasehold interests and mineral acres. We do not have a specific acquisition budget since the timing and size of acquisitions cannot be accurately forecasted.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2019, our board of directors approved a stock repurchase program to acquire up to $2 billion of our outstanding common stock through December 31, 2020. We repurchased approximately $104 million of our common stock under this program during the three months ended June 30, 2019, with approximately $1.9 billion remaining available for future repurchases under this program. We intend to continue to purchase shares under the repurchase program opportunistically with available funds primarily from cash flow from operations and liquidity events such as the sale of assets while maintaining sufficient liquidity to fund our capital expenditure programs.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23 drilling rigs and eight completion crews. We will continue monitoring commodity prices and overall market conditions and can adjust our rig cadence up or down in response to changes in commodity prices and overall market conditions.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current oil and natural gas prices and production expectations for 2019, we believe that our cash flow from operations, cash on hand and borrowings under our revolving credit facility will be sufficient to fund our operations through year-end 2019. However, future cash flows are subject to a number of variables, including the level of oil and natural gas production and prices, and significant additional capital expenditures will be required to more fully develop our properties. Further, our 2019 capital expenditure budget does not allocate any funds for leasehold interest and property acquisitions.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monitor and adjust our projected capital expenditures in response to the results of our drilling activities, changes in prices, availability of financing, drilling and acquisition costs, industry conditions, the timing of regulatory approvals, the availability of rigs, contractual obligations, internally generated cash flow and other factors both within and outside our control. 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If there is a decline in commodity prices, our revenues, cash flows, results of operations, liquidity and reserves may be materially and adversely affected.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792"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in Note 19 of the Notes to the Consolidated Financial Statements of this report, there were no material changes to our contractual obligations and other commitments, as disclosed in our Annual Report on Form 10-K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critical accounting policies from those disclosed in our Annual Report on Form 10-K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no off-balance sheet arrangements as of June 30, 2019. Please read Note 19 included in Notes to the Consolidated Financial Statements set forth in Part I, Item 1 of this report, for a discussion of our commitments and contingencies, which are not recognized in the balance sheets under GAAP.</w:t>
      </w:r>
    </w:p>
    <w:p>
      <w:pPr>
        <w:spacing w:after="0" w:line="37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price swap derivatives, including basis swaps and three-way collars, to reduce price volatility associated with certain of our oil and natural gas sales. With respect to these fixed price swap contracts, the counterparty is required to make a payment to us if the settlement price for any settlement period is less than the swap price, and we are required to make a payment to the counterparty if the settlement price for any settlement period is greater than the swap price. Our derivative contracts are based upon reported settlement prices on commodity exchanges, with crude oil derivative settlements based on NYMEX West Texas Intermediate pricing (Cushing and Magellan East Houston) and Crude Oil - Brent and with natural gas derivative settlements based on NYMEX Henry Hub and Waha Hub pricing.</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June 30, 2019 and December 31, 2018, we had a net asset derivative position of $19 million and $216 million, respectively, related to our price swap, price basis swap derivatives and three-way collars. Utilizing actual derivative contractual volumes under our fixed price swaps as of June 30, 2019, a 10% increase in forward curves associated with the underlying commodity would have decreased the net asset position to a net liability position of $206 million, a decrease of $225 million, while a 10% decrease in forward curves associated with the underlying commodity would have increased the net asset derivative position to $244 million, an increase of $225 million. However, any cash derivative gain or loss would be substantially offset by a decrease or increase, respectively, in the actual sales value of production covered by the derivative instrument.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our midstream operations business, we have indirect exposure to commodity price risk in that persistent low commodity prices may cause us or Rattler’s other customers to delay drilling or shut in production, which would reduce the volumes available for gathering and processing by our infrastructure assets. If we or Rattler’s other customers delay drilling or temporarily shuts in production due to persistently low commodity prices or for any other reason, our revenue in the midstream operations segment could decrease, as Rattler’s commercial agreements do not contain minimum volume commitments.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and Customer Credit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principal exposures to credit risk are through receivables resulting from joint interest receivables (approximately $168 million at June 30, 2019) and receivables from the sale of our oil and natural gas production (approximately $349 million at June 30, 2019).</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credit risk due to the concentration of our oil and natural gas receivables with several significant customers. We do not require our customers to post collateral, and the inability of our significant customers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576" w:right="239" w:bottom="1440" w:gutter="0" w:footer="0" w:header="0"/>
        </w:sectPr>
      </w:pPr>
    </w:p>
    <w:bookmarkStart w:id="75" w:name="page76"/>
    <w:bookmarkEnd w:id="75"/>
    <w:p>
      <w:pPr>
        <w:jc w:val="both"/>
        <w:spacing w:after="0" w:line="261" w:lineRule="auto"/>
        <w:rPr>
          <w:sz w:val="20"/>
          <w:szCs w:val="20"/>
          <w:color w:val="auto"/>
        </w:rPr>
      </w:pPr>
      <w:r>
        <w:rPr>
          <w:rFonts w:ascii="Times New Roman" w:cs="Times New Roman" w:eastAsia="Times New Roman" w:hAnsi="Times New Roman"/>
          <w:sz w:val="18"/>
          <w:szCs w:val="18"/>
          <w:color w:val="auto"/>
        </w:rPr>
        <w:t>to meet their obligations to us or their insolvency or liquidation may adversely affect our financial results. For the six months ended June 30, 2019, three purchasers each accounted for more than 10% of our revenue: Shell Trading (US) Company (25%), Plains Marketing LP (23%) and Occidental Energy Marketing Inc (12%). For the six months ended June 30, 2018, two purchasers each accounted for more than 10% of our revenue: Shell Trading (US) Company (30%) and Koch Supply &amp; Trading LP (21%). No other customer accounted for more than 10% of our revenue during these periods.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At June 30, 2019, we had 14 customers that represented approximately 80% of our total joint operations receivables. At December 31, 2018, we had four customers that represented approximately 82% of our total joint operations receivables.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0.25% to 1.25% in the case of the alternative base rate and from 1.25% to 2.25% in the case of LIBOR, in each case depending on the amount of the loan outstanding in relation to the borrowing base.</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2019, we had $1.6 billion outstanding borrowings under our revolving credit facility. Our weighted average interest rate on borrowings under our revolving credit facility was 3.93% as of June 30, 2019. An increase or decrease of 1% in the interest rate would have a corresponding decrease or increase in our interest expense of approximately $16 million based on the $1.6 billion outstanding under our revolving credit facility as of such date.</w:t>
      </w:r>
    </w:p>
    <w:p>
      <w:pPr>
        <w:spacing w:after="0" w:line="39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direction of our Chief Executive Officer and Chief Financial Officer, we have 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2019,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June 30, 2019, our disclosure controls and procedures are effective.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580"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that occurred during the quarter ended June 30, 2019 that have materially affected, or are reasonably likely to materially affect, internal controls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576" w:right="25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party to various legal proceedings, disputes and claims arising in the course of our business, including those that arise from interpretation of federal and state laws and regulations affecting the natural gas and crude oil industry. While the ultimate outcome of the pending proceedings, disputes or claims, and any resulting impact on us, cannot be predicted with certainty, we believe that none of these matters, if ultimately decided adversely, will have a material adverse effect on our financial condition, cash flows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faces many risks. Any of the risks discussed in this Form 10-Q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information set forth in this report, you should carefully consider the risk factors discussed in Part I, Item 1A. Risk Factors in our Annual Report on Form 10-K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Repurchases of Equity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repurchase activity for the six months ended June 30, 2019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2840" w:type="dxa"/>
            <w:vAlign w:val="bottom"/>
          </w:tcPr>
          <w:p>
            <w:pPr>
              <w:spacing w:after="0"/>
              <w:rPr>
                <w:sz w:val="18"/>
                <w:szCs w:val="18"/>
                <w:color w:val="auto"/>
              </w:rPr>
            </w:pPr>
          </w:p>
        </w:tc>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 Per</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 Purchased</w:t>
            </w:r>
          </w:p>
        </w:tc>
        <w:tc>
          <w:tcPr>
            <w:tcW w:w="300" w:type="dxa"/>
            <w:vAlign w:val="bottom"/>
          </w:tcPr>
          <w:p>
            <w:pPr>
              <w:spacing w:after="0"/>
              <w:rPr>
                <w:sz w:val="18"/>
                <w:szCs w:val="18"/>
                <w:color w:val="auto"/>
              </w:rPr>
            </w:pP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 that May Yet Be</w:t>
            </w:r>
          </w:p>
        </w:tc>
      </w:tr>
      <w:tr>
        <w:trPr>
          <w:trHeight w:val="265"/>
        </w:trPr>
        <w:tc>
          <w:tcPr>
            <w:tcW w:w="322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80" w:type="dxa"/>
            <w:vAlign w:val="bottom"/>
          </w:tcPr>
          <w:p>
            <w:pPr>
              <w:spacing w:after="0"/>
              <w:rPr>
                <w:sz w:val="23"/>
                <w:szCs w:val="23"/>
                <w:color w:val="auto"/>
              </w:rPr>
            </w:pPr>
          </w:p>
        </w:tc>
        <w:tc>
          <w:tcPr>
            <w:tcW w:w="1060" w:type="dxa"/>
            <w:vAlign w:val="bottom"/>
            <w:gridSpan w:val="2"/>
          </w:tcPr>
          <w:p>
            <w:pPr>
              <w:jc w:val="center"/>
              <w:ind w:right="300"/>
              <w:spacing w:after="0" w:line="265" w:lineRule="exact"/>
              <w:rPr>
                <w:sz w:val="20"/>
                <w:szCs w:val="20"/>
                <w:color w:val="auto"/>
              </w:rPr>
            </w:pPr>
            <w:r>
              <w:rPr>
                <w:rFonts w:ascii="Times New Roman" w:cs="Times New Roman" w:eastAsia="Times New Roman" w:hAnsi="Times New Roman"/>
                <w:sz w:val="18"/>
                <w:szCs w:val="18"/>
                <w:b w:val="1"/>
                <w:bCs w:val="1"/>
                <w:color w:val="auto"/>
                <w:w w:val="93"/>
              </w:rPr>
              <w:t>Share</w:t>
            </w:r>
            <w:r>
              <w:rPr>
                <w:rFonts w:ascii="Times New Roman" w:cs="Times New Roman" w:eastAsia="Times New Roman" w:hAnsi="Times New Roman"/>
                <w:sz w:val="25"/>
                <w:szCs w:val="25"/>
                <w:b w:val="1"/>
                <w:bCs w:val="1"/>
                <w:color w:val="auto"/>
                <w:w w:val="93"/>
                <w:vertAlign w:val="superscript"/>
              </w:rPr>
              <w:t>(1)</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Part of Publicly Announced Plan</w:t>
            </w:r>
          </w:p>
        </w:tc>
        <w:tc>
          <w:tcPr>
            <w:tcW w:w="2400" w:type="dxa"/>
            <w:vAlign w:val="bottom"/>
            <w:gridSpan w:val="2"/>
          </w:tcPr>
          <w:p>
            <w:pPr>
              <w:ind w:left="180"/>
              <w:spacing w:after="0" w:line="265" w:lineRule="exact"/>
              <w:rPr>
                <w:sz w:val="20"/>
                <w:szCs w:val="20"/>
                <w:color w:val="auto"/>
              </w:rPr>
            </w:pPr>
            <w:r>
              <w:rPr>
                <w:rFonts w:ascii="Times New Roman" w:cs="Times New Roman" w:eastAsia="Times New Roman" w:hAnsi="Times New Roman"/>
                <w:sz w:val="18"/>
                <w:szCs w:val="18"/>
                <w:b w:val="1"/>
                <w:bCs w:val="1"/>
                <w:color w:val="auto"/>
                <w:w w:val="99"/>
              </w:rPr>
              <w:t>Purchased Under the Plan</w:t>
            </w:r>
            <w:r>
              <w:rPr>
                <w:rFonts w:ascii="Times New Roman" w:cs="Times New Roman" w:eastAsia="Times New Roman" w:hAnsi="Times New Roman"/>
                <w:sz w:val="25"/>
                <w:szCs w:val="25"/>
                <w:b w:val="1"/>
                <w:bCs w:val="1"/>
                <w:color w:val="auto"/>
                <w:w w:val="99"/>
                <w:vertAlign w:val="superscript"/>
              </w:rPr>
              <w:t>(2)</w:t>
            </w:r>
          </w:p>
        </w:tc>
      </w:tr>
      <w:tr>
        <w:trPr>
          <w:trHeight w:val="237"/>
        </w:trPr>
        <w:tc>
          <w:tcPr>
            <w:tcW w:w="3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8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 in millions, except per share amounts, shares in thousands)</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2019</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70"/>
        </w:trPr>
        <w:tc>
          <w:tcPr>
            <w:tcW w:w="322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February 2019</w:t>
            </w:r>
            <w:r>
              <w:rPr>
                <w:rFonts w:ascii="Times New Roman" w:cs="Times New Roman" w:eastAsia="Times New Roman" w:hAnsi="Times New Roman"/>
                <w:sz w:val="25"/>
                <w:szCs w:val="25"/>
                <w:color w:val="auto"/>
                <w:vertAlign w:val="superscript"/>
              </w:rPr>
              <w:t>(3)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102.14</w:t>
            </w:r>
          </w:p>
        </w:tc>
        <w:tc>
          <w:tcPr>
            <w:tcW w:w="100" w:type="dxa"/>
            <w:vAlign w:val="bottom"/>
          </w:tcPr>
          <w:p>
            <w:pPr>
              <w:spacing w:after="0"/>
              <w:rPr>
                <w:sz w:val="23"/>
                <w:szCs w:val="23"/>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70"/>
        </w:trPr>
        <w:tc>
          <w:tcPr>
            <w:tcW w:w="322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March 2019</w:t>
            </w:r>
            <w:r>
              <w:rPr>
                <w:rFonts w:ascii="Times New Roman" w:cs="Times New Roman" w:eastAsia="Times New Roman" w:hAnsi="Times New Roman"/>
                <w:sz w:val="25"/>
                <w:szCs w:val="25"/>
                <w:color w:val="auto"/>
                <w:vertAlign w:val="superscript"/>
              </w:rPr>
              <w:t>(3)</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102.93</w:t>
            </w:r>
          </w:p>
        </w:tc>
        <w:tc>
          <w:tcPr>
            <w:tcW w:w="100" w:type="dxa"/>
            <w:vAlign w:val="bottom"/>
            <w:shd w:val="clear" w:color="auto" w:fill="CCEEFF"/>
          </w:tcPr>
          <w:p>
            <w:pPr>
              <w:spacing w:after="0"/>
              <w:rPr>
                <w:sz w:val="23"/>
                <w:szCs w:val="23"/>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April 2019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2019</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100.86</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1,996</w:t>
            </w:r>
          </w:p>
        </w:tc>
      </w:tr>
      <w:tr>
        <w:trPr>
          <w:trHeight w:val="243"/>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2019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102.04</w:t>
            </w:r>
          </w:p>
        </w:tc>
        <w:tc>
          <w:tcPr>
            <w:tcW w:w="10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1,896</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102.02</w:t>
            </w:r>
          </w:p>
        </w:tc>
        <w:tc>
          <w:tcPr>
            <w:tcW w:w="10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2019 and June 2019 average price paid per share is net of any commissions paid to repurchase stock.</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2019, our board of directors approved a new stock repurchase program to acquire up to $2 billion of our outstanding common stock through December 31, 2020. This repurchase program may be suspended from time to time, modified, extended or discontinued by our board of directors at any time.</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 connection with tax withholdings and payment of exercise price on equity compensation plans.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940" w:type="dxa"/>
            <w:vAlign w:val="bottom"/>
            <w:gridSpan w:val="4"/>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4"/>
        </w:trPr>
        <w:tc>
          <w:tcPr>
            <w:tcW w:w="1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Pr>
          <w:p>
            <w:pPr>
              <w:spacing w:after="0"/>
              <w:rPr>
                <w:sz w:val="20"/>
                <w:szCs w:val="20"/>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118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10220" w:type="dxa"/>
            <w:vAlign w:val="bottom"/>
            <w:tcBorders>
              <w:bottom w:val="single" w:sz="8" w:color="0000FF"/>
            </w:tcBorders>
            <w:gridSpan w:val="6"/>
            <w:shd w:val="clear" w:color="auto" w:fill="CCEEFF"/>
          </w:tcPr>
          <w:p>
            <w:pPr>
              <w:spacing w:after="0" w:line="202"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Agreement and Plan of Merger, dated as of August 14, 2018, by and among Diamondback Energy, Inc., Sidewinder Merger Sub Inc. and</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18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FF"/>
            </w:tcBorders>
            <w:gridSpan w:val="6"/>
            <w:shd w:val="clear" w:color="auto" w:fill="CCEEFF"/>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Energen Corporation (incorporated by reference to Exhibit 2.1 to the Form 8-K, File No. 001-35700, filed by the Company with the SEC on</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7"/>
            <w:shd w:val="clear" w:color="auto" w:fill="CCEEFF"/>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August 15, 2018).</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3980" w:type="dxa"/>
            <w:vAlign w:val="bottom"/>
            <w:tcBorders>
              <w:top w:val="single" w:sz="8" w:color="CCEEFF"/>
            </w:tcBorders>
            <w:shd w:val="clear" w:color="auto" w:fill="CCEEFF"/>
          </w:tcPr>
          <w:p>
            <w:pPr>
              <w:spacing w:after="0"/>
              <w:rPr>
                <w:sz w:val="4"/>
                <w:szCs w:val="4"/>
                <w:color w:val="auto"/>
              </w:rPr>
            </w:pPr>
          </w:p>
        </w:tc>
        <w:tc>
          <w:tcPr>
            <w:tcW w:w="4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7"/>
                <w:szCs w:val="17"/>
                <w:color w:val="auto"/>
              </w:rPr>
            </w:pPr>
          </w:p>
        </w:tc>
        <w:tc>
          <w:tcPr>
            <w:tcW w:w="10200" w:type="dxa"/>
            <w:vAlign w:val="bottom"/>
            <w:gridSpan w:val="6"/>
          </w:tcPr>
          <w:p>
            <w:pPr>
              <w:spacing w:after="0" w:line="202"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Amended and Restated Certificate of Incorporation of the Company (incorporated by reference to Exhibit 3.1 to the Form 10-Q, File No.</w:t>
              </w:r>
            </w:hyperlink>
          </w:p>
        </w:tc>
      </w:tr>
      <w:tr>
        <w:trPr>
          <w:trHeight w:val="196"/>
        </w:trPr>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6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001-35700, filed by the Company with the SEC on November 16, 2012).</w:t>
              </w:r>
            </w:hyperlink>
          </w:p>
        </w:tc>
        <w:tc>
          <w:tcPr>
            <w:tcW w:w="40" w:type="dxa"/>
            <w:vAlign w:val="bottom"/>
            <w:gridSpan w:val="2"/>
          </w:tcPr>
          <w:p>
            <w:pPr>
              <w:spacing w:after="0"/>
              <w:rPr>
                <w:sz w:val="17"/>
                <w:szCs w:val="17"/>
                <w:color w:val="auto"/>
              </w:rPr>
            </w:pPr>
          </w:p>
        </w:tc>
      </w:tr>
      <w:tr>
        <w:trPr>
          <w:trHeight w:val="507"/>
        </w:trPr>
        <w:tc>
          <w:tcPr>
            <w:tcW w:w="118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5220" w:type="dxa"/>
            <w:vAlign w:val="bottom"/>
            <w:tcBorders>
              <w:top w:val="single" w:sz="8" w:color="0000FF"/>
            </w:tcBorders>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72</w:t>
            </w:r>
          </w:p>
        </w:tc>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Pr>
          <w:p>
            <w:pPr>
              <w:spacing w:after="0"/>
              <w:rPr>
                <w:sz w:val="20"/>
                <w:szCs w:val="20"/>
                <w:color w:val="auto"/>
              </w:rPr>
            </w:pPr>
          </w:p>
        </w:tc>
        <w:tc>
          <w:tcPr>
            <w:tcW w:w="102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1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1024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Certificate of Amendment No. 1 of the Amended and Restated Certificate of Incorporation of the Company (incorporated by reference to</w:t>
              </w:r>
            </w:hyperlink>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Exhibit 3.1 to the Form 8-K, File No. 001-35700, filed by the Company with the SEC on December 12, 2016).</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7"/>
                <w:szCs w:val="17"/>
                <w:color w:val="auto"/>
              </w:rPr>
            </w:pPr>
          </w:p>
        </w:tc>
        <w:tc>
          <w:tcPr>
            <w:tcW w:w="10200" w:type="dxa"/>
            <w:vAlign w:val="bottom"/>
            <w:gridSpan w:val="14"/>
          </w:tcPr>
          <w:p>
            <w:pPr>
              <w:spacing w:after="0" w:line="202"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Amended and Restated Bylaws of the Company (incorporated by reference to Exhibit 3.2 to the Form 10-Q, File No. 001-35700, filed by the</w:t>
              </w:r>
            </w:hyperlink>
          </w:p>
        </w:tc>
      </w:tr>
      <w:tr>
        <w:trPr>
          <w:trHeight w:val="196"/>
        </w:trPr>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6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Company with the SEC on November 16, 2012).</w:t>
              </w:r>
            </w:hyperlink>
          </w:p>
        </w:tc>
        <w:tc>
          <w:tcPr>
            <w:tcW w:w="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1024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First Amendment to the Amended and Restated Bylaws of the Company (incorporated by reference to Exhibit 3.1 to the Form 8-K, File No.</w:t>
              </w:r>
            </w:hyperlink>
          </w:p>
        </w:tc>
      </w:tr>
      <w:tr>
        <w:trPr>
          <w:trHeight w:val="244"/>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4880" w:type="dxa"/>
            <w:vAlign w:val="bottom"/>
            <w:tcBorders>
              <w:top w:val="single" w:sz="8" w:color="0000FF"/>
              <w:bottom w:val="single" w:sz="8" w:color="0000FF"/>
            </w:tcBorders>
            <w:gridSpan w:val="6"/>
            <w:shd w:val="clear" w:color="auto" w:fill="CCEEFF"/>
          </w:tcPr>
          <w:p>
            <w:pPr>
              <w:spacing w:after="0" w:line="196" w:lineRule="exact"/>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001-35700, filed by the Company with the SEC on April 27, 2018).</w:t>
              </w:r>
            </w:hyperlink>
          </w:p>
        </w:tc>
        <w:tc>
          <w:tcPr>
            <w:tcW w:w="5320" w:type="dxa"/>
            <w:vAlign w:val="bottom"/>
            <w:tcBorders>
              <w:top w:val="single" w:sz="8" w:color="0000FF"/>
              <w:bottom w:val="single" w:sz="8" w:color="CCEEFF"/>
            </w:tcBorders>
            <w:gridSpan w:val="8"/>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7"/>
                <w:szCs w:val="17"/>
                <w:color w:val="auto"/>
              </w:rPr>
            </w:pPr>
          </w:p>
        </w:tc>
        <w:tc>
          <w:tcPr>
            <w:tcW w:w="10160" w:type="dxa"/>
            <w:vAlign w:val="bottom"/>
            <w:tcBorders>
              <w:bottom w:val="single" w:sz="8" w:color="0000FF"/>
            </w:tcBorders>
            <w:gridSpan w:val="13"/>
          </w:tcPr>
          <w:p>
            <w:pPr>
              <w:spacing w:after="0" w:line="202"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 xml:space="preserve">Specimen certificate for shares of 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per share, of the Company (incorporated by reference to Exhibit 4.1 to</w:t>
              </w:r>
            </w:hyperlink>
          </w:p>
        </w:tc>
        <w:tc>
          <w:tcPr>
            <w:tcW w:w="4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0" w:type="dxa"/>
            <w:vAlign w:val="bottom"/>
            <w:gridSpan w:val="14"/>
          </w:tcPr>
          <w:p>
            <w:pPr>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Amendment No. 4 to the Registration Statement on Form S-1, File No. 333-179502, filed by the Company with the SEC on August 20,</w:t>
              </w:r>
            </w:hyperlink>
          </w:p>
        </w:tc>
      </w:tr>
      <w:tr>
        <w:trPr>
          <w:trHeight w:val="20"/>
        </w:trPr>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2580" w:type="dxa"/>
            <w:vAlign w:val="bottom"/>
            <w:gridSpan w:val="3"/>
          </w:tcPr>
          <w:p>
            <w:pPr>
              <w:ind w:left="40"/>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2012).</w:t>
              </w:r>
            </w:hyperlink>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024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Indenture, dated as of October 28, 2016, among Diamondback Energy, Inc., the guarantors party thereto and Wells Fargo Bank, National</w:t>
              </w:r>
            </w:hyperlink>
          </w:p>
        </w:tc>
      </w:tr>
      <w:tr>
        <w:trPr>
          <w:trHeight w:val="20"/>
        </w:trPr>
        <w:tc>
          <w:tcPr>
            <w:tcW w:w="1180" w:type="dxa"/>
            <w:vAlign w:val="bottom"/>
            <w:shd w:val="clear" w:color="auto" w:fill="CCEE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Association, as trustee (including the form of Diamondback Energy, Inc.’s 4.750 % Senior Notes due 2024) (incorporated by reference to</w:t>
              </w:r>
            </w:hyperlink>
          </w:p>
        </w:tc>
      </w:tr>
      <w:tr>
        <w:trPr>
          <w:trHeight w:val="244"/>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7900" w:type="dxa"/>
            <w:vAlign w:val="bottom"/>
            <w:tcBorders>
              <w:top w:val="single" w:sz="8" w:color="0000FF"/>
              <w:bottom w:val="single" w:sz="8" w:color="0000FF"/>
            </w:tcBorders>
            <w:gridSpan w:val="10"/>
            <w:shd w:val="clear" w:color="auto" w:fill="CCEEFF"/>
          </w:tcPr>
          <w:p>
            <w:pPr>
              <w:spacing w:after="0" w:line="196"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Exhibit 4.1 to the Form 8-K, File No. 001-35700, filed by the Company with the SEC on November 2, 2016).</w:t>
              </w:r>
            </w:hyperlink>
          </w:p>
        </w:tc>
        <w:tc>
          <w:tcPr>
            <w:tcW w:w="230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10240" w:type="dxa"/>
            <w:vAlign w:val="bottom"/>
            <w:gridSpan w:val="15"/>
          </w:tcPr>
          <w:p>
            <w:pPr>
              <w:spacing w:after="0" w:line="202"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First Supplemental Indenture, dated as of September 25, 2018, among Diamondback Energy, Inc., the guarantors party thereto and Wells</w:t>
              </w:r>
            </w:hyperlink>
          </w:p>
        </w:tc>
      </w:tr>
      <w:tr>
        <w:trPr>
          <w:trHeight w:val="20"/>
        </w:trPr>
        <w:tc>
          <w:tcPr>
            <w:tcW w:w="118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Fargo Bank, National Association, as trustee (incorporated by reference to Exhibit 4.1 to the Form 8-K, File No. 001-35700, filed by the</w:t>
              </w:r>
            </w:hyperlink>
          </w:p>
        </w:tc>
      </w:tr>
      <w:tr>
        <w:trPr>
          <w:trHeight w:val="196"/>
        </w:trPr>
        <w:tc>
          <w:tcPr>
            <w:tcW w:w="1180" w:type="dxa"/>
            <w:vAlign w:val="bottom"/>
          </w:tcPr>
          <w:p>
            <w:pPr>
              <w:spacing w:after="0"/>
              <w:rPr>
                <w:sz w:val="17"/>
                <w:szCs w:val="17"/>
                <w:color w:val="auto"/>
              </w:rPr>
            </w:pPr>
          </w:p>
        </w:tc>
        <w:tc>
          <w:tcPr>
            <w:tcW w:w="1020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Company with the SEC on October 1, 2018).</w:t>
              </w:r>
            </w:hyperlink>
          </w:p>
        </w:tc>
        <w:tc>
          <w:tcPr>
            <w:tcW w:w="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1024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Second Supplemental Indenture for the 4.750% Senior Notes due 2024, dated as of October 12, 2018, among Sidewinder Merger Sub Inc., a</w:t>
              </w:r>
            </w:hyperlink>
          </w:p>
        </w:tc>
      </w:tr>
      <w:tr>
        <w:trPr>
          <w:trHeight w:val="20"/>
        </w:trPr>
        <w:tc>
          <w:tcPr>
            <w:tcW w:w="1180" w:type="dxa"/>
            <w:vAlign w:val="bottom"/>
            <w:shd w:val="clear" w:color="auto" w:fill="CCEE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subsidiary of the Company, the Company, the other guarantors under the indenture and Wells Fargo Bank, National Association, as trustee</w:t>
              </w:r>
            </w:hyperlink>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(incorporated by reference to Exhibit 4.4 to the Form 10-K, File No. 001-35700, filed by the Company with the SEC on February 25, 2019).</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10200" w:type="dxa"/>
            <w:vAlign w:val="bottom"/>
            <w:tcBorders>
              <w:bottom w:val="single" w:sz="8" w:color="0000FF"/>
            </w:tcBorders>
            <w:gridSpan w:val="14"/>
          </w:tcPr>
          <w:p>
            <w:pPr>
              <w:spacing w:after="0" w:line="20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Third Supplemental Indenture for the 4.750% Senior Notes due 2024, dated as of January 28, 2019, among Energen Corporation, Energen</w:t>
              </w:r>
            </w:hyperlink>
          </w:p>
        </w:tc>
        <w:tc>
          <w:tcPr>
            <w:tcW w:w="4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Resources Corporation, and EGN Services, Inc., each a direct or indirect subsidiary of the Company, the Company, the other guarantors</w:t>
              </w:r>
            </w:hyperlink>
          </w:p>
        </w:tc>
      </w:tr>
      <w:tr>
        <w:trPr>
          <w:trHeight w:val="20"/>
        </w:trPr>
        <w:tc>
          <w:tcPr>
            <w:tcW w:w="118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under the indenture and Wells Fargo Bank, National Association, as trustee (incorporated by reference to Exhibit 4.5 to the Form 10-K, File</w:t>
              </w:r>
            </w:hyperlink>
          </w:p>
        </w:tc>
      </w:tr>
      <w:tr>
        <w:trPr>
          <w:trHeight w:val="196"/>
        </w:trPr>
        <w:tc>
          <w:tcPr>
            <w:tcW w:w="1180" w:type="dxa"/>
            <w:vAlign w:val="bottom"/>
          </w:tcPr>
          <w:p>
            <w:pPr>
              <w:spacing w:after="0"/>
              <w:rPr>
                <w:sz w:val="17"/>
                <w:szCs w:val="17"/>
                <w:color w:val="auto"/>
              </w:rPr>
            </w:pPr>
          </w:p>
        </w:tc>
        <w:tc>
          <w:tcPr>
            <w:tcW w:w="1020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No. 001-35700, filed by the Company with the SEC on February 25, 2019).</w:t>
              </w:r>
            </w:hyperlink>
          </w:p>
        </w:tc>
        <w:tc>
          <w:tcPr>
            <w:tcW w:w="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1024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Registration Rights Agreement, dated September 25, 2018, among Diamondback Energy, Inc., the guarantors party thereto and Merrill</w:t>
              </w:r>
            </w:hyperlink>
          </w:p>
        </w:tc>
      </w:tr>
      <w:tr>
        <w:trPr>
          <w:trHeight w:val="20"/>
        </w:trPr>
        <w:tc>
          <w:tcPr>
            <w:tcW w:w="1180" w:type="dxa"/>
            <w:vAlign w:val="bottom"/>
            <w:shd w:val="clear" w:color="auto" w:fill="CCEE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Lynch, Pierce, Fenner &amp; Smith Incorporated and Goldman Sachs &amp; Co. LLC (incorporated by reference to Exhibit 4.2 to the Form 8-K, File</w:t>
              </w:r>
            </w:hyperlink>
          </w:p>
        </w:tc>
      </w:tr>
      <w:tr>
        <w:trPr>
          <w:trHeight w:val="244"/>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5300" w:type="dxa"/>
            <w:vAlign w:val="bottom"/>
            <w:tcBorders>
              <w:top w:val="single" w:sz="8" w:color="0000FF"/>
              <w:bottom w:val="single" w:sz="8" w:color="0000FF"/>
            </w:tcBorders>
            <w:gridSpan w:val="7"/>
            <w:shd w:val="clear" w:color="auto" w:fill="CCEEFF"/>
          </w:tcPr>
          <w:p>
            <w:pPr>
              <w:spacing w:after="0" w:line="19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No. 001-35700, filed by the Company with the SEC on October 1, 2018).</w:t>
              </w:r>
            </w:hyperlink>
          </w:p>
        </w:tc>
        <w:tc>
          <w:tcPr>
            <w:tcW w:w="4900" w:type="dxa"/>
            <w:vAlign w:val="bottom"/>
            <w:tcBorders>
              <w:top w:val="single" w:sz="8" w:color="0000FF"/>
              <w:bottom w:val="single" w:sz="8" w:color="CCEEFF"/>
            </w:tcBorders>
            <w:gridSpan w:val="7"/>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4.7</w:t>
            </w:r>
          </w:p>
        </w:tc>
        <w:tc>
          <w:tcPr>
            <w:tcW w:w="10200" w:type="dxa"/>
            <w:vAlign w:val="bottom"/>
            <w:tcBorders>
              <w:bottom w:val="single" w:sz="8" w:color="0000FF"/>
            </w:tcBorders>
            <w:gridSpan w:val="14"/>
          </w:tcPr>
          <w:p>
            <w:pPr>
              <w:spacing w:after="0" w:line="202"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Indenture, dated as of December 20, 2016, among Diamondback Energy, Inc., the guarantors party thereto and Wells Fargo Bank, National</w:t>
              </w:r>
            </w:hyperlink>
          </w:p>
        </w:tc>
        <w:tc>
          <w:tcPr>
            <w:tcW w:w="4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Association, as trustee (including the form of Diamondback Energy, Inc.’s 5.375% Senior Notes due 2025) (incorporated by reference to</w:t>
              </w:r>
            </w:hyperlink>
          </w:p>
        </w:tc>
        <w:tc>
          <w:tcPr>
            <w:tcW w:w="4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Exhibit 4.1 to the Form 8-K, File No. 001-35700, filed by the Company with the SEC on December 21, 2016).</w:t>
              </w:r>
            </w:hyperlink>
          </w:p>
        </w:tc>
      </w:tr>
      <w:tr>
        <w:trPr>
          <w:trHeight w:val="48"/>
        </w:trPr>
        <w:tc>
          <w:tcPr>
            <w:tcW w:w="11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1024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First Supplemental Indenture, dated as of January 29, 2018, among Diamondback Energy, Inc., the guarantors party thereto and Wells Fargo</w:t>
              </w:r>
            </w:hyperlink>
          </w:p>
        </w:tc>
      </w:tr>
      <w:tr>
        <w:trPr>
          <w:trHeight w:val="20"/>
        </w:trPr>
        <w:tc>
          <w:tcPr>
            <w:tcW w:w="1180" w:type="dxa"/>
            <w:vAlign w:val="bottom"/>
            <w:shd w:val="clear" w:color="auto" w:fill="CCEE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3140" w:type="dxa"/>
            <w:vAlign w:val="bottom"/>
            <w:gridSpan w:val="6"/>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Bank, National Association, as trustee (incorporated by reference to Exhibit 4.3 to the Form 8-K, File No. 001-35700, filed by the Company</w:t>
              </w:r>
            </w:hyperlink>
          </w:p>
        </w:tc>
      </w:tr>
      <w:tr>
        <w:trPr>
          <w:trHeight w:val="244"/>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2580" w:type="dxa"/>
            <w:vAlign w:val="bottom"/>
            <w:tcBorders>
              <w:top w:val="single" w:sz="8" w:color="0000FF"/>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with the SEC on January 30, 2018).</w:t>
              </w:r>
            </w:hyperlink>
          </w:p>
        </w:tc>
        <w:tc>
          <w:tcPr>
            <w:tcW w:w="7620" w:type="dxa"/>
            <w:vAlign w:val="bottom"/>
            <w:tcBorders>
              <w:top w:val="single" w:sz="8" w:color="0000FF"/>
              <w:bottom w:val="single" w:sz="8" w:color="CCEEFF"/>
            </w:tcBorders>
            <w:gridSpan w:val="11"/>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10240" w:type="dxa"/>
            <w:vAlign w:val="bottom"/>
            <w:gridSpan w:val="15"/>
          </w:tcPr>
          <w:p>
            <w:pPr>
              <w:spacing w:after="0" w:line="202"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Second Supplemental Indenture for the 5.375% Senior Notes due 2025, dated as of October 12, 2018, among Sidewinder Merger Sub Inc., a</w:t>
              </w:r>
            </w:hyperlink>
          </w:p>
        </w:tc>
      </w:tr>
      <w:tr>
        <w:trPr>
          <w:trHeight w:val="20"/>
        </w:trPr>
        <w:tc>
          <w:tcPr>
            <w:tcW w:w="1180" w:type="dxa"/>
            <w:vAlign w:val="bottom"/>
          </w:tcPr>
          <w:p>
            <w:pPr>
              <w:spacing w:after="0" w:line="20" w:lineRule="exact"/>
              <w:rPr>
                <w:sz w:val="1"/>
                <w:szCs w:val="1"/>
                <w:color w:val="auto"/>
              </w:rPr>
            </w:pPr>
          </w:p>
        </w:tc>
        <w:tc>
          <w:tcPr>
            <w:tcW w:w="5720" w:type="dxa"/>
            <w:vAlign w:val="bottom"/>
            <w:gridSpan w:val="9"/>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subsidiary of the Company, the Company, the other guarantors and Wells Fargo Bank, National Association, as trustee (incorporated by</w:t>
              </w:r>
            </w:hyperlink>
          </w:p>
        </w:tc>
      </w:tr>
      <w:tr>
        <w:trPr>
          <w:trHeight w:val="196"/>
        </w:trPr>
        <w:tc>
          <w:tcPr>
            <w:tcW w:w="1180" w:type="dxa"/>
            <w:vAlign w:val="bottom"/>
          </w:tcPr>
          <w:p>
            <w:pPr>
              <w:spacing w:after="0"/>
              <w:rPr>
                <w:sz w:val="17"/>
                <w:szCs w:val="17"/>
                <w:color w:val="auto"/>
              </w:rPr>
            </w:pPr>
          </w:p>
        </w:tc>
        <w:tc>
          <w:tcPr>
            <w:tcW w:w="1020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reference to Exhibit 4.8 to the Form 10-K, File No. 001-35700, filed by the Company with the SEC on February 25, 2019).</w:t>
              </w:r>
            </w:hyperlink>
          </w:p>
        </w:tc>
        <w:tc>
          <w:tcPr>
            <w:tcW w:w="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4.10</w:t>
            </w:r>
          </w:p>
        </w:tc>
        <w:tc>
          <w:tcPr>
            <w:tcW w:w="10200" w:type="dxa"/>
            <w:vAlign w:val="bottom"/>
            <w:tcBorders>
              <w:bottom w:val="single" w:sz="8" w:color="0000FF"/>
            </w:tcBorders>
            <w:gridSpan w:val="14"/>
            <w:shd w:val="clear" w:color="auto" w:fill="CCEEFF"/>
          </w:tcPr>
          <w:p>
            <w:pPr>
              <w:spacing w:after="0" w:line="202"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Third Supplemental Indenture for the 5.375% Senior Notes due 2025, dated as of January 28, 2019, among Energen Corporation, Energen</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Resources Corporation, and EGN Services, Inc., each a direct or indirect subsidiary of the Company, the Company, the other guarantors</w:t>
              </w:r>
            </w:hyperlink>
          </w:p>
        </w:tc>
      </w:tr>
      <w:tr>
        <w:trPr>
          <w:trHeight w:val="20"/>
        </w:trPr>
        <w:tc>
          <w:tcPr>
            <w:tcW w:w="1180" w:type="dxa"/>
            <w:vAlign w:val="bottom"/>
            <w:shd w:val="clear" w:color="auto" w:fill="CCEEFF"/>
          </w:tcPr>
          <w:p>
            <w:pPr>
              <w:spacing w:after="0" w:line="20" w:lineRule="exact"/>
              <w:rPr>
                <w:sz w:val="1"/>
                <w:szCs w:val="1"/>
                <w:color w:val="auto"/>
              </w:rPr>
            </w:pPr>
          </w:p>
        </w:tc>
        <w:tc>
          <w:tcPr>
            <w:tcW w:w="5720" w:type="dxa"/>
            <w:vAlign w:val="bottom"/>
            <w:gridSpan w:val="9"/>
            <w:shd w:val="clear" w:color="auto" w:fill="0000FF"/>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under the indenture and Wells Fargo Bank, National Association, as trustee (incorporated by reference to Exhibit 4.9 to the Form 10-K, File</w:t>
              </w:r>
            </w:hyperlink>
          </w:p>
        </w:tc>
      </w:tr>
      <w:tr>
        <w:trPr>
          <w:trHeight w:val="244"/>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5460" w:type="dxa"/>
            <w:vAlign w:val="bottom"/>
            <w:tcBorders>
              <w:top w:val="single" w:sz="8" w:color="0000FF"/>
              <w:bottom w:val="single" w:sz="8" w:color="0000FF"/>
            </w:tcBorders>
            <w:gridSpan w:val="8"/>
            <w:shd w:val="clear" w:color="auto" w:fill="CCEEFF"/>
          </w:tcPr>
          <w:p>
            <w:pPr>
              <w:spacing w:after="0" w:line="196"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No. 001-35700, filed by the Company with the SEC on February 25, 2019).</w:t>
              </w:r>
            </w:hyperlink>
          </w:p>
        </w:tc>
        <w:tc>
          <w:tcPr>
            <w:tcW w:w="4740" w:type="dxa"/>
            <w:vAlign w:val="bottom"/>
            <w:tcBorders>
              <w:top w:val="single" w:sz="8" w:color="0000FF"/>
              <w:bottom w:val="single" w:sz="8" w:color="CCEEFF"/>
            </w:tcBorders>
            <w:gridSpan w:val="6"/>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4.11</w:t>
            </w:r>
          </w:p>
        </w:tc>
        <w:tc>
          <w:tcPr>
            <w:tcW w:w="10240" w:type="dxa"/>
            <w:vAlign w:val="bottom"/>
            <w:gridSpan w:val="15"/>
          </w:tcPr>
          <w:p>
            <w:pPr>
              <w:spacing w:after="0" w:line="202"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Registration Rights Agreement, dated as of February 28, 2017, by and among Diamondback Energy, Inc., Brigham Resources, LLC,</w:t>
              </w:r>
            </w:hyperlink>
          </w:p>
        </w:tc>
      </w:tr>
      <w:tr>
        <w:trPr>
          <w:trHeight w:val="20"/>
        </w:trPr>
        <w:tc>
          <w:tcPr>
            <w:tcW w:w="1180" w:type="dxa"/>
            <w:vAlign w:val="bottom"/>
          </w:tcPr>
          <w:p>
            <w:pPr>
              <w:spacing w:after="0" w:line="20" w:lineRule="exact"/>
              <w:rPr>
                <w:sz w:val="1"/>
                <w:szCs w:val="1"/>
                <w:color w:val="auto"/>
              </w:rPr>
            </w:pPr>
          </w:p>
        </w:tc>
        <w:tc>
          <w:tcPr>
            <w:tcW w:w="5720" w:type="dxa"/>
            <w:vAlign w:val="bottom"/>
            <w:gridSpan w:val="9"/>
            <w:shd w:val="clear" w:color="auto" w:fill="0000FF"/>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Brigham Resources Operating, LLC and Brigham Resources Upstream Holdings, LP (incorporated by reference to Exhibit 4.1 to the Form 8-</w:t>
              </w:r>
            </w:hyperlink>
          </w:p>
        </w:tc>
      </w:tr>
      <w:tr>
        <w:trPr>
          <w:trHeight w:val="196"/>
        </w:trPr>
        <w:tc>
          <w:tcPr>
            <w:tcW w:w="1180" w:type="dxa"/>
            <w:vAlign w:val="bottom"/>
          </w:tcPr>
          <w:p>
            <w:pPr>
              <w:spacing w:after="0"/>
              <w:rPr>
                <w:sz w:val="17"/>
                <w:szCs w:val="17"/>
                <w:color w:val="auto"/>
              </w:rPr>
            </w:pPr>
          </w:p>
        </w:tc>
        <w:tc>
          <w:tcPr>
            <w:tcW w:w="1020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K, File No. 001-35700, filed by the Company with the SEC on March 6, 2017).</w:t>
              </w:r>
            </w:hyperlink>
          </w:p>
        </w:tc>
        <w:tc>
          <w:tcPr>
            <w:tcW w:w="40" w:type="dxa"/>
            <w:vAlign w:val="bottom"/>
          </w:tcPr>
          <w:p>
            <w:pPr>
              <w:spacing w:after="0"/>
              <w:rPr>
                <w:sz w:val="17"/>
                <w:szCs w:val="17"/>
                <w:color w:val="auto"/>
              </w:rPr>
            </w:pPr>
          </w:p>
        </w:tc>
      </w:tr>
      <w:tr>
        <w:trPr>
          <w:trHeight w:val="507"/>
        </w:trPr>
        <w:tc>
          <w:tcPr>
            <w:tcW w:w="1180" w:type="dxa"/>
            <w:vAlign w:val="bottom"/>
          </w:tcPr>
          <w:p>
            <w:pPr>
              <w:spacing w:after="0"/>
              <w:rPr>
                <w:sz w:val="24"/>
                <w:szCs w:val="24"/>
                <w:color w:val="auto"/>
              </w:rPr>
            </w:pPr>
          </w:p>
        </w:tc>
        <w:tc>
          <w:tcPr>
            <w:tcW w:w="4880" w:type="dxa"/>
            <w:vAlign w:val="bottom"/>
            <w:tcBorders>
              <w:top w:val="single" w:sz="8" w:color="0000FF"/>
            </w:tcBorders>
            <w:gridSpan w:val="6"/>
          </w:tcPr>
          <w:p>
            <w:pPr>
              <w:ind w:left="4440"/>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Pr>
          <w:p>
            <w:pPr>
              <w:spacing w:after="0"/>
              <w:rPr>
                <w:sz w:val="20"/>
                <w:szCs w:val="20"/>
                <w:color w:val="auto"/>
              </w:rPr>
            </w:pPr>
          </w:p>
        </w:tc>
        <w:tc>
          <w:tcPr>
            <w:tcW w:w="102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118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4.12</w:t>
            </w:r>
          </w:p>
        </w:tc>
        <w:tc>
          <w:tcPr>
            <w:tcW w:w="10220" w:type="dxa"/>
            <w:vAlign w:val="bottom"/>
            <w:tcBorders>
              <w:bottom w:val="single" w:sz="8" w:color="0000FF"/>
            </w:tcBorders>
            <w:gridSpan w:val="10"/>
            <w:shd w:val="clear" w:color="auto" w:fill="CCEEFF"/>
          </w:tcPr>
          <w:p>
            <w:pPr>
              <w:spacing w:after="0" w:line="20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Registration Rights Agreement, dated October 31, 2018, by and between Diamondback Energy, Inc. and Ajax Resources, LLC (incorporated</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18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0000FF"/>
            </w:tcBorders>
            <w:gridSpan w:val="8"/>
            <w:shd w:val="clear" w:color="auto" w:fill="CCEEFF"/>
          </w:tcPr>
          <w:p>
            <w:pPr>
              <w:spacing w:after="0" w:line="19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by reference to Exhibit 4.1 to the Form 10-Q, File No. 001-35700, filed by the Company with the SEC on November 7, 2018).</w:t>
              </w:r>
            </w:hyperlink>
          </w:p>
        </w:tc>
        <w:tc>
          <w:tcPr>
            <w:tcW w:w="1120" w:type="dxa"/>
            <w:vAlign w:val="bottom"/>
            <w:tcBorders>
              <w:bottom w:val="single" w:sz="8" w:color="CCEEFF"/>
            </w:tcBorders>
            <w:gridSpan w:val="3"/>
            <w:shd w:val="clear" w:color="auto" w:fill="CCEEFF"/>
          </w:tcPr>
          <w:p>
            <w:pPr>
              <w:spacing w:after="0"/>
              <w:rPr>
                <w:sz w:val="21"/>
                <w:szCs w:val="21"/>
                <w:color w:val="auto"/>
              </w:rPr>
            </w:pPr>
          </w:p>
        </w:tc>
      </w:tr>
      <w:tr>
        <w:trPr>
          <w:trHeight w:val="203"/>
        </w:trPr>
        <w:tc>
          <w:tcPr>
            <w:tcW w:w="1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4.13</w:t>
            </w:r>
          </w:p>
        </w:tc>
        <w:tc>
          <w:tcPr>
            <w:tcW w:w="10240" w:type="dxa"/>
            <w:vAlign w:val="bottom"/>
            <w:gridSpan w:val="11"/>
          </w:tcPr>
          <w:p>
            <w:pPr>
              <w:spacing w:after="0" w:line="202"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Form of Indenture, dated September 1, 1996, between Energen and The Bank of New York as trustee (incorporated by reference to Exhibit</w:t>
              </w:r>
            </w:hyperlink>
          </w:p>
        </w:tc>
      </w:tr>
      <w:tr>
        <w:trPr>
          <w:trHeight w:val="196"/>
        </w:trPr>
        <w:tc>
          <w:tcPr>
            <w:tcW w:w="1180" w:type="dxa"/>
            <w:vAlign w:val="bottom"/>
          </w:tcPr>
          <w:p>
            <w:pPr>
              <w:spacing w:after="0"/>
              <w:rPr>
                <w:sz w:val="17"/>
                <w:szCs w:val="17"/>
                <w:color w:val="auto"/>
              </w:rPr>
            </w:pPr>
          </w:p>
        </w:tc>
        <w:tc>
          <w:tcPr>
            <w:tcW w:w="1020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4(i) to Energen’s Registration Statement on Form S-3, Registration No. 333-11239, filed with the SEC on August 30, 1996).</w:t>
              </w:r>
            </w:hyperlink>
          </w:p>
        </w:tc>
        <w:tc>
          <w:tcPr>
            <w:tcW w:w="40" w:type="dxa"/>
            <w:vAlign w:val="bottom"/>
            <w:gridSpan w:val="2"/>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380" w:type="dxa"/>
            <w:vAlign w:val="bottom"/>
            <w:tcBorders>
              <w:top w:val="single" w:sz="8" w:color="0000FF"/>
            </w:tcBorders>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50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0240" w:type="dxa"/>
            <w:vAlign w:val="bottom"/>
            <w:tcBorders>
              <w:bottom w:val="single" w:sz="8" w:color="0000FF"/>
            </w:tcBorders>
            <w:gridSpan w:val="11"/>
            <w:shd w:val="clear" w:color="auto" w:fill="CCEEFF"/>
          </w:tcPr>
          <w:p>
            <w:pPr>
              <w:spacing w:after="0" w:line="202"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Eleventh Amendment to Second Amended and Restated Credit Agreement, dated as of June 28, 2019, between Diamondback Energy, Inc., as</w:t>
              </w:r>
            </w:hyperlink>
          </w:p>
        </w:tc>
      </w:tr>
      <w:tr>
        <w:trPr>
          <w:trHeight w:val="196"/>
        </w:trPr>
        <w:tc>
          <w:tcPr>
            <w:tcW w:w="118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FF"/>
            </w:tcBorders>
            <w:gridSpan w:val="10"/>
            <w:shd w:val="clear" w:color="auto" w:fill="CCEEFF"/>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parent guarantor, Diamondback O&amp;G LLC, as borrower, certain other subsidiaries of Diamondback Energy, Inc. as guarantors, Wells Fargo</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Bank, National Association, as administrative agent, and the lenders party thereto.</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3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238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0240" w:type="dxa"/>
            <w:vAlign w:val="bottom"/>
            <w:tcBorders>
              <w:bottom w:val="single" w:sz="8" w:color="0000FF"/>
            </w:tcBorders>
            <w:gridSpan w:val="11"/>
          </w:tcPr>
          <w:p>
            <w:pPr>
              <w:spacing w:after="0" w:line="202"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2019 Amended and Restated Diamondback Energy, Inc. Equity Incentive Plan (incorporated by reference to Appendix A to Schedule DEF</w:t>
              </w:r>
            </w:hyperlink>
          </w:p>
        </w:tc>
      </w:tr>
      <w:tr>
        <w:trPr>
          <w:trHeight w:val="196"/>
        </w:trPr>
        <w:tc>
          <w:tcPr>
            <w:tcW w:w="1180" w:type="dxa"/>
            <w:vAlign w:val="bottom"/>
          </w:tcPr>
          <w:p>
            <w:pPr>
              <w:spacing w:after="0"/>
              <w:rPr>
                <w:sz w:val="17"/>
                <w:szCs w:val="17"/>
                <w:color w:val="auto"/>
              </w:rPr>
            </w:pPr>
          </w:p>
        </w:tc>
        <w:tc>
          <w:tcPr>
            <w:tcW w:w="10240" w:type="dxa"/>
            <w:vAlign w:val="bottom"/>
            <w:gridSpan w:val="11"/>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14A filed by the Company with the SEC on April 26, 2019).</w:t>
              </w:r>
            </w:hyperlink>
          </w:p>
        </w:tc>
      </w:tr>
      <w:tr>
        <w:trPr>
          <w:trHeight w:val="48"/>
        </w:trPr>
        <w:tc>
          <w:tcPr>
            <w:tcW w:w="11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38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10220" w:type="dxa"/>
            <w:vAlign w:val="bottom"/>
            <w:tcBorders>
              <w:bottom w:val="single" w:sz="8" w:color="0000FF"/>
            </w:tcBorders>
            <w:gridSpan w:val="10"/>
            <w:shd w:val="clear" w:color="auto" w:fill="CCEEFF"/>
          </w:tcPr>
          <w:p>
            <w:pPr>
              <w:spacing w:after="0" w:line="202"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Credit Agreement, dated May 28, 2019, by and among Rattler Midstream Operating LLC, as borrower, Rattler Midstream LP, as parent,</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18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tcBorders>
            <w:gridSpan w:val="11"/>
            <w:shd w:val="clear" w:color="auto" w:fill="CCEEFF"/>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Wells Fargo Bank, National Association, as the administrative agent, and certain lenders from time to time party thereto (incorporated by</w:t>
              </w:r>
            </w:hyperlink>
          </w:p>
        </w:tc>
      </w:tr>
      <w:tr>
        <w:trPr>
          <w:trHeight w:val="196"/>
        </w:trPr>
        <w:tc>
          <w:tcPr>
            <w:tcW w:w="118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tcBorders>
            <w:gridSpan w:val="11"/>
            <w:shd w:val="clear" w:color="auto" w:fill="CCEEFF"/>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reference to Exhibit 10.2 to Rattler Midstream LP’s Current Report on Form 8-K, File No. 001-38919, filed by Rattler Midstream LP with</w:t>
              </w:r>
            </w:hyperlink>
          </w:p>
        </w:tc>
      </w:tr>
      <w:tr>
        <w:trPr>
          <w:trHeight w:val="244"/>
        </w:trPr>
        <w:tc>
          <w:tcPr>
            <w:tcW w:w="1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the SEC on May 29, 2019).</w:t>
              </w:r>
            </w:hyperlink>
          </w:p>
        </w:tc>
        <w:tc>
          <w:tcPr>
            <w:tcW w:w="8260" w:type="dxa"/>
            <w:vAlign w:val="bottom"/>
            <w:tcBorders>
              <w:bottom w:val="single" w:sz="8" w:color="CCEEFF"/>
            </w:tcBorders>
            <w:gridSpan w:val="8"/>
            <w:shd w:val="clear" w:color="auto" w:fill="CCEEFF"/>
          </w:tcPr>
          <w:p>
            <w:pPr>
              <w:spacing w:after="0"/>
              <w:rPr>
                <w:sz w:val="21"/>
                <w:szCs w:val="21"/>
                <w:color w:val="auto"/>
              </w:rPr>
            </w:pPr>
          </w:p>
        </w:tc>
      </w:tr>
      <w:tr>
        <w:trPr>
          <w:trHeight w:val="203"/>
        </w:trPr>
        <w:tc>
          <w:tcPr>
            <w:tcW w:w="1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17"/>
                <w:szCs w:val="17"/>
                <w:color w:val="auto"/>
              </w:rPr>
            </w:pPr>
          </w:p>
        </w:tc>
        <w:tc>
          <w:tcPr>
            <w:tcW w:w="10200" w:type="dxa"/>
            <w:vAlign w:val="bottom"/>
            <w:gridSpan w:val="10"/>
          </w:tcPr>
          <w:p>
            <w:pPr>
              <w:spacing w:after="0" w:line="202" w:lineRule="exact"/>
              <w:rPr>
                <w:rFonts w:ascii="Times New Roman" w:cs="Times New Roman" w:eastAsia="Times New Roman" w:hAnsi="Times New Roman"/>
                <w:sz w:val="18"/>
                <w:szCs w:val="18"/>
                <w:color w:val="0000FF"/>
              </w:rPr>
            </w:pPr>
            <w:hyperlink w:anchor="page82">
              <w:r>
                <w:rPr>
                  <w:rFonts w:ascii="Times New Roman" w:cs="Times New Roman" w:eastAsia="Times New Roman" w:hAnsi="Times New Roman"/>
                  <w:sz w:val="18"/>
                  <w:szCs w:val="18"/>
                  <w:color w:val="0000FF"/>
                </w:rPr>
                <w:t>Certification of Chief Executive Officer of the Registrant pursuant to Rule 13a-14(a) promulgated under the Securities Exchange Act of</w:t>
              </w:r>
            </w:hyperlink>
          </w:p>
        </w:tc>
      </w:tr>
      <w:tr>
        <w:trPr>
          <w:trHeight w:val="196"/>
        </w:trPr>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6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w:anchor="page82">
              <w:r>
                <w:rPr>
                  <w:rFonts w:ascii="Times New Roman" w:cs="Times New Roman" w:eastAsia="Times New Roman" w:hAnsi="Times New Roman"/>
                  <w:sz w:val="18"/>
                  <w:szCs w:val="18"/>
                  <w:color w:val="0000FF"/>
                </w:rPr>
                <w:t>1934, as amended.</w:t>
              </w:r>
            </w:hyperlink>
          </w:p>
        </w:tc>
        <w:tc>
          <w:tcPr>
            <w:tcW w:w="40" w:type="dxa"/>
            <w:vAlign w:val="bottom"/>
            <w:gridSpan w:val="2"/>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40" w:type="dxa"/>
            <w:vAlign w:val="bottom"/>
            <w:tcBorders>
              <w:bottom w:val="single" w:sz="8" w:color="CCEEFF"/>
            </w:tcBorders>
            <w:shd w:val="clear" w:color="auto" w:fill="CCEEFF"/>
          </w:tcPr>
          <w:p>
            <w:pPr>
              <w:spacing w:after="0"/>
              <w:rPr>
                <w:sz w:val="17"/>
                <w:szCs w:val="17"/>
                <w:color w:val="auto"/>
              </w:rPr>
            </w:pPr>
          </w:p>
        </w:tc>
        <w:tc>
          <w:tcPr>
            <w:tcW w:w="10180" w:type="dxa"/>
            <w:vAlign w:val="bottom"/>
            <w:tcBorders>
              <w:bottom w:val="single" w:sz="8" w:color="0000FF"/>
            </w:tcBorders>
            <w:gridSpan w:val="9"/>
            <w:shd w:val="clear" w:color="auto" w:fill="CCEEFF"/>
          </w:tcPr>
          <w:p>
            <w:pPr>
              <w:spacing w:after="0" w:line="202" w:lineRule="exact"/>
              <w:rPr>
                <w:rFonts w:ascii="Times New Roman" w:cs="Times New Roman" w:eastAsia="Times New Roman" w:hAnsi="Times New Roman"/>
                <w:sz w:val="18"/>
                <w:szCs w:val="18"/>
                <w:color w:val="0000FF"/>
              </w:rPr>
            </w:pPr>
            <w:hyperlink w:anchor="page83">
              <w:r>
                <w:rPr>
                  <w:rFonts w:ascii="Times New Roman" w:cs="Times New Roman" w:eastAsia="Times New Roman" w:hAnsi="Times New Roman"/>
                  <w:sz w:val="18"/>
                  <w:szCs w:val="18"/>
                  <w:color w:val="0000FF"/>
                </w:rPr>
                <w:t>Certification of Chief Financial Officer of the Registrant pursuant to Rule 13a-14(a) promulgated under the Securities Exchange Act of</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FF"/>
              </w:rPr>
            </w:pPr>
            <w:hyperlink w:anchor="page83">
              <w:r>
                <w:rPr>
                  <w:rFonts w:ascii="Times New Roman" w:cs="Times New Roman" w:eastAsia="Times New Roman" w:hAnsi="Times New Roman"/>
                  <w:sz w:val="18"/>
                  <w:szCs w:val="18"/>
                  <w:color w:val="0000FF"/>
                </w:rPr>
                <w:t>1934, as amended.</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40" w:type="dxa"/>
            <w:vAlign w:val="bottom"/>
          </w:tcPr>
          <w:p>
            <w:pPr>
              <w:spacing w:after="0"/>
              <w:rPr>
                <w:sz w:val="17"/>
                <w:szCs w:val="17"/>
                <w:color w:val="auto"/>
              </w:rPr>
            </w:pPr>
          </w:p>
        </w:tc>
        <w:tc>
          <w:tcPr>
            <w:tcW w:w="10200" w:type="dxa"/>
            <w:vAlign w:val="bottom"/>
            <w:gridSpan w:val="10"/>
          </w:tcPr>
          <w:p>
            <w:pPr>
              <w:spacing w:after="0" w:line="202" w:lineRule="exact"/>
              <w:rPr>
                <w:rFonts w:ascii="Times New Roman" w:cs="Times New Roman" w:eastAsia="Times New Roman" w:hAnsi="Times New Roman"/>
                <w:sz w:val="18"/>
                <w:szCs w:val="18"/>
                <w:color w:val="0000FF"/>
              </w:rPr>
            </w:pPr>
            <w:hyperlink w:anchor="page84">
              <w:r>
                <w:rPr>
                  <w:rFonts w:ascii="Times New Roman" w:cs="Times New Roman" w:eastAsia="Times New Roman" w:hAnsi="Times New Roman"/>
                  <w:sz w:val="18"/>
                  <w:szCs w:val="18"/>
                  <w:color w:val="0000FF"/>
                </w:rPr>
                <w:t>Certification of Chief Executive Officer of the Registrant pursuant to Rule 13a-14(b) promulgated under the Securities Exchange Act of</w:t>
              </w:r>
            </w:hyperlink>
          </w:p>
        </w:tc>
      </w:tr>
      <w:tr>
        <w:trPr>
          <w:trHeight w:val="196"/>
        </w:trPr>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6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w:anchor="page84">
              <w:r>
                <w:rPr>
                  <w:rFonts w:ascii="Times New Roman" w:cs="Times New Roman" w:eastAsia="Times New Roman" w:hAnsi="Times New Roman"/>
                  <w:sz w:val="18"/>
                  <w:szCs w:val="18"/>
                  <w:color w:val="0000FF"/>
                </w:rPr>
                <w:t>1934, as amended, and Section 1350 of Chapter 63 of Title 18 of the United States Code.</w:t>
              </w:r>
            </w:hyperlink>
          </w:p>
        </w:tc>
        <w:tc>
          <w:tcPr>
            <w:tcW w:w="40" w:type="dxa"/>
            <w:vAlign w:val="bottom"/>
            <w:gridSpan w:val="2"/>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380" w:type="dxa"/>
            <w:vAlign w:val="bottom"/>
            <w:tcBorders>
              <w:top w:val="single" w:sz="8" w:color="0000FF"/>
            </w:tcBorders>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40" w:type="dxa"/>
            <w:vAlign w:val="bottom"/>
            <w:shd w:val="clear" w:color="auto" w:fill="CCEEFF"/>
          </w:tcPr>
          <w:p>
            <w:pPr>
              <w:spacing w:after="0"/>
              <w:rPr>
                <w:sz w:val="17"/>
                <w:szCs w:val="17"/>
                <w:color w:val="auto"/>
              </w:rPr>
            </w:pPr>
          </w:p>
        </w:tc>
        <w:tc>
          <w:tcPr>
            <w:tcW w:w="10200" w:type="dxa"/>
            <w:vAlign w:val="bottom"/>
            <w:gridSpan w:val="10"/>
            <w:shd w:val="clear" w:color="auto" w:fill="CCEEFF"/>
          </w:tcPr>
          <w:p>
            <w:pPr>
              <w:spacing w:after="0" w:line="202" w:lineRule="exact"/>
              <w:rPr>
                <w:rFonts w:ascii="Times New Roman" w:cs="Times New Roman" w:eastAsia="Times New Roman" w:hAnsi="Times New Roman"/>
                <w:sz w:val="18"/>
                <w:szCs w:val="18"/>
                <w:color w:val="0000FF"/>
              </w:rPr>
            </w:pPr>
            <w:hyperlink w:anchor="page85">
              <w:r>
                <w:rPr>
                  <w:rFonts w:ascii="Times New Roman" w:cs="Times New Roman" w:eastAsia="Times New Roman" w:hAnsi="Times New Roman"/>
                  <w:sz w:val="18"/>
                  <w:szCs w:val="18"/>
                  <w:color w:val="0000FF"/>
                </w:rPr>
                <w:t>Certification of Chief Financial Officer of the Registrant pursuant to Rule 13a-14(b) promulgated under the Securities Exchange Act of</w:t>
              </w:r>
            </w:hyperlink>
          </w:p>
        </w:tc>
      </w:tr>
      <w:tr>
        <w:trPr>
          <w:trHeight w:val="244"/>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400" w:type="dxa"/>
            <w:vAlign w:val="bottom"/>
            <w:tcBorders>
              <w:top w:val="single" w:sz="8" w:color="0000FF"/>
              <w:bottom w:val="single" w:sz="8" w:color="0000FF"/>
            </w:tcBorders>
            <w:gridSpan w:val="5"/>
            <w:shd w:val="clear" w:color="auto" w:fill="CCEEFF"/>
          </w:tcPr>
          <w:p>
            <w:pPr>
              <w:spacing w:after="0" w:line="196" w:lineRule="exact"/>
              <w:rPr>
                <w:rFonts w:ascii="Times New Roman" w:cs="Times New Roman" w:eastAsia="Times New Roman" w:hAnsi="Times New Roman"/>
                <w:sz w:val="18"/>
                <w:szCs w:val="18"/>
                <w:color w:val="0000FF"/>
                <w:w w:val="99"/>
              </w:rPr>
            </w:pPr>
            <w:hyperlink w:anchor="page85">
              <w:r>
                <w:rPr>
                  <w:rFonts w:ascii="Times New Roman" w:cs="Times New Roman" w:eastAsia="Times New Roman" w:hAnsi="Times New Roman"/>
                  <w:sz w:val="18"/>
                  <w:szCs w:val="18"/>
                  <w:color w:val="0000FF"/>
                  <w:w w:val="99"/>
                </w:rPr>
                <w:t>1934, as amended, and Section 1350 of Chapter 63 of Title 18 of the United States Code.</w:t>
              </w:r>
            </w:hyperlink>
          </w:p>
        </w:tc>
        <w:tc>
          <w:tcPr>
            <w:tcW w:w="3760" w:type="dxa"/>
            <w:vAlign w:val="bottom"/>
            <w:tcBorders>
              <w:top w:val="single" w:sz="8" w:color="0000FF"/>
              <w:bottom w:val="single" w:sz="8" w:color="CCEEFF"/>
            </w:tcBorders>
            <w:gridSpan w:val="3"/>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25"/>
        </w:trPr>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19"/>
                <w:szCs w:val="19"/>
                <w:color w:val="auto"/>
              </w:rPr>
            </w:pPr>
          </w:p>
        </w:tc>
        <w:tc>
          <w:tcPr>
            <w:tcW w:w="10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XBRLtags are embedded</w:t>
            </w:r>
          </w:p>
        </w:tc>
      </w:tr>
      <w:tr>
        <w:trPr>
          <w:trHeight w:val="234"/>
        </w:trPr>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7"/>
        </w:trPr>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1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shd w:val="clear" w:color="auto" w:fill="CCEEFF"/>
          </w:tcPr>
          <w:p>
            <w:pPr>
              <w:spacing w:after="0"/>
              <w:rPr>
                <w:sz w:val="21"/>
                <w:szCs w:val="21"/>
                <w:color w:val="auto"/>
              </w:rPr>
            </w:pPr>
          </w:p>
        </w:tc>
        <w:tc>
          <w:tcPr>
            <w:tcW w:w="102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1"/>
                <w:szCs w:val="21"/>
                <w:color w:val="auto"/>
              </w:rPr>
            </w:pPr>
          </w:p>
        </w:tc>
        <w:tc>
          <w:tcPr>
            <w:tcW w:w="10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1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shd w:val="clear" w:color="auto" w:fill="CCEEFF"/>
          </w:tcPr>
          <w:p>
            <w:pPr>
              <w:spacing w:after="0"/>
              <w:rPr>
                <w:sz w:val="21"/>
                <w:szCs w:val="21"/>
                <w:color w:val="auto"/>
              </w:rPr>
            </w:pPr>
          </w:p>
        </w:tc>
        <w:tc>
          <w:tcPr>
            <w:tcW w:w="102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1"/>
                <w:szCs w:val="21"/>
                <w:color w:val="auto"/>
              </w:rPr>
            </w:pPr>
          </w:p>
        </w:tc>
        <w:tc>
          <w:tcPr>
            <w:tcW w:w="10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1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shd w:val="clear" w:color="auto" w:fill="CCEEFF"/>
          </w:tcPr>
          <w:p>
            <w:pPr>
              <w:spacing w:after="0"/>
              <w:rPr>
                <w:sz w:val="21"/>
                <w:szCs w:val="21"/>
                <w:color w:val="auto"/>
              </w:rPr>
            </w:pPr>
          </w:p>
        </w:tc>
        <w:tc>
          <w:tcPr>
            <w:tcW w:w="102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spacing w:after="0" w:line="9" w:lineRule="exact"/>
        <w:rPr>
          <w:sz w:val="20"/>
          <w:szCs w:val="20"/>
          <w:color w:val="auto"/>
        </w:rPr>
      </w:pPr>
    </w:p>
    <w:p>
      <w:pPr>
        <w:ind w:left="1220" w:hanging="1158"/>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5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w:t>
      </w:r>
    </w:p>
    <w:p>
      <w:pPr>
        <w:spacing w:after="0" w:line="184"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2" w:lineRule="exact"/>
        <w:rPr>
          <w:sz w:val="20"/>
          <w:szCs w:val="20"/>
          <w:color w:val="auto"/>
        </w:rPr>
      </w:pPr>
    </w:p>
    <w:p>
      <w:pPr>
        <w:jc w:val="both"/>
        <w:ind w:left="600" w:right="860" w:hanging="538"/>
        <w:spacing w:after="0" w:line="266" w:lineRule="auto"/>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3" w:lineRule="exact"/>
        <w:rPr>
          <w:sz w:val="20"/>
          <w:szCs w:val="20"/>
          <w:color w:val="auto"/>
        </w:rPr>
      </w:pPr>
    </w:p>
    <w:p>
      <w:pPr>
        <w:ind w:left="580" w:right="860" w:hanging="518"/>
        <w:spacing w:after="0" w:line="282"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601(b)(2) of Regulation S-K. The registrant hereby undertakes to furnish supplementally copies of any of the omitted schedules upon request by the SEC.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738" w:right="2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DIAMONDBACK ENERGY, INC.</w:t>
            </w:r>
          </w:p>
        </w:tc>
      </w:tr>
      <w:tr>
        <w:trPr>
          <w:trHeight w:val="59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8, 2019</w:t>
            </w:r>
          </w:p>
        </w:tc>
        <w:tc>
          <w:tcPr>
            <w:tcW w:w="262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27"/>
        </w:trPr>
        <w:tc>
          <w:tcPr>
            <w:tcW w:w="6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Travis D. Stice</w:t>
            </w:r>
          </w:p>
        </w:tc>
      </w:tr>
      <w:tr>
        <w:trPr>
          <w:trHeight w:val="270"/>
        </w:trPr>
        <w:tc>
          <w:tcPr>
            <w:tcW w:w="6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6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6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8, 2019</w:t>
            </w:r>
          </w:p>
        </w:tc>
        <w:tc>
          <w:tcPr>
            <w:tcW w:w="262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7"/>
        </w:trPr>
        <w:tc>
          <w:tcPr>
            <w:tcW w:w="6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Kaes Van’t Hof</w:t>
            </w:r>
          </w:p>
        </w:tc>
      </w:tr>
      <w:tr>
        <w:trPr>
          <w:trHeight w:val="270"/>
        </w:trPr>
        <w:tc>
          <w:tcPr>
            <w:tcW w:w="6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6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18"/>
        </w:trPr>
        <w:tc>
          <w:tcPr>
            <w:tcW w:w="6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75</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Travis D. Stice, certify that:</w:t>
      </w:r>
    </w:p>
    <w:p>
      <w:pPr>
        <w:spacing w:after="0" w:line="90" w:lineRule="exact"/>
        <w:rPr>
          <w:sz w:val="20"/>
          <w:szCs w:val="20"/>
          <w:color w:val="auto"/>
        </w:rPr>
      </w:pPr>
    </w:p>
    <w:p>
      <w:pPr>
        <w:ind w:left="460" w:hanging="438"/>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Diamondback Energy, Inc.</w:t>
      </w:r>
    </w:p>
    <w:p>
      <w:pPr>
        <w:spacing w:after="0" w:line="90" w:lineRule="exact"/>
        <w:rPr>
          <w:rFonts w:ascii="Times New Roman" w:cs="Times New Roman" w:eastAsia="Times New Roman" w:hAnsi="Times New Roman"/>
          <w:sz w:val="18"/>
          <w:szCs w:val="18"/>
          <w:color w:val="auto"/>
        </w:rPr>
      </w:pPr>
    </w:p>
    <w:p>
      <w:pPr>
        <w:jc w:val="both"/>
        <w:ind w:left="460" w:right="500" w:hanging="438"/>
        <w:spacing w:after="0" w:line="266"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460" w:right="460" w:hanging="438"/>
        <w:spacing w:after="0" w:line="28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460" w:right="140" w:hanging="438"/>
        <w:spacing w:after="0" w:line="266"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1"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880" w:right="20" w:hanging="440"/>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880" w:right="800" w:hanging="440"/>
        <w:spacing w:after="0" w:line="282"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880" w:right="40" w:hanging="440"/>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460" w:right="380" w:hanging="438"/>
        <w:spacing w:after="0" w:line="28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0"/>
        <w:spacing w:after="0"/>
        <w:tabs>
          <w:tab w:leader="none" w:pos="820" w:val="left"/>
          <w:tab w:leader="none" w:pos="6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8, 2019</w:t>
      </w:r>
      <w:r>
        <w:rPr>
          <w:sz w:val="20"/>
          <w:szCs w:val="20"/>
          <w:color w:val="auto"/>
        </w:rPr>
        <w:tab/>
      </w:r>
      <w:r>
        <w:rPr>
          <w:rFonts w:ascii="Times New Roman" w:cs="Times New Roman" w:eastAsia="Times New Roman" w:hAnsi="Times New Roman"/>
          <w:sz w:val="17"/>
          <w:szCs w:val="17"/>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Kaes Van't Hof, certify that:</w:t>
      </w:r>
    </w:p>
    <w:p>
      <w:pPr>
        <w:spacing w:after="0" w:line="90" w:lineRule="exact"/>
        <w:rPr>
          <w:sz w:val="20"/>
          <w:szCs w:val="20"/>
          <w:color w:val="auto"/>
        </w:rPr>
      </w:pPr>
    </w:p>
    <w:p>
      <w:pPr>
        <w:ind w:left="460" w:hanging="438"/>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Diamondback Energy, Inc.</w:t>
      </w:r>
    </w:p>
    <w:p>
      <w:pPr>
        <w:spacing w:after="0" w:line="90" w:lineRule="exact"/>
        <w:rPr>
          <w:rFonts w:ascii="Times New Roman" w:cs="Times New Roman" w:eastAsia="Times New Roman" w:hAnsi="Times New Roman"/>
          <w:sz w:val="18"/>
          <w:szCs w:val="18"/>
          <w:color w:val="auto"/>
        </w:rPr>
      </w:pPr>
    </w:p>
    <w:p>
      <w:pPr>
        <w:jc w:val="both"/>
        <w:ind w:left="460" w:right="500" w:hanging="438"/>
        <w:spacing w:after="0" w:line="266"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460" w:right="460" w:hanging="438"/>
        <w:spacing w:after="0" w:line="282"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460" w:right="140" w:hanging="438"/>
        <w:spacing w:after="0" w:line="266"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1"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880" w:right="20" w:hanging="440"/>
        <w:spacing w:after="0" w:line="266"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880" w:right="800" w:hanging="440"/>
        <w:spacing w:after="0" w:line="282"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880" w:right="40" w:hanging="440"/>
        <w:spacing w:after="0" w:line="266"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460" w:right="380" w:hanging="438"/>
        <w:spacing w:after="0" w:line="282"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0"/>
        <w:spacing w:after="0"/>
        <w:tabs>
          <w:tab w:leader="none" w:pos="600" w:val="left"/>
          <w:tab w:leader="none" w:pos="6520" w:val="left"/>
        </w:tabs>
        <w:rPr>
          <w:sz w:val="20"/>
          <w:szCs w:val="20"/>
          <w:color w:val="auto"/>
        </w:rPr>
      </w:pPr>
      <w:r>
        <w:rPr>
          <w:rFonts w:ascii="Times New Roman" w:cs="Times New Roman" w:eastAsia="Times New Roman" w:hAnsi="Times New Roman"/>
          <w:sz w:val="18"/>
          <w:szCs w:val="18"/>
          <w:color w:val="auto"/>
        </w:rPr>
        <w:t>Date:</w:t>
        <w:tab/>
        <w:t>August 8, 2019</w:t>
      </w:r>
      <w:r>
        <w:rPr>
          <w:sz w:val="20"/>
          <w:szCs w:val="20"/>
          <w:color w:val="auto"/>
        </w:rPr>
        <w:tab/>
      </w:r>
      <w:r>
        <w:rPr>
          <w:rFonts w:ascii="Times New Roman" w:cs="Times New Roman" w:eastAsia="Times New Roman" w:hAnsi="Times New Roman"/>
          <w:sz w:val="17"/>
          <w:szCs w:val="17"/>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Kaes Van't Hof</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 REPORT</w:t>
      </w:r>
    </w:p>
    <w:p>
      <w:pPr>
        <w:spacing w:after="0" w:line="175"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Diamondback Energy, Inc. (the "Company"), as filed with the Securities and Exchange Commission on the date hereof (the "Report"), the undersigned, Travis D. Stice, Chief Executive Officer of Diamondback Energy, Inc., certify, pursuant to Section 906 of the Sarbanes-Oxley Act of 2002, 18 U.S.C. Section 1350, that, to the best of my knowledge: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 (a) or 15(d) of the Securities Exchange Act of 1934 (15 U.S.C. 78m(a) or 78o(d));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600" w:val="left"/>
          <w:tab w:leader="none" w:pos="6520" w:val="left"/>
        </w:tabs>
        <w:rPr>
          <w:sz w:val="20"/>
          <w:szCs w:val="20"/>
          <w:color w:val="auto"/>
        </w:rPr>
      </w:pPr>
      <w:r>
        <w:rPr>
          <w:rFonts w:ascii="Times New Roman" w:cs="Times New Roman" w:eastAsia="Times New Roman" w:hAnsi="Times New Roman"/>
          <w:sz w:val="18"/>
          <w:szCs w:val="18"/>
          <w:color w:val="auto"/>
        </w:rPr>
        <w:t>Date:</w:t>
        <w:tab/>
        <w:t>August 8, 2019</w:t>
      </w:r>
      <w:r>
        <w:rPr>
          <w:sz w:val="20"/>
          <w:szCs w:val="20"/>
          <w:color w:val="auto"/>
        </w:rPr>
        <w:tab/>
      </w:r>
      <w:r>
        <w:rPr>
          <w:rFonts w:ascii="Times New Roman" w:cs="Times New Roman" w:eastAsia="Times New Roman" w:hAnsi="Times New Roman"/>
          <w:sz w:val="17"/>
          <w:szCs w:val="17"/>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 REPORT</w:t>
      </w:r>
    </w:p>
    <w:p>
      <w:pPr>
        <w:spacing w:after="0" w:line="175"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Diamondback Energy, Inc. (the "Company"), as filed with the Securities and Exchange Commission on the date hereof (the "Report"), the undersigned, Kaes Van't Hof, Chief Financial Officer of Diamondback Energy, Inc., certify, pursuant to Section 906 of the Sarbanes-Oxley Act of 2002, 18 U.S.C. Section 1350, that, to the best of my knowledge: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 (a) or 15(d) of the Securities Exchange Act of 1934 (15 U.S.C. 78m(a) or 78o(d));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600" w:val="left"/>
          <w:tab w:leader="none" w:pos="6520" w:val="left"/>
        </w:tabs>
        <w:rPr>
          <w:sz w:val="20"/>
          <w:szCs w:val="20"/>
          <w:color w:val="auto"/>
        </w:rPr>
      </w:pPr>
      <w:r>
        <w:rPr>
          <w:rFonts w:ascii="Times New Roman" w:cs="Times New Roman" w:eastAsia="Times New Roman" w:hAnsi="Times New Roman"/>
          <w:sz w:val="18"/>
          <w:szCs w:val="18"/>
          <w:color w:val="auto"/>
        </w:rPr>
        <w:t>Date:</w:t>
        <w:tab/>
        <w:t>August 8, 2019</w:t>
      </w:r>
      <w:r>
        <w:rPr>
          <w:sz w:val="20"/>
          <w:szCs w:val="20"/>
          <w:color w:val="auto"/>
        </w:rPr>
        <w:tab/>
      </w:r>
      <w:r>
        <w:rPr>
          <w:rFonts w:ascii="Times New Roman" w:cs="Times New Roman" w:eastAsia="Times New Roman" w:hAnsi="Times New Roman"/>
          <w:sz w:val="17"/>
          <w:szCs w:val="17"/>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Kaes Van't Hof</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842"/>
    </w:lvl>
  </w:abstractNum>
  <w:abstractNum w:abstractNumId="4">
    <w:nsid w:val="1190CDE7"/>
    <w:multiLevelType w:val="hybridMultilevel"/>
    <w:lvl w:ilvl="0">
      <w:lvlJc w:val="left"/>
      <w:lvlText w:val="(%1)"/>
      <w:numFmt w:val="lowerRoman"/>
      <w:start w:val="4"/>
    </w:lvl>
  </w:abstractNum>
  <w:abstractNum w:abstractNumId="5">
    <w:nsid w:val="66EF438D"/>
    <w:multiLevelType w:val="hybridMultilevel"/>
    <w:lvl w:ilvl="0">
      <w:lvlJc w:val="left"/>
      <w:lvlText w:val="(%1)"/>
      <w:numFmt w:val="lowerRoman"/>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upperLetter"/>
      <w:start w:val="2"/>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39" Type="http://schemas.openxmlformats.org/officeDocument/2006/relationships/hyperlink" Target="http://www.sec.gov/Archives/edgar/data/1539838/000119312518249523/d593162dex21.htm" TargetMode="External"/><Relationship Id="rId40" Type="http://schemas.openxmlformats.org/officeDocument/2006/relationships/hyperlink" Target="http://www.sec.gov/Archives/edgar/data/1539838/000153983812000004/exhibit31amendcertofincorp.htm" TargetMode="External"/><Relationship Id="rId41" Type="http://schemas.openxmlformats.org/officeDocument/2006/relationships/hyperlink" Target="http://www.sec.gov/Archives/edgar/data/1539838/000153983816000266/diamondbackex31-12x12x16.htm" TargetMode="External"/><Relationship Id="rId42" Type="http://schemas.openxmlformats.org/officeDocument/2006/relationships/hyperlink" Target="http://www.sec.gov/Archives/edgar/data/1539838/000153983812000004/exhibit32amendandrestatedb.htm" TargetMode="External"/><Relationship Id="rId43" Type="http://schemas.openxmlformats.org/officeDocument/2006/relationships/hyperlink" Target="http://www.sec.gov/Archives/edgar/data/1539838/000153983818000048/diamondbackex31-4x27x18.htm" TargetMode="External"/><Relationship Id="rId44" Type="http://schemas.openxmlformats.org/officeDocument/2006/relationships/hyperlink" Target="http://www.sec.gov/Archives/edgar/data/1539838/000119312512360997/d295327dex41.htm" TargetMode="External"/><Relationship Id="rId45" Type="http://schemas.openxmlformats.org/officeDocument/2006/relationships/hyperlink" Target="http://www.sec.gov/Archives/edgar/data/1539838/000153983816000247/diamondbackex41-11x2x16.htm" TargetMode="External"/><Relationship Id="rId46" Type="http://schemas.openxmlformats.org/officeDocument/2006/relationships/hyperlink" Target="http://www.sec.gov/Archives/edgar/data/1539838/000153983818000109/diamondbackex41-10x1x18.htm" TargetMode="External"/><Relationship Id="rId47" Type="http://schemas.openxmlformats.org/officeDocument/2006/relationships/hyperlink" Target="http://www.sec.gov/Archives/edgar/data/1539838/000153983819000008/diamondback201810-kxex44.htm" TargetMode="External"/><Relationship Id="rId48" Type="http://schemas.openxmlformats.org/officeDocument/2006/relationships/hyperlink" Target="http://www.sec.gov/Archives/edgar/data/1539838/000153983819000008/diamondback201810-kxex45.htm" TargetMode="External"/><Relationship Id="rId49" Type="http://schemas.openxmlformats.org/officeDocument/2006/relationships/hyperlink" Target="http://www.sec.gov/Archives/edgar/data/1539838/000153983818000109/diamondbackex42-10x1x18.htm" TargetMode="External"/><Relationship Id="rId50" Type="http://schemas.openxmlformats.org/officeDocument/2006/relationships/hyperlink" Target="http://www.sec.gov/Archives/edgar/data/1539838/000153983816000272/diamondbackex41-12x21x16.htm" TargetMode="External"/><Relationship Id="rId51" Type="http://schemas.openxmlformats.org/officeDocument/2006/relationships/hyperlink" Target="http://www.sec.gov/Archives/edgar/data/1539838/000153983818000006/diamondbackex43-1x30x18.htm" TargetMode="External"/><Relationship Id="rId52" Type="http://schemas.openxmlformats.org/officeDocument/2006/relationships/hyperlink" Target="http://www.sec.gov/Archives/edgar/data/1539838/000153983819000008/diamondback201810-kxex48.htm" TargetMode="External"/><Relationship Id="rId53" Type="http://schemas.openxmlformats.org/officeDocument/2006/relationships/hyperlink" Target="http://www.sec.gov/Archives/edgar/data/1539838/000153983819000008/diamondback201810-kxex49.htm" TargetMode="External"/><Relationship Id="rId54" Type="http://schemas.openxmlformats.org/officeDocument/2006/relationships/hyperlink" Target="http://www.sec.gov/Archives/edgar/data/1539838/000153983817000040/diamondbackex41-3x6x17.htm" TargetMode="External"/><Relationship Id="rId55" Type="http://schemas.openxmlformats.org/officeDocument/2006/relationships/hyperlink" Target="http://www.sec.gov/Archives/edgar/data/1539838/000153983818000117/exhibit410.htm" TargetMode="External"/><Relationship Id="rId56" Type="http://schemas.openxmlformats.org/officeDocument/2006/relationships/hyperlink" Target="http://www.sec.gov/Archives/edgar/data/277595/0000950109-96-005681.txt" TargetMode="External"/><Relationship Id="rId57" Type="http://schemas.openxmlformats.org/officeDocument/2006/relationships/hyperlink" Target="http://www.sec.gov/Archives/edgar/data/1539838/000153983819000082/diamondbackex10-1x7x3x19.htm" TargetMode="External"/><Relationship Id="rId58" Type="http://schemas.openxmlformats.org/officeDocument/2006/relationships/hyperlink" Target="http://www.sec.gov/Archives/edgar/data/1539838/000153983819000050/a2019diamondbackproxy.htm" TargetMode="External"/><Relationship Id="rId59" Type="http://schemas.openxmlformats.org/officeDocument/2006/relationships/hyperlink" Target="http://www.sec.gov/Archives/edgar/data/1748773/000119312519159754/d75125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2019-12-28T07:28:14Z</dcterms:created>
  <dcterms:modified xsi:type="dcterms:W3CDTF">2019-12-28T07:28:14Z</dcterms:modified>
</cp:coreProperties>
</file>