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001-35700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44"/>
        </w:rPr>
      </w:pPr>
      <w:r>
        <w:rPr>
          <w:rFonts w:ascii="Times New Roman;sans-serif" w:hAnsi="Times New Roman;sans-serif"/>
          <w:b/>
          <w:color w:val="000000"/>
          <w:sz w:val="44"/>
        </w:rPr>
        <w:t xml:space="preserve">Diamondback Energy,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95" w:type="dxa"/>
        <w:jc w:val="center"/>
        <w:tblInd w:w="0" w:type="dxa"/>
        <w:tblLayout w:type="fixed"/>
        <w:tblCellMar>
          <w:top w:w="28" w:type="dxa"/>
          <w:left w:w="28" w:type="dxa"/>
          <w:bottom w:w="28" w:type="dxa"/>
          <w:right w:w="28" w:type="dxa"/>
        </w:tblCellMar>
      </w:tblPr>
      <w:tblGrid>
        <w:gridCol w:w="868"/>
        <w:gridCol w:w="761"/>
        <w:gridCol w:w="761"/>
        <w:gridCol w:w="761"/>
        <w:gridCol w:w="761"/>
        <w:gridCol w:w="781"/>
        <w:gridCol w:w="109"/>
        <w:gridCol w:w="109"/>
        <w:gridCol w:w="109"/>
        <w:gridCol w:w="896"/>
        <w:gridCol w:w="896"/>
        <w:gridCol w:w="1283"/>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8"/>
              </w:rPr>
            </w:pPr>
            <w:r>
              <w:rPr>
                <w:rFonts w:ascii="Times New Roman;sans-serif" w:hAnsi="Times New Roman;sans-serif"/>
                <w:b/>
                <w:color w:val="000000"/>
                <w:sz w:val="18"/>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8"/>
              </w:rPr>
            </w:pPr>
            <w:r>
              <w:rPr>
                <w:rFonts w:ascii="Times New Roman;sans-serif" w:hAnsi="Times New Roman;sans-serif"/>
                <w:b/>
                <w:color w:val="000000"/>
                <w:sz w:val="18"/>
              </w:rPr>
              <w:t>45-4502447</w:t>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r>
        <w:trPr/>
        <w:tc>
          <w:tcPr>
            <w:tcW w:w="4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Midland,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79701</w:t>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(432) 221-7400 </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6"/>
        </w:rPr>
        <w:t>Securities registered pursuant to Section 12(b) of the Securities Exchange Act of 1934:</w:t>
      </w:r>
    </w:p>
    <w:tbl>
      <w:tblPr>
        <w:tblW w:w="6493" w:type="dxa"/>
        <w:jc w:val="center"/>
        <w:tblInd w:w="0" w:type="dxa"/>
        <w:tblLayout w:type="fixed"/>
        <w:tblCellMar>
          <w:top w:w="28" w:type="dxa"/>
          <w:left w:w="28" w:type="dxa"/>
          <w:bottom w:w="28" w:type="dxa"/>
          <w:right w:w="28" w:type="dxa"/>
        </w:tblCellMar>
      </w:tblPr>
      <w:tblGrid>
        <w:gridCol w:w="526"/>
        <w:gridCol w:w="463"/>
        <w:gridCol w:w="466"/>
        <w:gridCol w:w="519"/>
        <w:gridCol w:w="519"/>
        <w:gridCol w:w="521"/>
        <w:gridCol w:w="1019"/>
        <w:gridCol w:w="1019"/>
        <w:gridCol w:w="1441"/>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FANG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Yes</w:t>
      </w:r>
      <w:r>
        <w:rPr>
          <w:color w:val="000000"/>
        </w:rPr>
        <w:t>  ☒    </w:t>
      </w:r>
      <w:r>
        <w:rPr>
          <w:rFonts w:ascii="Times New Roman;sans-serif" w:hAnsi="Times New Roman;sans-serif"/>
          <w:b w:val="false"/>
          <w:color w:val="000000"/>
          <w:sz w:val="16"/>
        </w:rPr>
        <w:t>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Yes</w:t>
      </w:r>
      <w:r>
        <w:rPr>
          <w:color w:val="000000"/>
        </w:rPr>
        <w:t>  ☒    </w:t>
      </w:r>
      <w:r>
        <w:rPr>
          <w:rFonts w:ascii="Times New Roman;sans-serif" w:hAnsi="Times New Roman;sans-serif"/>
          <w:b w:val="false"/>
          <w:color w:val="000000"/>
          <w:sz w:val="16"/>
        </w:rPr>
        <w:t>No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581"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709"/>
        <w:gridCol w:w="709"/>
        <w:gridCol w:w="713"/>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July 28, 2023, the registrant had 178,818,422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JUNE 30, 2023 </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520" w:type="dxa"/>
        <w:jc w:val="left"/>
        <w:tblInd w:w="0" w:type="dxa"/>
        <w:tblLayout w:type="fixed"/>
        <w:tblCellMar>
          <w:top w:w="28" w:type="dxa"/>
          <w:left w:w="28" w:type="dxa"/>
          <w:bottom w:w="28" w:type="dxa"/>
          <w:right w:w="28" w:type="dxa"/>
        </w:tblCellMar>
      </w:tblPr>
      <w:tblGrid>
        <w:gridCol w:w="2889"/>
        <w:gridCol w:w="2540"/>
        <w:gridCol w:w="2550"/>
        <w:gridCol w:w="158"/>
        <w:gridCol w:w="158"/>
        <w:gridCol w:w="225"/>
      </w:tblGrid>
      <w:tr>
        <w:trPr/>
        <w:tc>
          <w:tcPr>
            <w:tcW w:w="288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10">
              <w:r>
                <w:rPr>
                  <w:rStyle w:val="InternetLink"/>
                  <w:rFonts w:ascii="Times New Roman;sans-serif" w:hAnsi="Times New Roman;sans-serif"/>
                  <w:b w:val="false"/>
                  <w:color w:val="0000FF"/>
                  <w:sz w:val="20"/>
                  <w:u w:val="single"/>
                </w:rPr>
                <w:t>Glossary of Oil and Natural Gas Terms</w:t>
              </w:r>
            </w:hyperlink>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b59795c0e8eb4552b519a4f22160d630_10">
              <w:r>
                <w:rPr>
                  <w:rStyle w:val="InternetLink"/>
                  <w:rFonts w:ascii="Times New Roman;sans-serif" w:hAnsi="Times New Roman;sans-serif"/>
                  <w:b w:val="false"/>
                  <w:color w:val="0000FF"/>
                  <w:sz w:val="20"/>
                  <w:u w:val="single"/>
                </w:rPr>
                <w:t>ii</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13">
              <w:r>
                <w:rPr>
                  <w:rStyle w:val="InternetLink"/>
                  <w:rFonts w:ascii="Times New Roman;sans-serif" w:hAnsi="Times New Roman;sans-serif"/>
                  <w:b w:val="false"/>
                  <w:color w:val="0000FF"/>
                  <w:sz w:val="20"/>
                  <w:u w:val="single"/>
                </w:rPr>
                <w:t>Glossary of Certain Other Terms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13">
              <w:r>
                <w:rPr>
                  <w:rStyle w:val="InternetLink"/>
                  <w:rFonts w:ascii="Times New Roman;sans-serif" w:hAnsi="Times New Roman;sans-serif"/>
                  <w:b w:val="false"/>
                  <w:color w:val="0000FF"/>
                  <w:sz w:val="20"/>
                  <w:u w:val="single"/>
                </w:rPr>
                <w:t>iii</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16">
              <w:r>
                <w:rPr>
                  <w:rStyle w:val="InternetLink"/>
                  <w:rFonts w:ascii="Times New Roman;sans-serif" w:hAnsi="Times New Roman;sans-serif"/>
                  <w:b w:val="false"/>
                  <w:color w:val="0000FF"/>
                  <w:sz w:val="20"/>
                  <w:u w:val="single"/>
                </w:rPr>
                <w:t>Cautionary Statement Regarding Forward-Looking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16">
              <w:r>
                <w:rPr>
                  <w:rStyle w:val="InternetLink"/>
                  <w:rFonts w:ascii="Times New Roman;sans-serif" w:hAnsi="Times New Roman;sans-serif"/>
                  <w:b w:val="false"/>
                  <w:color w:val="0000FF"/>
                  <w:sz w:val="20"/>
                  <w:u w:val="single"/>
                </w:rPr>
                <w:t>iv</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19">
              <w:r>
                <w:rPr>
                  <w:rStyle w:val="InternetLink"/>
                  <w:rFonts w:ascii="Times New Roman;sans-serif" w:hAnsi="Times New Roman;sans-serif"/>
                  <w:b/>
                  <w:color w:val="0000FF"/>
                  <w:sz w:val="20"/>
                  <w:u w:val="single"/>
                </w:rPr>
                <w:t>PART I. FINANCIAL INFORMATION</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19">
              <w:r>
                <w:rPr>
                  <w:rStyle w:val="InternetLink"/>
                  <w:rFonts w:ascii="Times New Roman;sans-serif" w:hAnsi="Times New Roman;sans-serif"/>
                  <w:b w:val="false"/>
                  <w:color w:val="0000FF"/>
                  <w:sz w:val="20"/>
                  <w:u w:val="single"/>
                </w:rPr>
                <w:t>Item 1. Condensed Consolidated Financial Statements (Unaudited)</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25">
              <w:r>
                <w:rPr>
                  <w:rStyle w:val="InternetLink"/>
                  <w:rFonts w:ascii="Times New Roman;sans-serif" w:hAnsi="Times New Roman;sans-serif"/>
                  <w:b w:val="false"/>
                  <w:color w:val="0000FF"/>
                  <w:sz w:val="20"/>
                  <w:u w:val="single"/>
                </w:rPr>
                <w:t>1</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59795c0e8eb4552b519a4f22160d630_25">
              <w:r>
                <w:rPr>
                  <w:rStyle w:val="InternetLink"/>
                  <w:rFonts w:ascii="Times New Roman;sans-serif" w:hAnsi="Times New Roman;sans-serif"/>
                  <w:b w:val="false"/>
                  <w:color w:val="0000FF"/>
                  <w:sz w:val="20"/>
                  <w:u w:val="single"/>
                </w:rPr>
                <w:t>Condensed Consolidated Balance Sheets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25">
              <w:r>
                <w:rPr>
                  <w:rStyle w:val="InternetLink"/>
                  <w:rFonts w:ascii="Times New Roman;sans-serif" w:hAnsi="Times New Roman;sans-serif"/>
                  <w:b w:val="false"/>
                  <w:color w:val="0000FF"/>
                  <w:sz w:val="20"/>
                  <w:u w:val="single"/>
                </w:rPr>
                <w:t>1</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28">
              <w:r>
                <w:rPr>
                  <w:rStyle w:val="InternetLink"/>
                  <w:rFonts w:ascii="Times New Roman;sans-serif" w:hAnsi="Times New Roman;sans-serif"/>
                  <w:b w:val="false"/>
                  <w:color w:val="0000FF"/>
                  <w:sz w:val="20"/>
                  <w:u w:val="single"/>
                </w:rPr>
                <w:t>Condensed Consolidated Statements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28">
              <w:r>
                <w:rPr>
                  <w:rStyle w:val="InternetLink"/>
                  <w:rFonts w:ascii="Times New Roman;sans-serif" w:hAnsi="Times New Roman;sans-serif"/>
                  <w:b w:val="false"/>
                  <w:color w:val="0000FF"/>
                  <w:sz w:val="20"/>
                  <w:u w:val="single"/>
                </w:rPr>
                <w:t>2</w:t>
              </w:r>
            </w:hyperlink>
          </w:p>
        </w:tc>
      </w:tr>
      <w:tr>
        <w:trPr/>
        <w:tc>
          <w:tcPr>
            <w:tcW w:w="797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31">
              <w:r>
                <w:rPr>
                  <w:rStyle w:val="InternetLink"/>
                  <w:rFonts w:ascii="Times New Roman;sans-serif" w:hAnsi="Times New Roman;sans-serif"/>
                  <w:b w:val="false"/>
                  <w:color w:val="0000FF"/>
                  <w:sz w:val="20"/>
                  <w:u w:val="single"/>
                </w:rPr>
                <w:t>Condensed Consolidated Statements of Stockholders’ Equity</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31">
              <w:r>
                <w:rPr>
                  <w:rStyle w:val="InternetLink"/>
                  <w:rFonts w:ascii="Times New Roman;sans-serif" w:hAnsi="Times New Roman;sans-serif"/>
                  <w:b w:val="false"/>
                  <w:color w:val="0000FF"/>
                  <w:sz w:val="20"/>
                  <w:u w:val="single"/>
                </w:rPr>
                <w:t>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34">
              <w:r>
                <w:rPr>
                  <w:rStyle w:val="InternetLink"/>
                  <w:rFonts w:ascii="Times New Roman;sans-serif" w:hAnsi="Times New Roman;sans-serif"/>
                  <w:b w:val="false"/>
                  <w:color w:val="0000FF"/>
                  <w:sz w:val="20"/>
                  <w:u w:val="single"/>
                </w:rPr>
                <w:t>Condensed 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34">
              <w:r>
                <w:rPr>
                  <w:rStyle w:val="InternetLink"/>
                  <w:rFonts w:ascii="Times New Roman;sans-serif" w:hAnsi="Times New Roman;sans-serif"/>
                  <w:b w:val="false"/>
                  <w:color w:val="0000FF"/>
                  <w:sz w:val="20"/>
                  <w:u w:val="single"/>
                </w:rPr>
                <w:t>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37">
              <w:r>
                <w:rPr>
                  <w:rStyle w:val="InternetLink"/>
                  <w:rFonts w:ascii="Times New Roman;sans-serif" w:hAnsi="Times New Roman;sans-serif"/>
                  <w:b w:val="false"/>
                  <w:color w:val="0000FF"/>
                  <w:sz w:val="20"/>
                  <w:u w:val="single"/>
                </w:rPr>
                <w:t>Condensed Notes to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37">
              <w:r>
                <w:rPr>
                  <w:rStyle w:val="InternetLink"/>
                  <w:rFonts w:ascii="Times New Roman;sans-serif" w:hAnsi="Times New Roman;sans-serif"/>
                  <w:b w:val="false"/>
                  <w:color w:val="0000FF"/>
                  <w:sz w:val="20"/>
                  <w:u w:val="single"/>
                </w:rPr>
                <w:t>6</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88">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88">
              <w:r>
                <w:rPr>
                  <w:rStyle w:val="InternetLink"/>
                  <w:rFonts w:ascii="Times New Roman;sans-serif" w:hAnsi="Times New Roman;sans-serif"/>
                  <w:b w:val="false"/>
                  <w:color w:val="0000FF"/>
                  <w:sz w:val="20"/>
                  <w:u w:val="single"/>
                </w:rPr>
                <w:t>26</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127">
              <w:r>
                <w:rPr>
                  <w:rStyle w:val="InternetLink"/>
                  <w:rFonts w:ascii="Times New Roman;sans-serif" w:hAnsi="Times New Roman;sans-serif"/>
                  <w:b w:val="false"/>
                  <w:color w:val="0000FF"/>
                  <w:sz w:val="20"/>
                  <w:u w:val="single"/>
                </w:rPr>
                <w:t>Item 3. Quantitative and Qualitative Disclosures About Market Risk</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127">
              <w:r>
                <w:rPr>
                  <w:rStyle w:val="InternetLink"/>
                  <w:rFonts w:ascii="Times New Roman;sans-serif" w:hAnsi="Times New Roman;sans-serif"/>
                  <w:b w:val="false"/>
                  <w:color w:val="0000FF"/>
                  <w:sz w:val="20"/>
                  <w:u w:val="single"/>
                </w:rPr>
                <w:t>40</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130">
              <w:r>
                <w:rPr>
                  <w:rStyle w:val="InternetLink"/>
                  <w:rFonts w:ascii="Times New Roman;sans-serif" w:hAnsi="Times New Roman;sans-serif"/>
                  <w:b w:val="false"/>
                  <w:color w:val="0000FF"/>
                  <w:sz w:val="20"/>
                  <w:u w:val="single"/>
                </w:rPr>
                <w:t>Item 4. 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130">
              <w:r>
                <w:rPr>
                  <w:rStyle w:val="InternetLink"/>
                  <w:rFonts w:ascii="Times New Roman;sans-serif" w:hAnsi="Times New Roman;sans-serif"/>
                  <w:b w:val="false"/>
                  <w:color w:val="0000FF"/>
                  <w:sz w:val="20"/>
                  <w:u w:val="single"/>
                </w:rPr>
                <w:t>41</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133">
              <w:r>
                <w:rPr>
                  <w:rStyle w:val="InternetLink"/>
                  <w:rFonts w:ascii="Times New Roman;sans-serif" w:hAnsi="Times New Roman;sans-serif"/>
                  <w:b/>
                  <w:color w:val="0000FF"/>
                  <w:sz w:val="20"/>
                  <w:u w:val="single"/>
                </w:rPr>
                <w:t>PART II. OTHER INFORMATION</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136">
              <w:r>
                <w:rPr>
                  <w:rStyle w:val="InternetLink"/>
                  <w:rFonts w:ascii="Times New Roman;sans-serif" w:hAnsi="Times New Roman;sans-serif"/>
                  <w:b w:val="false"/>
                  <w:color w:val="0000FF"/>
                  <w:sz w:val="20"/>
                  <w:u w:val="single"/>
                </w:rPr>
                <w:t>Item 1. 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136">
              <w:r>
                <w:rPr>
                  <w:rStyle w:val="InternetLink"/>
                  <w:rFonts w:ascii="Times New Roman;sans-serif" w:hAnsi="Times New Roman;sans-serif"/>
                  <w:b w:val="false"/>
                  <w:color w:val="0000FF"/>
                  <w:sz w:val="20"/>
                  <w:u w:val="single"/>
                </w:rPr>
                <w:t>42</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139">
              <w:r>
                <w:rPr>
                  <w:rStyle w:val="InternetLink"/>
                  <w:rFonts w:ascii="Times New Roman;sans-serif" w:hAnsi="Times New Roman;sans-serif"/>
                  <w:b w:val="false"/>
                  <w:color w:val="0000FF"/>
                  <w:sz w:val="20"/>
                  <w:u w:val="single"/>
                </w:rPr>
                <w:t>Item 1A. 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139">
              <w:r>
                <w:rPr>
                  <w:rStyle w:val="InternetLink"/>
                  <w:rFonts w:ascii="Times New Roman;sans-serif" w:hAnsi="Times New Roman;sans-serif"/>
                  <w:b w:val="false"/>
                  <w:color w:val="0000FF"/>
                  <w:sz w:val="20"/>
                  <w:u w:val="single"/>
                </w:rPr>
                <w:t>42</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142">
              <w:r>
                <w:rPr>
                  <w:rStyle w:val="InternetLink"/>
                  <w:rFonts w:ascii="Times New Roman;sans-serif" w:hAnsi="Times New Roman;sans-serif"/>
                  <w:b w:val="false"/>
                  <w:color w:val="0000FF"/>
                  <w:sz w:val="20"/>
                  <w:u w:val="single"/>
                </w:rPr>
                <w:t>Item 2. Unregistered Sales of Equity Securities and Use of Proceeds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142">
              <w:r>
                <w:rPr>
                  <w:rStyle w:val="InternetLink"/>
                  <w:rFonts w:ascii="Times New Roman;sans-serif" w:hAnsi="Times New Roman;sans-serif"/>
                  <w:b w:val="false"/>
                  <w:color w:val="0000FF"/>
                  <w:sz w:val="20"/>
                  <w:u w:val="single"/>
                </w:rPr>
                <w:t>42</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1391">
              <w:r>
                <w:rPr>
                  <w:rStyle w:val="InternetLink"/>
                  <w:rFonts w:ascii="Times New Roman;sans-serif" w:hAnsi="Times New Roman;sans-serif"/>
                  <w:b w:val="false"/>
                  <w:color w:val="0000FF"/>
                  <w:sz w:val="20"/>
                  <w:u w:val="single"/>
                </w:rPr>
                <w:t>Item 5. 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1391">
              <w:r>
                <w:rPr>
                  <w:rStyle w:val="InternetLink"/>
                  <w:rFonts w:ascii="Times New Roman;sans-serif" w:hAnsi="Times New Roman;sans-serif"/>
                  <w:b w:val="false"/>
                  <w:color w:val="0000FF"/>
                  <w:sz w:val="20"/>
                  <w:u w:val="single"/>
                </w:rPr>
                <w:t>42</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145">
              <w:r>
                <w:rPr>
                  <w:rStyle w:val="InternetLink"/>
                  <w:rFonts w:ascii="Times New Roman;sans-serif" w:hAnsi="Times New Roman;sans-serif"/>
                  <w:b w:val="false"/>
                  <w:color w:val="0000FF"/>
                  <w:sz w:val="20"/>
                  <w:u w:val="single"/>
                </w:rPr>
                <w:t>Item 6. Exhibits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145">
              <w:r>
                <w:rPr>
                  <w:rStyle w:val="InternetLink"/>
                  <w:rFonts w:ascii="Times New Roman;sans-serif" w:hAnsi="Times New Roman;sans-serif"/>
                  <w:b w:val="false"/>
                  <w:color w:val="0000FF"/>
                  <w:sz w:val="20"/>
                  <w:u w:val="single"/>
                </w:rPr>
                <w:t>43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9795c0e8eb4552b519a4f22160d630_148">
              <w:r>
                <w:rPr>
                  <w:rStyle w:val="InternetLink"/>
                  <w:rFonts w:ascii="Times New Roman;sans-serif" w:hAnsi="Times New Roman;sans-serif"/>
                  <w:b w:val="false"/>
                  <w:color w:val="0000FF"/>
                  <w:sz w:val="20"/>
                  <w:u w:val="single"/>
                </w:rPr>
                <w:t>Signatures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59795c0e8eb4552b519a4f22160d630_148">
              <w:r>
                <w:rPr>
                  <w:rStyle w:val="InternetLink"/>
                  <w:rFonts w:ascii="Times New Roman;sans-serif" w:hAnsi="Times New Roman;sans-serif"/>
                  <w:b w:val="false"/>
                  <w:color w:val="0000FF"/>
                  <w:sz w:val="20"/>
                  <w:u w:val="single"/>
                </w:rPr>
                <w:t>44</w:t>
              </w:r>
            </w:hyperlink>
          </w:p>
        </w:tc>
      </w:tr>
    </w:tbl>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GLOSSARY OF OIL AND NATURAL GAS TERMS</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oil and natural gas industry terms that are used in this Quarterly Report on Form 10-Q (this “report”):</w:t>
      </w:r>
    </w:p>
    <w:tbl>
      <w:tblPr>
        <w:tblW w:w="10205" w:type="dxa"/>
        <w:jc w:val="left"/>
        <w:tblInd w:w="0" w:type="dxa"/>
        <w:tblLayout w:type="fixed"/>
        <w:tblCellMar>
          <w:top w:w="28" w:type="dxa"/>
          <w:left w:w="28" w:type="dxa"/>
          <w:bottom w:w="28" w:type="dxa"/>
          <w:right w:w="28" w:type="dxa"/>
        </w:tblCellMar>
      </w:tblPr>
      <w:tblGrid>
        <w:gridCol w:w="512"/>
        <w:gridCol w:w="286"/>
        <w:gridCol w:w="288"/>
        <w:gridCol w:w="2871"/>
        <w:gridCol w:w="2578"/>
        <w:gridCol w:w="3670"/>
      </w:tblGrid>
      <w:tr>
        <w:trPr/>
        <w:tc>
          <w:tcPr>
            <w:tcW w:w="5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Argus WTI Houston</w:t>
            </w:r>
          </w:p>
        </w:tc>
        <w:tc>
          <w:tcPr>
            <w:tcW w:w="9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Houston, Texas.</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Argus WTI Midland</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Midland, Texas.</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Basin</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large depression on the earth’s surface in which sediments accumulate.</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Bbl or barrel</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stock tank barrel, or 42 U.S. gallons liquid volume, used in this report in reference to crude oil or other liquid hydrocarbons.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crude oil.</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BO/d</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BO per day.</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oil equivalent, with six thousand cubic feet of natural gas being equivalent to one barrel of oil.</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BOE/d</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BOE per day.</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Brent</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major trading classification of light sweet oil that serves as a benchmark price for oil worldwide.</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British Thermal Unit or Btu</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quantity of heat required to raise the temperature of one pound of water by one degree Fahrenheit.</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Completion</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of treating a drilled well followed by the installation of permanent equipment for the production of natural gas or oil, or in the case of a dry hole, the reporting of abandonment to the appropriate agency.</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acres or gross wells</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total acres or wells, as the case may be, in which a working interest is owned.</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Henry Hub</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futures on the NYMEX.</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Horizontal wells</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Wells drilled directionally horizontal to allow for development of structures not reachable through traditional vertical drilling mechanisms.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MBbl</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 and other liquid hydrocarbons.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MBOE</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BOE.</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MBOE/d</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BOE per day.</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Mcf</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cubic feet of natural gas.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Mineral interests</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interests in ownership of the resource and mineral rights, giving an owner the right to profit from the extracted resources.</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MMBtu</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million British Thermal Units.</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MMcf</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Million cubic feet of natural gas.</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acres</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sum of the fractional working interest owned in gross acres.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natural gas properties</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Tracts of land consisting of properties to be developed for oil and natural gas resource extraction.</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Proved reserves</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Reserves</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are not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Reservoir</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porous and permeable underground formation containing a natural accumulation of producible natural gas and/or crude oil that is confined by impermeable rock or water barriers and is separate from other reservoirs.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interest</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interest that gives an owner the right to receive a portion of the resources or revenues without having to carry any costs of development, which may be subject to expiration.</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Waha Hub</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at western Texas and New Mexico.</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Working interest</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10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WTI</w:t>
            </w:r>
          </w:p>
        </w:tc>
        <w:tc>
          <w:tcPr>
            <w:tcW w:w="91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West Texas Intermediate, a light sweet blend of oil produced from fields in western Texas and is a grade of oil that serves as a benchmark for oil on the NYMEX.</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GLOSSARY OF CERTAIN OTHER TERMS</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other terms that are used in this report:</w:t>
      </w:r>
    </w:p>
    <w:tbl>
      <w:tblPr>
        <w:tblW w:w="10205" w:type="dxa"/>
        <w:jc w:val="left"/>
        <w:tblInd w:w="0" w:type="dxa"/>
        <w:tblLayout w:type="fixed"/>
        <w:tblCellMar>
          <w:top w:w="28" w:type="dxa"/>
          <w:left w:w="28" w:type="dxa"/>
          <w:bottom w:w="28" w:type="dxa"/>
          <w:right w:w="28" w:type="dxa"/>
        </w:tblCellMar>
      </w:tblPr>
      <w:tblGrid>
        <w:gridCol w:w="533"/>
        <w:gridCol w:w="456"/>
        <w:gridCol w:w="338"/>
        <w:gridCol w:w="2691"/>
        <w:gridCol w:w="2557"/>
        <w:gridCol w:w="3630"/>
      </w:tblGrid>
      <w:tr>
        <w:trPr/>
        <w:tc>
          <w:tcPr>
            <w:tcW w:w="53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Standards Update.</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Plan</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Company’s 2021 Amended and Restated Equity Incentive Plan.</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Exchange Act of 1934, as amended.</w:t>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Financial Accounting Standards Board.</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principles generally accepted in the United States.</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London interbank offered rate.</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Nasdaq Global Select Market.</w:t>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NYMEX</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New York Mercantile Exchange.</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OPEC</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Organization of the Petroleum Exporting Countries.</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United States Securities and Exchange Commission.</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Act of 1933, as amended.</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Senior Notes</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outstanding senior notes issued by Diamondback Energy, Inc. under indentures where Diamondback E&amp;P is the sole guarantor, consisting of the 3.250% Senior Notes due 2026, 3.500% Senior Notes due 2029, 3.125% Senior Notes due 2031, 6.250% Senior Notes due 2033, 4.400% Senior Notes due 2051, 4.250% Senior Notes due 2052 and 6.250% Senior Notes due 2053.</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secured overnight financing rate.</w:t>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TSR</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Total stockholder return of the Company’s common stock.</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Wells Fargo</w:t>
            </w:r>
          </w:p>
        </w:tc>
        <w:tc>
          <w:tcPr>
            <w:tcW w:w="887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Wells Fargo Bank, National Association.</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In particular, the factors discussed in this report and detailed under </w:t>
      </w:r>
      <w:hyperlink w:anchor="ib59795c0e8eb4552b519a4f22160d630_139">
        <w:r>
          <w:rPr>
            <w:rStyle w:val="InternetLink"/>
            <w:rFonts w:ascii="Times New Roman;sans-serif" w:hAnsi="Times New Roman;sans-serif"/>
            <w:b w:val="false"/>
            <w:color w:val="0000FF"/>
            <w:sz w:val="20"/>
            <w:u w:val="single"/>
          </w:rPr>
          <w:t>Part II, Item 1A. Risk Factors</w:t>
        </w:r>
      </w:hyperlink>
      <w:r>
        <w:rPr>
          <w:color w:val="000000"/>
        </w:rPr>
        <w:t xml:space="preserve"> </w:t>
      </w:r>
      <w:r>
        <w:rPr>
          <w:rFonts w:ascii="Times New Roman;sans-serif" w:hAnsi="Times New Roman;sans-serif"/>
          <w:b w:val="false"/>
          <w:color w:val="000000"/>
          <w:sz w:val="20"/>
        </w:rPr>
        <w:t xml:space="preserve">in this report and our </w:t>
      </w:r>
      <w:r>
        <w:fldChar w:fldCharType="begin"/>
      </w:r>
      <w:r>
        <w:rPr>
          <w:rStyle w:val="InternetLink"/>
          <w:sz w:val="20"/>
          <w:u w:val="single"/>
          <w:b w:val="false"/>
          <w:rFonts w:ascii="Times New Roman;sans-serif" w:hAnsi="Times New Roman;sans-serif"/>
          <w:color w:val="0000FF"/>
        </w:rPr>
        <w:instrText xml:space="preserve"> HYPERLINK "http://www.sec.gov/ix?doc=/Archives/edgar/data/1539838/000153983823000022/fang-20221231.htm" \l "ia595866015b4400388c840bd76dbe1a1_16"</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2022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supply and demand levels for oil, natural gas and natural gas liquids, and the resulting impact on the price for those commodities;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the impact of public health crises, including epidemic or pandemic diseases and any related company or government policies or actions;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actions taken by the members of OPEC and Russia affecting the production and pricing of oil, as well as other domestic and global political, economic, or diplomatic developments;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general economic, business or industry conditions, including changes in foreign currency exchange rates, interest rates and inflation rates, instability in the financial sector and concerns over a potential economic downturn or recession;</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regional supply and demand factors, including delays, curtailment delays or interruptions of production, or governmental orders, rules or regulations that impose production limits;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physical and transition risks relating to climate change;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restrictions on the use of water, including limits on the use of produced water and a moratorium on new produced water well permits recently imposed by the Texas Railroad Commission in an effort to control induced seismicity in the Permian Basin;</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significant declines in prices for oil, natural gas, or natural gas liquids, which could require recognition of significant impairment charges;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U.S. energy, environmental, monetary and trade policies;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conditions in the capital, financial and credit markets, including the availability and pricing of capital for drilling and development operations and our environmental and social responsibility projects;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challenges with employee retention and an increasingly competitive labor market;</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availability or cost of rigs, equipment, raw materials, supplies, oilfield services;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safety, health, environmental, tax and other regulations or requirements (including those addressing air emissions, water management, or the impact of global climate change);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 xml:space="preserve">lack of, or disruption in, access to adequate and reliable transportation, processing, storage and other facilities for our oil, natural gas and natural gas liquids;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difficulty in obtaining necessary approvals and permits;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severe weather conditions;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acts of war or terrorist acts and the governmental or military response thereto;</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the financial strength of counterparties to our credit agreement and hedging contracts;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our credit rating;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other risks and factors disclosed in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70"/>
        <w:gridCol w:w="2266"/>
        <w:gridCol w:w="2255"/>
        <w:gridCol w:w="251"/>
        <w:gridCol w:w="827"/>
        <w:gridCol w:w="139"/>
        <w:gridCol w:w="139"/>
        <w:gridCol w:w="139"/>
        <w:gridCol w:w="139"/>
        <w:gridCol w:w="251"/>
        <w:gridCol w:w="827"/>
        <w:gridCol w:w="202"/>
      </w:tblGrid>
      <w:tr>
        <w:trPr/>
        <w:tc>
          <w:tcPr>
            <w:tcW w:w="2770"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Diamondback Energy,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9"/>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par values and share data)</w:t>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2914" w:type="dxa"/>
            <w:gridSpan w:val="9"/>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Joint interest and other, net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Oil and natural gas sales, net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 receivable</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expenses and other current assets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w:t>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Oil and natural gas properties, full cost method of accounting ($8,558 million and $8,355 million excluded from amortization at June 30, 2023 and December 31, 2022, respectively)</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39,948 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37,122 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property, equipment and land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depletion, depreciation, amortization and impairment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(15,558)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(14,844)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25,145 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23,759 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Funds held in escrow</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method investments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Assets held for sale</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 net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real estate, net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assets</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27,587 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26,209 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 trade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capital expenditures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maturities of long-term debt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accrued liabilities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Revenues and royalties payable</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payable</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2,123 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Long-term debt</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6,543 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6,238 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retirement obligations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long-term liabilities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11,375 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10,519 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(Note 14)</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Stockholders’ equity:</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400,000,000 shares authorized; 179,221,318 and 179,840,797 shares issued and outstanding at June 30, 2023 and December 31, 2022, respectively</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14,213 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 (accumulated deficit)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income (loss)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Diamondback Energy, Inc. stockholders’ equity</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15,554 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15,009 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Non-controlling interest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equity</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16,212 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15,690 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 and equity</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27,587 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26,209 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55" w:type="dxa"/>
        <w:jc w:val="left"/>
        <w:tblInd w:w="0" w:type="dxa"/>
        <w:tblLayout w:type="fixed"/>
        <w:tblCellMar>
          <w:top w:w="28" w:type="dxa"/>
          <w:left w:w="28" w:type="dxa"/>
          <w:bottom w:w="28" w:type="dxa"/>
          <w:right w:w="28" w:type="dxa"/>
        </w:tblCellMar>
      </w:tblPr>
      <w:tblGrid>
        <w:gridCol w:w="1703"/>
        <w:gridCol w:w="1495"/>
        <w:gridCol w:w="1511"/>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70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 shares in thousands)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Oil sales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Natural gas sales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Natural gas liquid sales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income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operating expenses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Production and ad valorem taxes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Gathering and transportation</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General and administrative expenses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Merger and integration expenses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expenses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costs and expenses</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 net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derivative instruments, net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extinguishment of debt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income (expense), net</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income (loss) </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Diamondback Energy, Inc.</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(loss) per common share:</w:t>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180,373 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176,570 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181,176 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177,064 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180,373 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176,572 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181,176 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Dividends declared per share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1"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52"/>
        <w:gridCol w:w="717"/>
        <w:gridCol w:w="142"/>
        <w:gridCol w:w="109"/>
        <w:gridCol w:w="109"/>
        <w:gridCol w:w="109"/>
        <w:gridCol w:w="424"/>
        <w:gridCol w:w="554"/>
        <w:gridCol w:w="238"/>
        <w:gridCol w:w="109"/>
        <w:gridCol w:w="109"/>
        <w:gridCol w:w="109"/>
        <w:gridCol w:w="352"/>
        <w:gridCol w:w="757"/>
        <w:gridCol w:w="197"/>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December 31,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issued for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issuance of restricted stock units and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March 31,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181,605 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vesting of restricted stock units and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June 30, 2023</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179,219 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66"/>
        <w:gridCol w:w="481"/>
        <w:gridCol w:w="483"/>
        <w:gridCol w:w="368"/>
        <w:gridCol w:w="368"/>
        <w:gridCol w:w="196"/>
        <w:gridCol w:w="109"/>
        <w:gridCol w:w="109"/>
        <w:gridCol w:w="109"/>
        <w:gridCol w:w="248"/>
        <w:gridCol w:w="305"/>
        <w:gridCol w:w="138"/>
        <w:gridCol w:w="109"/>
        <w:gridCol w:w="109"/>
        <w:gridCol w:w="109"/>
        <w:gridCol w:w="228"/>
        <w:gridCol w:w="753"/>
        <w:gridCol w:w="127"/>
        <w:gridCol w:w="109"/>
        <w:gridCol w:w="109"/>
        <w:gridCol w:w="109"/>
        <w:gridCol w:w="312"/>
        <w:gridCol w:w="912"/>
        <w:gridCol w:w="174"/>
        <w:gridCol w:w="109"/>
        <w:gridCol w:w="109"/>
        <w:gridCol w:w="109"/>
        <w:gridCol w:w="109"/>
        <w:gridCol w:w="109"/>
        <w:gridCol w:w="316"/>
        <w:gridCol w:w="899"/>
        <w:gridCol w:w="177"/>
        <w:gridCol w:w="109"/>
        <w:gridCol w:w="109"/>
        <w:gridCol w:w="109"/>
        <w:gridCol w:w="196"/>
        <w:gridCol w:w="646"/>
        <w:gridCol w:w="159"/>
      </w:tblGrid>
      <w:tr>
        <w:trPr/>
        <w:tc>
          <w:tcPr>
            <w:tcW w:w="8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7"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in millions, shares in thousands)</w:t>
            </w:r>
          </w:p>
        </w:tc>
        <w:tc>
          <w:tcPr>
            <w:tcW w:w="1328" w:type="dxa"/>
            <w:gridSpan w:val="6"/>
            <w:tcBorders/>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December 31, 2021</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issuance of restricted stock units and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March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vesting of restricted stock units and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June 30, 2022</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175,201 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69"/>
        <w:gridCol w:w="2525"/>
        <w:gridCol w:w="2533"/>
        <w:gridCol w:w="213"/>
        <w:gridCol w:w="625"/>
        <w:gridCol w:w="109"/>
        <w:gridCol w:w="109"/>
        <w:gridCol w:w="109"/>
        <w:gridCol w:w="109"/>
        <w:gridCol w:w="213"/>
        <w:gridCol w:w="625"/>
        <w:gridCol w:w="166"/>
      </w:tblGrid>
      <w:tr>
        <w:trPr/>
        <w:tc>
          <w:tcPr>
            <w:tcW w:w="2869"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operating activities:</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income (loss)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(loss) to net cash provided by (used in) operating activities:</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deferred income taxes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extinguishment of debt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derivative instruments, net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received (paid) on settlement of derivative instruments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Equity-based compensation expense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receivable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and accrued liabilities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payable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Revenues and royalties payable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(used in) operating activities</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2,959 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investing activities:</w:t>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Drilling, completions and infrastructure additions to oil and natural gas properties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Additions to midstream assets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acquisitions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 of assets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(used in) investing activities</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financing activities:</w:t>
            </w:r>
          </w:p>
        </w:tc>
        <w:tc>
          <w:tcPr>
            <w:tcW w:w="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borrowings under credit facilities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under credit facilities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senior notes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 of senior notes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(repayments to) joint venture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Premium on extinguishment of debt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Repurchased shares under buyback program</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Repurchased units under buyback program</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paid to stockholders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to non-controlling interest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(used in) financing activities</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(2,340)</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(decrease) in cash and cash equivalents</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beginning of period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end of period</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9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Organization and Description of the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in the Permian Basin in West Texas.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wholly owned subsidiaries of Diamondback include Diamondback E&amp;P LLC (“Diamondback E&amp;P”), a Delaware limited liability company, Viper Energy Partners GP LLC, a Delaware limited liability company (“Viper’s General Partner”), Rattler Midstream GP LLC, a Delaware limited liability company (“Rattler’s GP”), Rattler Midstream LP, a Delaware limited partnership (“Rattler”) and QEP Resources, Inc. (“QEP”), a Delaware corporation.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Rattler Merger</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24, 2022 (the “Effective Date”), the Company completed the merger with Rattler pursuant to which the Company acquired all of the approximately 38.51 million publicly held outstanding common units of Rattler in exchange for approximately 4.35 million shares of the Company’s common stock (the “Rattler Merger”). Rattler continued as the surviving entity. Following the Rattler Merger, the Company owns all of Rattler’s outstanding common units and Class B units, and Rattler GP remains the general partner of Rattler. Following the closing of the Rattler Merger, Rattler’s common units were delisted from the NASDAQ Global Select Market and Rattler filed a certification on Form 15 with the SEC requesting the deregistration of its common units and suspension of Rattler’s reporting obligations under the Exchange Act.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Rattler Merger was accounted for as a non-cash equity transaction resulting in increases to common stock of $44 thousand, additional paid-in-capital of $344 million, merger and integration expense of $11 million and a decrease in noncontrolling interests in consolidated subsidiaries of $344 million. For periods prior to the Effective Date, the results of operations attributable to the non-controlling interest in Rattler are presented within equity and net income and are shown separately from the equity and net income attributable to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subsidiaries after all significant intercompany balances and transactions have been eliminated upon consolidation. The Company has one reportable segment, the upstream segment.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Diamondback’s publicly traded subsidiary Viper Energy Partners LP (“Viper”) is consolidated in the Company’s financial statements. As of June 30, 2023, the Company owned approximately 57% of Viper’s total units outstanding. The Company’s wholly owned subsidiary, Viper Energy Partners GP LLC, is the general partner of Viper. The results of operations attributable to the non-controlling interest in Viper are presented within equity and net income and are shown separately from the equity and net income attributable to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w:t>
      </w:r>
      <w:hyperlink r:id="rId2">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fiscal year ended December 31, 2022, which contains a summary of the Company’s significant accounting policies and other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included in or affecting the Company’s condensed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as of the date of the consolidated financial statements. Actual results could differ from those estimates.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Making accurate estimates and assumptions is particularly difficult in the oil and natural gas industry given the challenges resulting from volatility in oil and natural gas prices. For instance, the war in Ukraine, rising interest rates, global supply chain disruptions, concerns about a potential economic downturn or recession, recent measures to combat persistent inflation and instability in the financial sector have contributed to recent economic and pricing volatility. The financial results of companies in the oil and natural gas industry have been impacted materially as a result of these events and changing market conditions. Such circumstances generally increase uncertainty in the Company’s accounting estimates, particularly those involving financial forecasts.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fair value estimates of derivative instruments, the fair value determination of acquired assets and liabilities assumed and estimates of income taxes, including deferred tax valuation allowances.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the FASB issued ASU 2021-08, “Business Combinations (Topic 805) – Accounting for Contract Assets and Contract Liabilities from Contracts with Customers.” This update required the acquirer in a business combination to record contract asset and liabilities following Topic 606 – “Revenue from Contracts with Customers” at acquisition as if it had originated the contract, rather than at fair value. The Company adopted this update effective January 1, 2023. The adoption of this update did not have a material impact on its financial position, results of operations or liquidity.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FASB issued ASU 2023-01, “Leases (Topic 842) – Common Control Arrangements.” This update (i) requires all lessees that are a party to a lease between entities under common control in which there are leasehold improvements to record amortization utilizing the shorter period of the remaining lease term and the useful life of the improvements, and (ii) requires leasehold improvements to be accounted for as a transfer between entities under common control through an adjustment to equity if, and when, the lessee no longer controls the use of the underlying asset. This update is effective for public business entities beginning after December 15, 2023 with early adoption permitted. The Company may adopt this update (i) prospectively to all new leasehold improvements on or after the date of adoption, (ii) prospectively to all new and existing leasehold improvements on or after the date of adoption, or (iii) retrospectively to the beginning of the period in which the Company first applied Topic 842. The Company continues to evaluate the provisions of this update, but does not believe the adoption will have a material impact on its financial position, results of operations or liquidity.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ASUs not discussed above were assessed and determined to be either not applicable, the effects of adoption are not expected to be material or are clarifications of ASUs previously disclosed.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from Contracts with 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contracts with customers disaggregated by product type and basin:</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68"/>
        <w:gridCol w:w="322"/>
        <w:gridCol w:w="253"/>
        <w:gridCol w:w="222"/>
        <w:gridCol w:w="651"/>
        <w:gridCol w:w="115"/>
        <w:gridCol w:w="109"/>
        <w:gridCol w:w="109"/>
        <w:gridCol w:w="109"/>
        <w:gridCol w:w="245"/>
        <w:gridCol w:w="542"/>
        <w:gridCol w:w="128"/>
        <w:gridCol w:w="109"/>
        <w:gridCol w:w="109"/>
        <w:gridCol w:w="109"/>
        <w:gridCol w:w="211"/>
        <w:gridCol w:w="256"/>
        <w:gridCol w:w="109"/>
        <w:gridCol w:w="109"/>
        <w:gridCol w:w="109"/>
        <w:gridCol w:w="109"/>
        <w:gridCol w:w="211"/>
        <w:gridCol w:w="616"/>
        <w:gridCol w:w="109"/>
        <w:gridCol w:w="109"/>
        <w:gridCol w:w="109"/>
        <w:gridCol w:w="109"/>
        <w:gridCol w:w="222"/>
        <w:gridCol w:w="651"/>
        <w:gridCol w:w="115"/>
        <w:gridCol w:w="109"/>
        <w:gridCol w:w="109"/>
        <w:gridCol w:w="109"/>
        <w:gridCol w:w="227"/>
        <w:gridCol w:w="663"/>
        <w:gridCol w:w="117"/>
        <w:gridCol w:w="109"/>
        <w:gridCol w:w="109"/>
        <w:gridCol w:w="109"/>
        <w:gridCol w:w="211"/>
        <w:gridCol w:w="256"/>
        <w:gridCol w:w="109"/>
        <w:gridCol w:w="109"/>
        <w:gridCol w:w="109"/>
        <w:gridCol w:w="109"/>
        <w:gridCol w:w="211"/>
        <w:gridCol w:w="616"/>
        <w:gridCol w:w="160"/>
      </w:tblGrid>
      <w:tr>
        <w:trPr/>
        <w:tc>
          <w:tcPr>
            <w:tcW w:w="3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2022</w:t>
            </w:r>
          </w:p>
        </w:tc>
      </w:tr>
      <w:tr>
        <w:trPr/>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Delaware Basin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Delaware Basin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2022</w:t>
            </w:r>
          </w:p>
        </w:tc>
      </w:tr>
      <w:tr>
        <w:trPr/>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2"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ACQUISITIONS AND DIVESTITURES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Activity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Lario Acquisition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the Company closed on its acquisition of all leasehold interests and related assets of Lario Permian, LLC, a wholly owned subsidiary of Lario Oil and Gas Company, and certain associated sellers (collectively “Lario”). The acquisition included approximately 25,000 gross (16,000 net) acres in the Midland Basin and certain related oil and gas assets (the “Lario Acquisition”), in exchange for 4.33 million shares of the Company’s common stock and $814 million in cash, including certain customary post-closing adjustments. Approximately $113 million of the cash consideration was deposited in an indemnity holdback escrow account at closing to be distributed upon satisfactory settlement of any potential title defects on the acquired properties. The cash portion of the consideration for the Lario Acquisition was funded through a combination of cash on hand, a portion of the net proceeds from the Company’s December 2022 senior notes offering and borrowings under the Company’s revolving credit facility.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in the Lario Acquisition (in millions, except per share data, shares in thousands):</w:t>
      </w:r>
    </w:p>
    <w:p>
      <w:pPr>
        <w:pStyle w:val="TextBody"/>
        <w:bidi w:val="0"/>
        <w:spacing w:before="0" w:after="0"/>
        <w:ind w:left="0" w:right="0" w:firstLine="720"/>
        <w:jc w:val="both"/>
        <w:rPr/>
      </w:pPr>
      <w:r>
        <w:rPr/>
      </w:r>
    </w:p>
    <w:tbl>
      <w:tblPr>
        <w:tblW w:w="7356" w:type="dxa"/>
        <w:jc w:val="left"/>
        <w:tblInd w:w="0" w:type="dxa"/>
        <w:tblLayout w:type="fixed"/>
        <w:tblCellMar>
          <w:top w:w="28" w:type="dxa"/>
          <w:left w:w="28" w:type="dxa"/>
          <w:bottom w:w="28" w:type="dxa"/>
          <w:right w:w="28" w:type="dxa"/>
        </w:tblCellMar>
      </w:tblPr>
      <w:tblGrid>
        <w:gridCol w:w="2267"/>
        <w:gridCol w:w="1996"/>
        <w:gridCol w:w="2007"/>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Lario Acquisition has been accounted for as a business combination using the acquisition method. The following table represents the allocation of the total purchase price paid in the Lario Acquisition to the identifiable assets acquired and the liabilities assumed based on the fair values at the acquisition date. Although the purchase price allocation is substantially complete as of the date of this filing, there may be further adjustments to the fair value of certain assets acquired and liabilities assumed, including but not limited to the Company’s oil and natural gas properties. The Company expects to complete the purchase price allocation during the 12-month period following the acquisition date and may revise the value of the assets and liabilities as appropriate within that time frame.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preliminary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attributable to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vehicles and a field office were based on the cost approach, which utilized asset listings and cost records with consideration for the reported age, condition, utilization and economic support of the assets and were included in the Company’s consolidated balance sheets under the caption “Other property, equipment and land.” The majority of the measurements of assets acquired and liabilities assumed are based on inputs that are not observable in the market and are therefore considered Level 3 inputs in the fair value hierarchy.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completion of the Lario Acquisition, the Company acquired proved properties of $924 million and unproved properties of $536 million. The results of operations attributable to the Lario Acquisition since the acquisition date have been included in the condensed consolidated statements of operations and include $122 millions and $211 million of total revenue and $55 millions and $87 million of net income for the three and six months ended June 30,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Divestitures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2023, the Company divested non-core assets to an unrelated third-party buyer consisting of approximately 19,000 net acres in Glasscock County, TX for net cash proceeds at closing of $275 million, subject to certain customary post-closing adjustments including $3 million retained as an indemnity holdback in an escrow account for certain title defects. This transaction did not result in a significant alteration of the relationship between the Company’s capitalized costs and proved reserves and, accordingly, the Company recorded the proceeds as a reduction of its full cost pool with no gain or loss recognized on the sale. The Company used its net proceeds from this transaction for debt reduction and other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Company divested non-core assets consisting of approximately 4,900 net acres in Ward and Winkler counties to unrelated third-party buyers for $78 million in net cash proceeds, including customary post-closing adjustments.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9, 2023, the Company divested its 10% non-operating equity investment in Gray Oak Pipeline, LLC (“Gray Oak”) for $172 million in net cash proceeds and recorded a gain on the sale of equity method investments of approximately $53 million in the first quarter of 2023 that is included in the caption “Other income (expense), net” on the condensed consolidated statement of operations for the six months ended June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2022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FireBird Energy LLC</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2022, the Company closed on its acquisition of all leasehold interests and related assets of FireBird Energy LLC, which included approximately 75,000 gross (68,000 net) acres in the Midland Basin and certain related oil and gas assets, in exchange for 5.92 million shares of the Company’s common stock and $787 million in cash, including certain customary post-closing adjustments. Approximately $125 million of the cash consideration was deposited in an indemnity holdback escrow account at closing to be distributed upon satisfactory settlement of any potential title defects on the acquired properties. The cash portion of the consideration for the FireBird Acquisition was funded through a combination of cash on hand and borrowings under the Company’s revolving credit facility. As a result of the FireBird Acquisition, the Company added approximately 854 gross producing wells.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in the FireBird Acquisition (in millions, except per share data, shares in thousands):</w:t>
      </w:r>
    </w:p>
    <w:p>
      <w:pPr>
        <w:pStyle w:val="TextBody"/>
        <w:bidi w:val="0"/>
        <w:spacing w:before="0" w:after="0"/>
        <w:ind w:left="0" w:right="0" w:firstLine="720"/>
        <w:jc w:val="both"/>
        <w:rPr/>
      </w:pPr>
      <w:r>
        <w:rPr/>
      </w:r>
    </w:p>
    <w:tbl>
      <w:tblPr>
        <w:tblW w:w="7356" w:type="dxa"/>
        <w:jc w:val="left"/>
        <w:tblInd w:w="0" w:type="dxa"/>
        <w:tblLayout w:type="fixed"/>
        <w:tblCellMar>
          <w:top w:w="28" w:type="dxa"/>
          <w:left w:w="28" w:type="dxa"/>
          <w:bottom w:w="28" w:type="dxa"/>
          <w:right w:w="28" w:type="dxa"/>
        </w:tblCellMar>
      </w:tblPr>
      <w:tblGrid>
        <w:gridCol w:w="2267"/>
        <w:gridCol w:w="1996"/>
        <w:gridCol w:w="2007"/>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FireBird Acquisition has been accounted for as a business combination using the acquisition method. The following table represents the allocation of the total purchase price paid in the FireBird Acquisition to the identifiable assets acquired and the liabilities assumed based on the fair values at the acquisition date. Although the purchase price allocation is substantially complete as of the date of this filing, there may be further adjustments to the fair value of certain assets acquired and liabilities assumed, including but not limited to the Company’s oil and natural gas properties and other property, equipment and land. The Company expects to complete the purchase price allocation during the 12-month period following the acquisition date and may revise the value of the assets and liabilities as appropriate within that time frame.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preliminary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attributable to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 and were included in the Company’s consolidated balance sheets under the caption “Other property, equipment and land.” The majority of the measurements of assets acquired and liabilities assumed are based on inputs that are not observable in the market and are therefore considered Level 3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completion of the FireBird Acquisition, the Company acquired proved properties of $648 million and unproved properties of $910 million.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Delaware Basin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18, 2022, the Company acquired, from an unrelated third-party seller, approximately 6,200 net acres in the Delaware Basin for $232 million in cash, including customary post-closing adjustments. The acquisition was funded through cash on hand.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2022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the year ended December 31, 2022, the Company acquired, from unrelated third-party sellers, approximately 4,000 net acres and over 200 gross wells in the Permian Basin for an aggregate purchase price of approximately $220 million in cash, including customary post-closing adjustments. The acquisitions were funded through cash on hand.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Divestitures of Certain Non-Core Assets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completed the divestiture of non-core Delaware Basin acreage consisting of approximately 3,272 net acres, with net production of approximately 550 BO/d (800 BOE/d) for $155 million of net proceeds. The Company used the net proceeds from this transaction towards debt reduction.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 Forma Financial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summary pro forma financial information for the three and six months ended June 30, 2023 and 2022 has been prepared to give effect to the FireBird Acquisition and the Lario Acquisition as if they had occurred on January 1, 2022. The unaudited pro forma financial information does not purport to be indicative of what the combined company’s results of operations would have been if these transactions had occurred on the dates indicated, nor is it indicative of the future financial position or results of operations of the combined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below information reflects pro forma adjustments for the issuance of the Company’s common stock as consideration for the FireBird Acquisition and the Lario Acquisition, as well as pro forma adjustments based on available information and certain assumptions that the Company believes are reasonable, including adjustments to depreciation, depletion and amortization based on the full cost method of accounting.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pro forma earnings for the three and six months ended June 30, 2023 were adjusted to exclude acquisition-related costs incurred by the Company of $1 million and $8 million for the Lario Acquisition and $2 million and $3 million for the FireBird Acquisition, respectively, which consist primarily of legal and advisory fees. The pro forma results of operations do not include any cost savings or other synergies that may result from the Firebird Acquisition and the Lario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pStyle w:val="TextBody"/>
        <w:bidi w:val="0"/>
        <w:spacing w:before="0" w:after="0"/>
        <w:ind w:left="0" w:right="0" w:firstLine="720"/>
        <w:jc w:val="both"/>
        <w:rPr/>
      </w:pPr>
      <w:r>
        <w:rPr/>
      </w:r>
    </w:p>
    <w:tbl>
      <w:tblPr>
        <w:tblW w:w="8511" w:type="dxa"/>
        <w:jc w:val="left"/>
        <w:tblInd w:w="0" w:type="dxa"/>
        <w:tblLayout w:type="fixed"/>
        <w:tblCellMar>
          <w:top w:w="28" w:type="dxa"/>
          <w:left w:w="28" w:type="dxa"/>
          <w:bottom w:w="28" w:type="dxa"/>
          <w:right w:w="28" w:type="dxa"/>
        </w:tblCellMar>
      </w:tblPr>
      <w:tblGrid>
        <w:gridCol w:w="1253"/>
        <w:gridCol w:w="1101"/>
        <w:gridCol w:w="1111"/>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25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common share</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common share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PROPERTY AND EQUIPMENT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includes the following as of the dates indicated:</w:t>
      </w:r>
    </w:p>
    <w:p>
      <w:pPr>
        <w:pStyle w:val="TextBody"/>
        <w:bidi w:val="0"/>
        <w:spacing w:before="0" w:after="0"/>
        <w:ind w:left="0" w:right="0" w:firstLine="720"/>
        <w:jc w:val="both"/>
        <w:rPr/>
      </w:pPr>
      <w:r>
        <w:rPr/>
      </w:r>
    </w:p>
    <w:tbl>
      <w:tblPr>
        <w:tblW w:w="8103" w:type="dxa"/>
        <w:jc w:val="left"/>
        <w:tblInd w:w="0" w:type="dxa"/>
        <w:tblLayout w:type="fixed"/>
        <w:tblCellMar>
          <w:top w:w="28" w:type="dxa"/>
          <w:left w:w="28" w:type="dxa"/>
          <w:bottom w:w="28" w:type="dxa"/>
          <w:right w:w="28" w:type="dxa"/>
        </w:tblCellMar>
      </w:tblPr>
      <w:tblGrid>
        <w:gridCol w:w="2009"/>
        <w:gridCol w:w="1764"/>
        <w:gridCol w:w="1777"/>
        <w:gridCol w:w="211"/>
        <w:gridCol w:w="721"/>
        <w:gridCol w:w="109"/>
        <w:gridCol w:w="109"/>
        <w:gridCol w:w="109"/>
        <w:gridCol w:w="109"/>
        <w:gridCol w:w="230"/>
        <w:gridCol w:w="787"/>
        <w:gridCol w:w="168"/>
      </w:tblGrid>
      <w:tr>
        <w:trPr/>
        <w:tc>
          <w:tcPr>
            <w:tcW w:w="200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depletion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subject to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oil and natural gas properties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amortization, accretion and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property and equipment, net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full cost method of accounting, the Company is required to perform a ceiling test each quarter which determines a limit, or ceiling, on the book value of proved oil and natural gas properties. No impairment expense was recorded for the three and six months ended June 30, 2023 or 2022 based on the results of the respective quarterly ceiling tests.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Held For 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During the second quarter of 2023, the Company commenced separate plans to sell certain assets consisting of midstream water assets with a carrying value of $667 million and oil gathering assets with a carrying value of $75 million. As of June 30, 2023, the Company had ceased depreciating these assets and classified them as held for sale on the Company’s condensed consolidated balance sheet. At December 31, 2022, the midstream water assets and oil gathering assets were included in the Company’s consolidated balance sheet under the caption “Other property, equipment and land.” All of these assets are included in the midstream operating segment, which is categorized as “All Other” in the Company’s segment disclosures in Note 16—</w:t>
      </w:r>
      <w:hyperlink w:anchor="ib59795c0e8eb4552b519a4f22160d630_85">
        <w:r>
          <w:rPr>
            <w:rStyle w:val="InternetLink"/>
            <w:rFonts w:ascii="Times New Roman;sans-serif" w:hAnsi="Times New Roman;sans-serif"/>
            <w:b w:val="false"/>
            <w:color w:val="0000FF"/>
            <w:sz w:val="20"/>
            <w:u w:val="single"/>
          </w:rPr>
          <w:t>Segment Information</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time these assets were transferred to held for sale, their carrying values approximated or were less than their respective fair values less costs to sell based on observable exit prices obtained from third party bids. As such, no impairment loss was recorded on these assets upon their transfer to held for sale. The Company expects to complete the sale of these assets in the third quarter of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ASSET RETIREMENT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the changes to the Company’s asset retirement obligations liability for the following periods:</w:t>
      </w:r>
    </w:p>
    <w:tbl>
      <w:tblPr>
        <w:tblW w:w="6384" w:type="dxa"/>
        <w:jc w:val="left"/>
        <w:tblInd w:w="0" w:type="dxa"/>
        <w:tblLayout w:type="fixed"/>
        <w:tblCellMar>
          <w:top w:w="28" w:type="dxa"/>
          <w:left w:w="28" w:type="dxa"/>
          <w:bottom w:w="28" w:type="dxa"/>
          <w:right w:w="28" w:type="dxa"/>
        </w:tblCellMar>
      </w:tblPr>
      <w:tblGrid>
        <w:gridCol w:w="1489"/>
        <w:gridCol w:w="1309"/>
        <w:gridCol w:w="1312"/>
        <w:gridCol w:w="247"/>
        <w:gridCol w:w="546"/>
        <w:gridCol w:w="127"/>
        <w:gridCol w:w="127"/>
        <w:gridCol w:w="127"/>
        <w:gridCol w:w="127"/>
        <w:gridCol w:w="247"/>
        <w:gridCol w:w="546"/>
        <w:gridCol w:w="180"/>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beginning of period</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liabilities incurred</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acquired</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settled and divested</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expense</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Revisions in estimated liabilities</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end of period</w:t>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Less current portion</w:t>
            </w:r>
            <w:r>
              <w:rPr>
                <w:rFonts w:ascii="Times New Roman;sans-serif" w:hAnsi="Times New Roman;sans-serif"/>
                <w:b w:val="false"/>
                <w:color w:val="000000"/>
                <w:sz w:val="13"/>
              </w:rPr>
              <w:t>(1)</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 long-term</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current portion of the asset retirement obligation is included in other accrued liabilities in the Company’s condensed consolidated balance sheets.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 the dates indicated:</w:t>
      </w:r>
    </w:p>
    <w:p>
      <w:pPr>
        <w:pStyle w:val="TextBody"/>
        <w:bidi w:val="0"/>
        <w:spacing w:before="0" w:after="0"/>
        <w:ind w:left="0" w:right="0" w:firstLine="720"/>
        <w:jc w:val="both"/>
        <w:rPr/>
      </w:pPr>
      <w:r>
        <w:rPr/>
      </w:r>
    </w:p>
    <w:tbl>
      <w:tblPr>
        <w:tblW w:w="8912" w:type="dxa"/>
        <w:jc w:val="left"/>
        <w:tblInd w:w="0" w:type="dxa"/>
        <w:tblLayout w:type="fixed"/>
        <w:tblCellMar>
          <w:top w:w="28" w:type="dxa"/>
          <w:left w:w="28" w:type="dxa"/>
          <w:bottom w:w="28" w:type="dxa"/>
          <w:right w:w="28" w:type="dxa"/>
        </w:tblCellMar>
      </w:tblPr>
      <w:tblGrid>
        <w:gridCol w:w="2342"/>
        <w:gridCol w:w="2057"/>
        <w:gridCol w:w="2065"/>
        <w:gridCol w:w="211"/>
        <w:gridCol w:w="616"/>
        <w:gridCol w:w="109"/>
        <w:gridCol w:w="109"/>
        <w:gridCol w:w="109"/>
        <w:gridCol w:w="109"/>
        <w:gridCol w:w="255"/>
        <w:gridCol w:w="744"/>
        <w:gridCol w:w="186"/>
      </w:tblGrid>
      <w:tr>
        <w:trPr/>
        <w:tc>
          <w:tcPr>
            <w:tcW w:w="2342"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5.250% Senior Notes due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3.250% Senior Notes due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Senior Notes due 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7.125% Medium-term Notes, Series B, due 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3.500% Senior Notes due 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3.125% Senior Notes due 2031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4.400% Senior Notes due 2051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Senior Notes due 2052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2053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premium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Unamortized basis adjustment of dedesignated interest rate swap agreements</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revolving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5.375% Senior Notes due 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 of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20"/>
        </w:rPr>
        <w:t>(1)    Represents the unamortized basis adjustment related to two receive-fixed, pay variable interest rate swap agreements which were previously designated as fair value hedges of the Company’s $1.2 billion 3.500% fixed rate senior notes due 2029. These swaps were dedesignated in the second quarter of 2022 as discussed further in Note 11—</w:t>
      </w:r>
      <w:hyperlink w:anchor="ib59795c0e8eb4552b519a4f22160d630_70">
        <w:r>
          <w:rPr>
            <w:rStyle w:val="InternetLink"/>
            <w:rFonts w:ascii="Times New Roman;sans-serif" w:hAnsi="Times New Roman;sans-serif"/>
            <w:b w:val="false"/>
            <w:color w:val="0000FF"/>
            <w:sz w:val="20"/>
            <w:u w:val="single"/>
          </w:rPr>
          <w:t>Derivatives</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section to the Company shall mean Diamondback Energy, Inc. and Diamondback E&amp;P, collectively, unless otherwise specified.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Diamondback E&amp;P, as borrower, and Diamondback Energy, Inc., as parent guarantor, have a credit agreement, as amended, which provides for a maximum credit amount of $1.6 billion. As of June 30, 2023, the Company had $343 million in outstanding borrowings under the credit agreement and $1.3 billion available for future borrowings. During the three and six months ended June 30, 2023 the weighted average interest rate on borrowings under the credit agreement was 6.37% and 6.23%, respectively. During both the three and six months ended June 30, 2022 the weighted average interest rate on borrowings under the credit agreement was 2.69%. During the second quarter of 2023, the Company exercised an election to extend the maturity date of the credit agreement by one year to June 2, 2028 in accordance with the terms of the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was in compliance with all financial maintenance covenants under the 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Repurchases of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2023, the Company repurchased principal amounts of $30 million of its 3.250% Senior Notes due 2026 and $100 million of its 3.500% Senior Notes due 2029 for total cash consideration, including accrued interest paid of $124 million. These repurchases resulted in an immaterial loss on extinguishment of debt during the second quarter of 2023.</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Viper’s Credit Agreement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2023, Viper LLC entered into a tenth amendment to its existing credit agreement, which among other things, (i) maintained the maximum credit amount under the Viper LLC credit agreement of $2.0 billion, (ii) increased the borrowing base from $580 million to $1.0 billion and (iii) increased the elected commitment amount from $500 million to $750 million. As of June 30, 2023, Viper LLC had $224 million of outstanding borrowings and $526 million available for future borrowings. During the three and six months ended June 30, 2023 and 2022, the weighted average interest rates on borrowings under the Viper credit agreement were 7.53%, 7.24% and 3.20% and 2.88%, respectively. The Viper credit agreement will mature on June 2, 2025. As of June 30, 2023, Viper LLC was in compliance with all financial maintenance covenants under the Viper credit agreement.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STOCKHOLDERS’ EQUITY AND EARNINGS (LOSS)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the Company’s board of directors approved a stock repurchase program to acquire up to $2.0 billion of the Company’s outstanding common stock, excluding excise tax. On July 28, 2022, the Company’s board of directors approved an increase in the Company’s common stock repurchase program from $2.0 billion to $4.0 billion, excluding excise tax.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and six months ended June 30, 2023 and 2022, the Company repurchased, excluding excise tax, approximately $321 million, $653 million, $303 million and $310 million of common stock under this repurchase program, respectively. As of June 30, 2023, approximately $1.8 billion remained available for use to repurchase shares under the Company’s common stock repurchase program, excluding excise tax.</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 in Ownership of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Non-controlling interests in the accompanying condensed consolidated financial statements represent minority interest ownership in Viper and Rattler through the Effective Date and are presented as a component of equity. When the Company’s relative ownership interests in Viper and Rattler change, adjustments to non-controlling interest and additional paid-in-capital, tax effected, will occur. The following table summarizes changes in the ownership interest in consolidated subsidiaries during the periods presented: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106"/>
        <w:gridCol w:w="1627"/>
        <w:gridCol w:w="1639"/>
        <w:gridCol w:w="230"/>
        <w:gridCol w:w="510"/>
        <w:gridCol w:w="119"/>
        <w:gridCol w:w="119"/>
        <w:gridCol w:w="119"/>
        <w:gridCol w:w="119"/>
        <w:gridCol w:w="230"/>
        <w:gridCol w:w="675"/>
        <w:gridCol w:w="119"/>
        <w:gridCol w:w="109"/>
        <w:gridCol w:w="109"/>
        <w:gridCol w:w="109"/>
        <w:gridCol w:w="212"/>
        <w:gridCol w:w="620"/>
        <w:gridCol w:w="109"/>
        <w:gridCol w:w="109"/>
        <w:gridCol w:w="109"/>
        <w:gridCol w:w="109"/>
        <w:gridCol w:w="212"/>
        <w:gridCol w:w="620"/>
        <w:gridCol w:w="166"/>
      </w:tblGrid>
      <w:tr>
        <w:trPr/>
        <w:tc>
          <w:tcPr>
            <w:tcW w:w="2106"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income (loss) attributable to the Company's stockholders and transfers to non-controlling interest</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Earnings (Loss) Per Share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earnings (loss) per share amounts have been computed using the two-class method. The two-class method is an earnings allocation proportional to the respective ownership among holders of common stock and participating securities. Basic earnings (loss) per share amounts have been computed based on the weighted-average number of shares of common stock outstanding for the period. Diluted earnings per share include the effect of potentially dilutive non-participating securities outstanding for the period. Additionally, the per share earnings of Viper are included in the consolidated earnings per share computation based on the consolidated group’s holdings of the subsidiaries.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components of basic and diluted earnings per common share is presented in the table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44"/>
        <w:gridCol w:w="1596"/>
        <w:gridCol w:w="1600"/>
        <w:gridCol w:w="246"/>
        <w:gridCol w:w="591"/>
        <w:gridCol w:w="121"/>
        <w:gridCol w:w="121"/>
        <w:gridCol w:w="121"/>
        <w:gridCol w:w="121"/>
        <w:gridCol w:w="235"/>
        <w:gridCol w:w="688"/>
        <w:gridCol w:w="121"/>
        <w:gridCol w:w="109"/>
        <w:gridCol w:w="109"/>
        <w:gridCol w:w="109"/>
        <w:gridCol w:w="213"/>
        <w:gridCol w:w="623"/>
        <w:gridCol w:w="109"/>
        <w:gridCol w:w="109"/>
        <w:gridCol w:w="109"/>
        <w:gridCol w:w="109"/>
        <w:gridCol w:w="213"/>
        <w:gridCol w:w="623"/>
        <w:gridCol w:w="165"/>
      </w:tblGrid>
      <w:tr>
        <w:trPr/>
        <w:tc>
          <w:tcPr>
            <w:tcW w:w="2044"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 except per share amounts, shares in thousands)</w:t>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distributed and undistributed earnings allocated to participating securities</w:t>
            </w:r>
            <w:r>
              <w:rPr>
                <w:rFonts w:ascii="Times New Roman;sans-serif" w:hAnsi="Times New Roman;sans-serif"/>
                <w:b w:val="false"/>
                <w:color w:val="000000"/>
                <w:sz w:val="13"/>
              </w:rPr>
              <w:t>(1)</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potential common shares issuable</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177,066 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attributable to common stock</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attributable to common stock</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Unvested restricted stock awards and performance stock awards that contain non-forfeitable distribution equivalent rights are considered participating securities and therefore are included in the earnings per share calculation pursuant to the two-class method.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EQUITY-BASED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Equity Plan approved by the Board of Directors, the Company is authorized to issue up to 11.8 million shares of incentive and non-statutory stock options, restricted stock awards and restricted stock units, performance awards and stock appreciation rights to eligible employees. The Company has outstanding restricted stock units and performance-based restricted stock units under the Equity Plan. The Company also has immaterial amounts of restricted share awards and stock appreciation rights outstanding which were issued under plans assumed in connection with previously completed mergers. At June 30, 2023, approximately 5.1 million shares of common stock remain available for future grants under the Equity Plan. The Company classifies its restricted stock units and performance-based restricted stock units as equity-based awards and estimates the fair values of restricted stock awards and units as the closing price of the Company’s common stock on the grant date of the award, which is expensed over the applicable vesting period.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Equity Plan, Viper maintains its own long-term incentive plan, which is not significant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financial statement impacts of equity compensation plans and related costs on the Company’s financial statements:</w:t>
      </w:r>
    </w:p>
    <w:tbl>
      <w:tblPr>
        <w:tblW w:w="10205" w:type="dxa"/>
        <w:jc w:val="left"/>
        <w:tblInd w:w="0" w:type="dxa"/>
        <w:tblLayout w:type="fixed"/>
        <w:tblCellMar>
          <w:top w:w="28" w:type="dxa"/>
          <w:left w:w="28" w:type="dxa"/>
          <w:bottom w:w="28" w:type="dxa"/>
          <w:right w:w="28" w:type="dxa"/>
        </w:tblCellMar>
      </w:tblPr>
      <w:tblGrid>
        <w:gridCol w:w="2084"/>
        <w:gridCol w:w="1831"/>
        <w:gridCol w:w="1835"/>
        <w:gridCol w:w="262"/>
        <w:gridCol w:w="448"/>
        <w:gridCol w:w="135"/>
        <w:gridCol w:w="135"/>
        <w:gridCol w:w="135"/>
        <w:gridCol w:w="135"/>
        <w:gridCol w:w="262"/>
        <w:gridCol w:w="448"/>
        <w:gridCol w:w="135"/>
        <w:gridCol w:w="109"/>
        <w:gridCol w:w="109"/>
        <w:gridCol w:w="109"/>
        <w:gridCol w:w="246"/>
        <w:gridCol w:w="422"/>
        <w:gridCol w:w="127"/>
        <w:gridCol w:w="127"/>
        <w:gridCol w:w="127"/>
        <w:gridCol w:w="127"/>
        <w:gridCol w:w="246"/>
        <w:gridCol w:w="422"/>
        <w:gridCol w:w="189"/>
      </w:tblGrid>
      <w:tr>
        <w:trPr/>
        <w:tc>
          <w:tcPr>
            <w:tcW w:w="2084"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capitalized pursuant to full cost method of accounting for oil and natural gas properties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restricted stock unit activity during the six months ended June 30, 2023 under the Equity Plan:</w:t>
      </w:r>
    </w:p>
    <w:tbl>
      <w:tblPr>
        <w:tblW w:w="6952" w:type="dxa"/>
        <w:jc w:val="left"/>
        <w:tblInd w:w="0" w:type="dxa"/>
        <w:tblLayout w:type="fixed"/>
        <w:tblCellMar>
          <w:top w:w="28" w:type="dxa"/>
          <w:left w:w="28" w:type="dxa"/>
          <w:bottom w:w="28" w:type="dxa"/>
          <w:right w:w="28" w:type="dxa"/>
        </w:tblCellMar>
      </w:tblPr>
      <w:tblGrid>
        <w:gridCol w:w="978"/>
        <w:gridCol w:w="860"/>
        <w:gridCol w:w="862"/>
        <w:gridCol w:w="526"/>
        <w:gridCol w:w="454"/>
        <w:gridCol w:w="456"/>
        <w:gridCol w:w="109"/>
        <w:gridCol w:w="109"/>
        <w:gridCol w:w="109"/>
        <w:gridCol w:w="483"/>
        <w:gridCol w:w="1653"/>
        <w:gridCol w:w="353"/>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w:t>
              <w:br/>
              <w: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w:t>
              <w:br/>
              <w:t>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918,902 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95.74 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390,530 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143.74 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(154,606)</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122.88 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(52,986)</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98.87 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June 30, 2023</w:t>
            </w:r>
          </w:p>
        </w:tc>
        <w:tc>
          <w:tcPr>
            <w:tcW w:w="9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1,101,840 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108.62 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grant date fair value of restricted stock units that vested during the six months ended June 30, 2023 was $19 million. As of June 30, 2023, the Company’s unrecognized compensation cost related to unvested restricted stock units was $94 million, which is expected to be recognized over a weighted-average period of 1.8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Based Restricted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performance restricted stock units activity under the Equity Plan for the six months ended June 30, 2023:</w:t>
      </w:r>
    </w:p>
    <w:p>
      <w:pPr>
        <w:pStyle w:val="TextBody"/>
        <w:bidi w:val="0"/>
        <w:spacing w:before="0" w:after="0"/>
        <w:jc w:val="both"/>
        <w:rPr/>
      </w:pPr>
      <w:r>
        <w:rPr/>
      </w:r>
    </w:p>
    <w:tbl>
      <w:tblPr>
        <w:tblW w:w="9222" w:type="dxa"/>
        <w:jc w:val="left"/>
        <w:tblInd w:w="0" w:type="dxa"/>
        <w:tblLayout w:type="fixed"/>
        <w:tblCellMar>
          <w:top w:w="28" w:type="dxa"/>
          <w:left w:w="28" w:type="dxa"/>
          <w:bottom w:w="28" w:type="dxa"/>
          <w:right w:w="28" w:type="dxa"/>
        </w:tblCellMar>
      </w:tblPr>
      <w:tblGrid>
        <w:gridCol w:w="978"/>
        <w:gridCol w:w="860"/>
        <w:gridCol w:w="862"/>
        <w:gridCol w:w="949"/>
        <w:gridCol w:w="949"/>
        <w:gridCol w:w="952"/>
        <w:gridCol w:w="109"/>
        <w:gridCol w:w="109"/>
        <w:gridCol w:w="109"/>
        <w:gridCol w:w="650"/>
        <w:gridCol w:w="2221"/>
        <w:gridCol w:w="47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 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347,881 </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168.48 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126,347 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259.52 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(27,168)</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131.06 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Unvested at June 30, 2023</w:t>
            </w:r>
            <w:r>
              <w:rPr>
                <w:rFonts w:ascii="Times New Roman;sans-serif" w:hAnsi="Times New Roman;sans-serif"/>
                <w:b w:val="false"/>
                <w:color w:val="000000"/>
                <w:sz w:val="13"/>
              </w:rPr>
              <w:t>(1)</w:t>
            </w:r>
          </w:p>
        </w:tc>
        <w:tc>
          <w:tcPr>
            <w:tcW w:w="1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447,060 </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196.48 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 maximum of 1,068,213 units could be awarded based upon the Company’s final TSR ranking.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Company’s unrecognized compensation cost related to unvested performance based restricted stock awards and units was $50 million, which is expected to be recognized over a weighted-average period of 1.7 years.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eligible employees received performance restricted stock unit awards totaling 126,347 units from which a minimum of 0% and a maximum of 200% of the units could be awarded based upon the measurement of total stockholder return of the Company’s common stock as compared to a designated peer group during the 3-year performance period of January 1, 2023 to December 31, 2025 and cliff vest at December 31, 2025 subject to continued employment. The initial payout of the March 2023 awards will be further adjusted by a TSR modifier that may reduce the payout or increase the payout up to a maximum of 250%.</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each performance restricted stock unit issuance is estimated at the date of grant using a Monte Carlo simulation, which results in an expected percentage of units to be earned during the performance period.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grant-date fair values of performance restricted stock units granted and the related assumptions for the awards granted during the period presented:</w:t>
      </w:r>
    </w:p>
    <w:p>
      <w:pPr>
        <w:pStyle w:val="TextBody"/>
        <w:bidi w:val="0"/>
        <w:spacing w:before="0" w:after="0"/>
        <w:ind w:left="0" w:right="0" w:firstLine="720"/>
        <w:jc w:val="both"/>
        <w:rPr/>
      </w:pPr>
      <w:r>
        <w:rPr/>
      </w:r>
    </w:p>
    <w:tbl>
      <w:tblPr>
        <w:tblW w:w="3468" w:type="dxa"/>
        <w:jc w:val="center"/>
        <w:tblInd w:w="0" w:type="dxa"/>
        <w:tblLayout w:type="fixed"/>
        <w:tblCellMar>
          <w:top w:w="28" w:type="dxa"/>
          <w:left w:w="28" w:type="dxa"/>
          <w:bottom w:w="28" w:type="dxa"/>
          <w:right w:w="28" w:type="dxa"/>
        </w:tblCellMar>
      </w:tblPr>
      <w:tblGrid>
        <w:gridCol w:w="645"/>
        <w:gridCol w:w="569"/>
        <w:gridCol w:w="570"/>
        <w:gridCol w:w="211"/>
        <w:gridCol w:w="721"/>
        <w:gridCol w:w="271"/>
        <w:gridCol w:w="109"/>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volatility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provision for (benefit from) income taxes and the effective income tax rate for the periods indicated:</w:t>
      </w:r>
    </w:p>
    <w:p>
      <w:pPr>
        <w:pStyle w:val="TextBody"/>
        <w:bidi w:val="0"/>
        <w:spacing w:before="0" w:after="0"/>
        <w:ind w:left="0" w:right="0" w:firstLine="720"/>
        <w:jc w:val="both"/>
        <w:rPr/>
      </w:pPr>
      <w:r>
        <w:rPr/>
      </w:r>
    </w:p>
    <w:tbl>
      <w:tblPr>
        <w:tblW w:w="8479" w:type="dxa"/>
        <w:jc w:val="left"/>
        <w:tblInd w:w="0" w:type="dxa"/>
        <w:tblLayout w:type="fixed"/>
        <w:tblCellMar>
          <w:top w:w="28" w:type="dxa"/>
          <w:left w:w="28" w:type="dxa"/>
          <w:bottom w:w="28" w:type="dxa"/>
          <w:right w:w="28" w:type="dxa"/>
        </w:tblCellMar>
      </w:tblPr>
      <w:tblGrid>
        <w:gridCol w:w="1243"/>
        <w:gridCol w:w="1094"/>
        <w:gridCol w:w="1098"/>
        <w:gridCol w:w="232"/>
        <w:gridCol w:w="512"/>
        <w:gridCol w:w="298"/>
        <w:gridCol w:w="119"/>
        <w:gridCol w:w="119"/>
        <w:gridCol w:w="119"/>
        <w:gridCol w:w="232"/>
        <w:gridCol w:w="512"/>
        <w:gridCol w:w="298"/>
        <w:gridCol w:w="109"/>
        <w:gridCol w:w="109"/>
        <w:gridCol w:w="109"/>
        <w:gridCol w:w="212"/>
        <w:gridCol w:w="468"/>
        <w:gridCol w:w="272"/>
        <w:gridCol w:w="109"/>
        <w:gridCol w:w="109"/>
        <w:gridCol w:w="109"/>
        <w:gridCol w:w="212"/>
        <w:gridCol w:w="468"/>
        <w:gridCol w:w="317"/>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for tax rate)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income tax expense from continuing operations for the three and six months ended June 30, 2023 and 2022 differed from amounts computed by applying the United States federal statutory tax rate to pre-tax income primarily due to (i) state income taxes, net of federal benefit, and (ii) the impact of permanent differences between book and taxable income, partially offset by (iii) tax benefit resulting from a reduction in the valuation allowance on Viper’s deferred tax assets for the three and six months ended June 30, 2022 due to Viper’s pre-tax income for the period.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Viper maintained a partial valuation allowance against its deferred tax assets, based on its assessment of all available evidence, both positive and negative, supporting realizability of Viper’s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and 2022, the Company’s items of discrete income tax expense or benefit were not material.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Inflation Reduction Act of 2022 (“IRA”) was enacted on August 16, 2022, which created a 15% corporate alternative minimum tax (“CAMT”) on the “adjusted financial statement income” of certain large corporations (generally, corporations reporting at least $1 billion of average adjusted pre-tax net income on their consolidated financial statements) as well as an excise tax of 1% on the fair market value of certain public company stock/unit repurchases for tax years beginning after December 31, 2022. Based on application of currently available guidance, the Company’s income tax expense for the three and six months ended June 30, 2023 were not impacted by the CAMT. The Company’s excise tax during the three and six months ended June 30, 2023 was immaterial and was recognized as part of the cost basis of the units repurchased.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the Company has commodity derivative contracts and interest rate swaps outstanding. All derivative financial instruments are recorded at fair value.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Commodity Contracts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multiple crude oil and natural gas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credit facility and have been deemed an acceptable credit risk. As such, collateral is not required from either the counterparties or the Company on its outstanding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the following outstanding commodity derivative contracts. When aggregating multiple contracts, the weighted average contract price is disclosed.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98"/>
        <w:gridCol w:w="350"/>
        <w:gridCol w:w="351"/>
        <w:gridCol w:w="344"/>
        <w:gridCol w:w="344"/>
        <w:gridCol w:w="346"/>
        <w:gridCol w:w="345"/>
        <w:gridCol w:w="336"/>
        <w:gridCol w:w="338"/>
        <w:gridCol w:w="425"/>
        <w:gridCol w:w="354"/>
        <w:gridCol w:w="356"/>
        <w:gridCol w:w="395"/>
        <w:gridCol w:w="395"/>
        <w:gridCol w:w="401"/>
        <w:gridCol w:w="503"/>
        <w:gridCol w:w="503"/>
        <w:gridCol w:w="510"/>
        <w:gridCol w:w="109"/>
        <w:gridCol w:w="157"/>
        <w:gridCol w:w="470"/>
        <w:gridCol w:w="470"/>
        <w:gridCol w:w="482"/>
        <w:gridCol w:w="442"/>
        <w:gridCol w:w="442"/>
        <w:gridCol w:w="639"/>
      </w:tblGrid>
      <w:tr>
        <w:trPr/>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Swaps</w:t>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Collars</w:t>
            </w:r>
          </w:p>
        </w:tc>
        <w:tc>
          <w:tcPr>
            <w:tcW w:w="1523" w:type="dxa"/>
            <w:gridSpan w:val="3"/>
            <w:tcBorders/>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Month</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Year</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 of Contract</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Bbls/MMBtu Per Day</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Index</w:t>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Floor Price</w:t>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Ceiling Price</w:t>
            </w:r>
          </w:p>
        </w:tc>
      </w:tr>
      <w:tr>
        <w:trPr/>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OIL</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 Dec.</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24,000</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NATURAL GAS</w:t>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$9.22</w:t>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$8.42</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380,000</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$(0.76)</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58"/>
        <w:gridCol w:w="402"/>
        <w:gridCol w:w="403"/>
        <w:gridCol w:w="386"/>
        <w:gridCol w:w="386"/>
        <w:gridCol w:w="388"/>
        <w:gridCol w:w="398"/>
        <w:gridCol w:w="398"/>
        <w:gridCol w:w="400"/>
        <w:gridCol w:w="349"/>
        <w:gridCol w:w="334"/>
        <w:gridCol w:w="291"/>
        <w:gridCol w:w="484"/>
        <w:gridCol w:w="484"/>
        <w:gridCol w:w="497"/>
        <w:gridCol w:w="317"/>
        <w:gridCol w:w="280"/>
        <w:gridCol w:w="282"/>
        <w:gridCol w:w="649"/>
        <w:gridCol w:w="649"/>
        <w:gridCol w:w="651"/>
        <w:gridCol w:w="382"/>
        <w:gridCol w:w="382"/>
        <w:gridCol w:w="555"/>
      </w:tblGrid>
      <w:tr>
        <w:trPr/>
        <w:tc>
          <w:tcPr>
            <w:tcW w:w="45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Month</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Year</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 of Contract</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Bbls Per Day</w:t>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Index</w:t>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Strike Price</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Differential</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Deferred Premium</w:t>
            </w:r>
          </w:p>
        </w:tc>
      </w:tr>
      <w:tr>
        <w:trPr/>
        <w:tc>
          <w:tcPr>
            <w:tcW w:w="1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OIL</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 Sep.</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113,000</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$54.69</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c>
      </w:tr>
      <w:tr>
        <w:trPr/>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 Sep.</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32,000</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c>
      </w:tr>
      <w:tr>
        <w:trPr/>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 Sep.</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c>
      </w:tr>
      <w:tr>
        <w:trPr/>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96,000</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c>
      </w:tr>
      <w:tr>
        <w:trPr/>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26,000</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c>
      </w:tr>
      <w:tr>
        <w:trPr/>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w:t>
            </w:r>
          </w:p>
        </w:tc>
      </w:tr>
      <w:tr>
        <w:trPr/>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44,000</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c>
      </w:tr>
      <w:tr>
        <w:trPr/>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p>
        </w:tc>
      </w:tr>
      <w:tr>
        <w:trPr/>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tc>
      </w:tr>
    </w:tbl>
    <w:p>
      <w:pPr>
        <w:pStyle w:val="TextBody"/>
        <w:bidi w:val="0"/>
        <w:spacing w:before="0" w:after="0"/>
        <w:ind w:left="0" w:right="0" w:hanging="36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2021, the Company entered into two interest rate swap agreements for notional amounts of $600 million, which were designated as fair value hedges of the Company’s $1.2 billion 3.50% fixed rate senior notes due 2029 (the “2029 Notes”) at inception. The Company receives a fixed 3.50% rate of interest on these swaps. Effective on May 28, 2023, the variable rate of interest the Company pays on these swaps was reset from three month LIBOR to three month SOFR plus 2.1865%. The Company previously adopted the optional expedient in ASU 2020-04, “Reference Rate Reform (Topic 848) - Facilitation of the Effects of Reference Rate Reform on Financial Reporting,” as later extended for these contract term modifications, and as a result, did not recognize any impact of the change in reference rate on its financial position, results of operations or liquidity for the three or six months ended June 30,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2022, the Company elected to fully dedesignate these interest rate swaps and hedge accounting was discontinued. The cumulative fair value basis adjustment recorded on the 2029 Notes at the time of dedesignation totaled $135 million. This basis adjustment is being amortized to interest expense over the remaining term of the 2029 Notes utilizing the effective interest method. The dedesignated interest rate swaps are considered economic hedges of the Company’s fixed-rate debt. As such, changes in the fair value of the interest rate swaps after the date of dedesignation have been recorded in earnings under the caption “Gain (loss) on derivative instruments, net” in the condensed consolidated statements of operations.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Balance Sheet Offsetting of Derivative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12—</w:t>
      </w:r>
      <w:hyperlink w:anchor="ib59795c0e8eb4552b519a4f22160d630_73">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Gains and Losses on Derivative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gains and losses on derivative instruments not designated as hedging instruments included in the condensed consolidated statements of operations: </w:t>
      </w:r>
    </w:p>
    <w:tbl>
      <w:tblPr>
        <w:tblW w:w="8553" w:type="dxa"/>
        <w:jc w:val="left"/>
        <w:tblInd w:w="0" w:type="dxa"/>
        <w:tblLayout w:type="fixed"/>
        <w:tblCellMar>
          <w:top w:w="28" w:type="dxa"/>
          <w:left w:w="28" w:type="dxa"/>
          <w:bottom w:w="28" w:type="dxa"/>
          <w:right w:w="28" w:type="dxa"/>
        </w:tblCellMar>
      </w:tblPr>
      <w:tblGrid>
        <w:gridCol w:w="1270"/>
        <w:gridCol w:w="1118"/>
        <w:gridCol w:w="1121"/>
        <w:gridCol w:w="251"/>
        <w:gridCol w:w="645"/>
        <w:gridCol w:w="130"/>
        <w:gridCol w:w="130"/>
        <w:gridCol w:w="130"/>
        <w:gridCol w:w="130"/>
        <w:gridCol w:w="251"/>
        <w:gridCol w:w="645"/>
        <w:gridCol w:w="130"/>
        <w:gridCol w:w="109"/>
        <w:gridCol w:w="109"/>
        <w:gridCol w:w="109"/>
        <w:gridCol w:w="229"/>
        <w:gridCol w:w="589"/>
        <w:gridCol w:w="118"/>
        <w:gridCol w:w="118"/>
        <w:gridCol w:w="118"/>
        <w:gridCol w:w="118"/>
        <w:gridCol w:w="229"/>
        <w:gridCol w:w="589"/>
        <w:gridCol w:w="167"/>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Commodity contracts</w:t>
            </w:r>
            <w:r>
              <w:rPr>
                <w:rFonts w:ascii="Times New Roman;sans-serif" w:hAnsi="Times New Roman;sans-serif"/>
                <w:b w:val="false"/>
                <w:color w:val="000000"/>
                <w:sz w:val="13"/>
              </w:rPr>
              <w:t>(1)</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six months ended June 30, 2022 includes cash paid on commodity contracts terminated prior to their contractual maturity of $135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FAIR VALUE MEASUREMENTS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discussed in </w:t>
      </w:r>
      <w:r>
        <w:fldChar w:fldCharType="begin"/>
      </w:r>
      <w:r>
        <w:rPr>
          <w:rStyle w:val="InternetLink"/>
          <w:sz w:val="20"/>
          <w:u w:val="single"/>
          <w:b w:val="false"/>
          <w:rFonts w:ascii="Times New Roman;sans-serif" w:hAnsi="Times New Roman;sans-serif"/>
          <w:color w:val="0000FF"/>
        </w:rPr>
        <w:instrText xml:space="preserve"> HYPERLINK "http://www.sec.gov/ix?doc=/Archives/edgar/data/1539838/000153983823000022/fang-20221231.htm" \l "ia595866015b4400388c840bd76dbe1a1_127"</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Note 13—Fair Value Measurements</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in the Company’s </w:t>
      </w:r>
      <w:r>
        <w:fldChar w:fldCharType="begin"/>
      </w:r>
      <w:r>
        <w:rPr>
          <w:rStyle w:val="InternetLink"/>
          <w:sz w:val="20"/>
          <w:u w:val="single"/>
          <w:b w:val="false"/>
          <w:rFonts w:ascii="Times New Roman;sans-serif" w:hAnsi="Times New Roman;sans-serif"/>
          <w:color w:val="0000FF"/>
        </w:rPr>
        <w:instrText xml:space="preserve"> HYPERLINK "http://www.sec.gov/ix?doc=/Archives/edgar/data/1539838/000153983823000022/fang-20221231.htm" \l "ia595866015b4400388c840bd76dbe1a1_67"</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2022, certain financial instruments of the Company are reported at fair value on the Company’s condensed consolidated balance sheets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net amounts of derivative instruments are classified as current or noncurrent based on their anticipated settlement dates. The Company has an immaterial investment that is reported at fair value using observable, quoted stock prices and is included in “Other assets” on the Company’s condensed consolidated balance sheet at June 30, 2023.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table provides the fair value of financial instruments that are recorded at fair value in the condensed consolidated balance sheets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June 30, 2023 and December 31, 2022:</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576"/>
        <w:gridCol w:w="1107"/>
        <w:gridCol w:w="300"/>
        <w:gridCol w:w="541"/>
        <w:gridCol w:w="1200"/>
        <w:gridCol w:w="405"/>
      </w:tblGrid>
      <w:tr>
        <w:trPr/>
        <w:tc>
          <w:tcPr>
            <w:tcW w:w="91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2023</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576"/>
        <w:gridCol w:w="1107"/>
        <w:gridCol w:w="300"/>
        <w:gridCol w:w="541"/>
        <w:gridCol w:w="1200"/>
        <w:gridCol w:w="405"/>
      </w:tblGrid>
      <w:tr>
        <w:trPr/>
        <w:tc>
          <w:tcPr>
            <w:tcW w:w="91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Assets and Liabilities Not Recorded at Fair Value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fair value of financial instruments that are not recorded at fair value in the condensed consolidated balance sheets:</w:t>
      </w:r>
    </w:p>
    <w:p>
      <w:pPr>
        <w:pStyle w:val="TextBody"/>
        <w:bidi w:val="0"/>
        <w:spacing w:before="0" w:after="0"/>
        <w:ind w:left="0" w:right="0" w:firstLine="720"/>
        <w:jc w:val="both"/>
        <w:rPr/>
      </w:pPr>
      <w:r>
        <w:rPr/>
      </w:r>
    </w:p>
    <w:tbl>
      <w:tblPr>
        <w:tblW w:w="5281" w:type="dxa"/>
        <w:jc w:val="left"/>
        <w:tblInd w:w="0" w:type="dxa"/>
        <w:tblLayout w:type="fixed"/>
        <w:tblCellMar>
          <w:top w:w="28" w:type="dxa"/>
          <w:left w:w="28" w:type="dxa"/>
          <w:bottom w:w="28" w:type="dxa"/>
          <w:right w:w="28" w:type="dxa"/>
        </w:tblCellMar>
      </w:tblPr>
      <w:tblGrid>
        <w:gridCol w:w="185"/>
        <w:gridCol w:w="162"/>
        <w:gridCol w:w="16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credit agreement and the Viper credit agreement approximate their carrying values based on borrowing rates available to the Company for bank loans with similar terms and maturities and is classified as Level 2 in the fair value hierarchy. The fair values of the outstanding notes were determined using the quoted market price at each period end,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i/>
          <w:color w:val="000000"/>
          <w:sz w:val="20"/>
        </w:rPr>
        <w:t>Assets and Liabilities Measured at Fair Value on a Nonrecurring Basis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Certain assets and liabilities are measured at fair value on a nonrecurring basis in certain circumstances. These assets and liabilities can include those acquired in a business combination, inventory, proved and unproved oil and gas properties and other long-lived assets that are written down to fair value when they are impaired or held for sale. Refer to Note 4—</w:t>
      </w:r>
      <w:hyperlink w:anchor="ib59795c0e8eb4552b519a4f22160d630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and Note 5—</w:t>
      </w:r>
      <w:hyperlink w:anchor="ib59795c0e8eb4552b519a4f22160d630_52">
        <w:r>
          <w:rPr>
            <w:rStyle w:val="InternetLink"/>
            <w:rFonts w:ascii="Times New Roman;sans-serif" w:hAnsi="Times New Roman;sans-serif"/>
            <w:b w:val="false"/>
            <w:color w:val="0000FF"/>
            <w:sz w:val="20"/>
            <w:u w:val="single"/>
          </w:rPr>
          <w:t>Property and Equipment</w:t>
        </w:r>
      </w:hyperlink>
      <w:r>
        <w:rPr>
          <w:color w:val="000000"/>
        </w:rPr>
        <w:t xml:space="preserve"> </w:t>
      </w:r>
      <w:r>
        <w:rPr>
          <w:rFonts w:ascii="Times New Roman;sans-serif" w:hAnsi="Times New Roman;sans-serif"/>
          <w:b w:val="false"/>
          <w:color w:val="000000"/>
          <w:sz w:val="20"/>
        </w:rPr>
        <w:t>for additional discussion of nonrecurring fair value adjustments.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of cash and cash equivalents, receivables, funds held in escrow, prepaid expenses and other current assets, payables and other accrued liabilities approximate their fair value because of the short-term nature of the instruments.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SUPPLEMENTAL INFORMATION TO STATEMENTS OF CASH FLOWS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00"/>
        <w:gridCol w:w="2103"/>
        <w:gridCol w:w="2115"/>
        <w:gridCol w:w="109"/>
        <w:gridCol w:w="109"/>
        <w:gridCol w:w="239"/>
        <w:gridCol w:w="239"/>
        <w:gridCol w:w="464"/>
        <w:gridCol w:w="1026"/>
        <w:gridCol w:w="239"/>
        <w:gridCol w:w="109"/>
        <w:gridCol w:w="109"/>
        <w:gridCol w:w="109"/>
        <w:gridCol w:w="211"/>
        <w:gridCol w:w="466"/>
        <w:gridCol w:w="158"/>
      </w:tblGrid>
      <w:tr>
        <w:trPr/>
        <w:tc>
          <w:tcPr>
            <w:tcW w:w="2400"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162" w:type="dxa"/>
            <w:gridSpan w:val="6"/>
            <w:tcBorders/>
          </w:tcPr>
          <w:p>
            <w:pPr>
              <w:pStyle w:val="TableContents"/>
              <w:bidi w:val="0"/>
              <w:spacing w:before="0" w:after="283"/>
              <w:jc w:val="left"/>
              <w:rPr>
                <w:sz w:val="4"/>
                <w:szCs w:val="4"/>
              </w:rPr>
            </w:pPr>
            <w:r>
              <w:rPr>
                <w:sz w:val="4"/>
                <w:szCs w:val="4"/>
              </w:rPr>
            </w:r>
          </w:p>
        </w:tc>
      </w:tr>
      <w:tr>
        <w:trPr/>
        <w:tc>
          <w:tcPr>
            <w:tcW w:w="6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8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6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(received)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 included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6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disputes or claims when information available indicates that a loss is probable and the amount of the loss can be reasonably estimated.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2013 and continuing through the second quarter of 2023, several coastal Louisiana parishes and the State of Louisiana have filed 43 lawsuits under Louisiana’s State and Local Coastal Resources Management Act (“SLCRMA”) against numerous oil and gas producers seeking damages for coastal erosion in or near oil fields located within Louisiana’s coastal zone. The Company is a defendant in three of these cases, and Plaintiffs’ claims against the Company relate to the prior operations of entities previously acquired by Energen Corporation. The Company has exercised contractual indemnification rights where applicable. Plaintiffs’ SLCRMA theories are unprecedented, and there remains significant uncertainty about the claims (both as to scope and damages). Although we cannot predict the ultimate outcome of these matters, the Company believes the claims lack merit and intends to continue vigorously defending these lawsuits.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Second Quarter 2023 Dividend Declaration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26, 2023, the board of directors of the Company approved an increase to the Company’s annual base dividend to $3.36 per share and declared a cash dividend for the second quarter of 2023 of $0.84 per share of common stock, payable on August 17, 2023 to its stockholders of record at the close of business on August 10, 2023. Future base and variable dividends are at the discretion of the board of directors of the Company.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Divestiture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28, 2023, the Company divested its 43% non-operating equity investment in OMOG for $225 million in gross cash proceeds received at closing and a potential earn-out payment of $15 million, resulting in an initial gain on the sale of equity method investments of approximately $27 million in the third quarter of 2023. The earn-out payment is contingent on production volumes attributable to a certain area specified in the purchase and sales agreement reaching an average level of 165,000 Bbls/day during 2024. If met, the earn-out payment would be received in 2025 and will be recorded by the Company if and when it becomes realizable.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16.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 has one reportable segment, the upstream segment, which is engaged in the acquisition, development, exploration and exploitation of unconventional, onshore oil and natural gas reserves primarily in the Permian Basin in West Texas. Other operations are included in the “All Other” category in the table below.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results of the Company’s operating segments during the periods presented:</w:t>
      </w:r>
    </w:p>
    <w:p>
      <w:pPr>
        <w:pStyle w:val="TextBody"/>
        <w:bidi w:val="0"/>
        <w:spacing w:before="0" w:after="0"/>
        <w:ind w:left="0" w:right="0" w:firstLine="720"/>
        <w:jc w:val="both"/>
        <w:rPr/>
      </w:pPr>
      <w:r>
        <w:rPr/>
      </w:r>
    </w:p>
    <w:tbl>
      <w:tblPr>
        <w:tblW w:w="10059" w:type="dxa"/>
        <w:jc w:val="left"/>
        <w:tblInd w:w="0" w:type="dxa"/>
        <w:tblLayout w:type="fixed"/>
        <w:tblCellMar>
          <w:top w:w="28" w:type="dxa"/>
          <w:left w:w="28" w:type="dxa"/>
          <w:bottom w:w="28" w:type="dxa"/>
          <w:right w:w="28" w:type="dxa"/>
        </w:tblCellMar>
      </w:tblPr>
      <w:tblGrid>
        <w:gridCol w:w="1786"/>
        <w:gridCol w:w="1567"/>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5125"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Diamondback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June 30, 2023: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059" w:type="dxa"/>
        <w:jc w:val="left"/>
        <w:tblInd w:w="0" w:type="dxa"/>
        <w:tblLayout w:type="fixed"/>
        <w:tblCellMar>
          <w:top w:w="28" w:type="dxa"/>
          <w:left w:w="28" w:type="dxa"/>
          <w:bottom w:w="28" w:type="dxa"/>
          <w:right w:w="28" w:type="dxa"/>
        </w:tblCellMar>
      </w:tblPr>
      <w:tblGrid>
        <w:gridCol w:w="1786"/>
        <w:gridCol w:w="1567"/>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2022:</w:t>
            </w:r>
          </w:p>
        </w:tc>
        <w:tc>
          <w:tcPr>
            <w:tcW w:w="5125"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Diamondback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059" w:type="dxa"/>
        <w:jc w:val="left"/>
        <w:tblInd w:w="0" w:type="dxa"/>
        <w:tblLayout w:type="fixed"/>
        <w:tblCellMar>
          <w:top w:w="28" w:type="dxa"/>
          <w:left w:w="28" w:type="dxa"/>
          <w:bottom w:w="28" w:type="dxa"/>
          <w:right w:w="28" w:type="dxa"/>
        </w:tblCellMar>
      </w:tblPr>
      <w:tblGrid>
        <w:gridCol w:w="1787"/>
        <w:gridCol w:w="1566"/>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Diamondback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June 30, 2023: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059" w:type="dxa"/>
        <w:jc w:val="left"/>
        <w:tblInd w:w="0" w:type="dxa"/>
        <w:tblLayout w:type="fixed"/>
        <w:tblCellMar>
          <w:top w:w="28" w:type="dxa"/>
          <w:left w:w="28" w:type="dxa"/>
          <w:bottom w:w="28" w:type="dxa"/>
          <w:right w:w="28" w:type="dxa"/>
        </w:tblCellMar>
      </w:tblPr>
      <w:tblGrid>
        <w:gridCol w:w="1787"/>
        <w:gridCol w:w="1566"/>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2022:</w:t>
            </w:r>
          </w:p>
        </w:tc>
        <w:tc>
          <w:tcPr>
            <w:tcW w:w="5125"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Diamondback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an independent oil and natural gas company currently focused on the acquisition, development, exploration and exploitation of unconventional, onshore oil and natural gas reserves in the Permian Basin in West Texas. As discussed in Note 1—</w:t>
      </w:r>
      <w:hyperlink w:anchor="ib59795c0e8eb4552b519a4f22160d630_40">
        <w:r>
          <w:rPr>
            <w:rStyle w:val="InternetLink"/>
            <w:rFonts w:ascii="Times New Roman;sans-serif" w:hAnsi="Times New Roman;sans-serif"/>
            <w:b w:val="false"/>
            <w:color w:val="0000FF"/>
            <w:sz w:val="20"/>
            <w:u w:val="single"/>
          </w:rPr>
          <w:t>Description of the Business and Basis of Presentation</w:t>
        </w:r>
      </w:hyperlink>
      <w:r>
        <w:rPr>
          <w:color w:val="000000"/>
        </w:rPr>
        <w:t xml:space="preserve"> </w:t>
      </w:r>
      <w:r>
        <w:rPr>
          <w:rFonts w:ascii="Times New Roman;sans-serif" w:hAnsi="Times New Roman;sans-serif"/>
          <w:b w:val="false"/>
          <w:color w:val="000000"/>
          <w:sz w:val="20"/>
        </w:rPr>
        <w:t>and Note 16—</w:t>
      </w:r>
      <w:hyperlink w:anchor="ib59795c0e8eb4552b519a4f22160d630_85">
        <w:r>
          <w:rPr>
            <w:rStyle w:val="InternetLink"/>
            <w:rFonts w:ascii="Times New Roman;sans-serif" w:hAnsi="Times New Roman;sans-serif"/>
            <w:b w:val="false"/>
            <w:color w:val="0000FF"/>
            <w:sz w:val="20"/>
            <w:u w:val="single"/>
          </w:rPr>
          <w:t>Segment Information</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as of June 30, 2023, we have one reportable segment, the upstream segment. </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Second Quarter 2023 Highlights</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Recorded net income of $556 million for the second quarter of 2023.</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 xml:space="preserve">Increased our annual base dividend to $3.36 per share, paid dividends to stockholders of $150 million during the second quarter of 2023 and declared a base dividend payable in the third quarter of 2023 of $0.84 per share of common stock. </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 xml:space="preserve">Repurchased $321 million of our common stock, leaving approximately $1.8 billion available for future purchases under our common stock repurchase program at June 30, 2023.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Repurchased $130 million in aggregate principal amount of our outstanding senior notes due 2026 and 2029.</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cash operating costs for the second quarter of 2023 were $10.66 per BOE, including lease operating expenses of $4.88 per BOE, cash general and administrative expenses of $0.51 per BOE and production and ad valorem taxes and gathering and transportation expenses of $5.27 per BOE.</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Our average production was 449.9 MBOE/d during the second quarter of 2023.</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Drilled 86 gross horizontal wells in the Midland Basin and 12 gross horizontal wells in the Delaware Basin, and turned 89 gross operated horizontal wells (71 in the Midland Basin and 18 in the Delaware Basin) to production.</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Incurred capital expenditures, excluding acquisitions, of $711 million during the second quarter of 2023.</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Closed on the divestiture of non-core assets consisting of approximately 19,000 net acres in Glasscock County, TX for net cash proceeds at closing of $275 million.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To date, we have executed or announced non-core asset sale transactions, including those discussed in these highlights and </w:t>
      </w:r>
      <w:r>
        <w:rPr>
          <w:color w:val="000000"/>
        </w:rPr>
        <w:t>“—</w:t>
      </w:r>
      <w:hyperlink w:anchor="ib59795c0e8eb4552b519a4f22160d630_91">
        <w:r>
          <w:rPr>
            <w:rStyle w:val="InternetLink"/>
          </w:rPr>
          <w:t>Recent Developmen</w:t>
        </w:r>
      </w:hyperlink>
      <w:hyperlink w:anchor="ib59795c0e8eb4552b519a4f22160d630_91">
        <w:r>
          <w:rPr>
            <w:rStyle w:val="InternetLink"/>
          </w:rPr>
          <w:t>ts</w:t>
        </w:r>
      </w:hyperlink>
      <w:r>
        <w:rPr>
          <w:color w:val="000000"/>
        </w:rPr>
        <w:t xml:space="preserve">” </w:t>
      </w:r>
      <w:r>
        <w:rPr>
          <w:rFonts w:ascii="Times New Roman;sans-serif" w:hAnsi="Times New Roman;sans-serif"/>
          <w:b w:val="false"/>
          <w:color w:val="000000"/>
          <w:sz w:val="20"/>
        </w:rPr>
        <w:t>below, involving gross proceeds of approximately $1.1 billion, in excess of our previously announced non-core asset divestiture target of at least $1.0 billion by year end 2023.</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Subsequent Divestiture Transaction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28, 2023, we divested our 43% non-operating equity investment in OMOG for $225 million in gross cash proceeds and recorded an initial gain on the sale of equity method investments of approximately $27 million in the third quarter of 2023.</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Commodity Prices and Inflation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Prices for oil, natural gas and natural gas liquids are determined primarily by prevailing market conditions. Regional and worldwide economic activity, including any economic downturn or recession that has occurred or may occur in the future, extreme weather conditions and other substantially variable factors, influence market conditions for these products. These factors are beyond our control and are difficult to predict. During the first half of 2023 and 2022, NYMEX WTI price averaged $74.77 and $101.77 per Bbl, respectively, and NYMEX Henry Hub price averaged $2.54 and $6.04 per MMBtu, respectively. The war in Ukraine, rising interest rates, global supply chain disruptions, concerns about a potential economic downturn or recession, recent measures to combat persistent inflation and instability in the financial sector have contributed to recent economic and pricing volatility and may continue to impact pricing throughout 2023. Although the impact of inflation on our business has been insignificant in prior periods, inflation in the U.S. has been rising at its fastest rate in over 40 years, creating inflationary pressure on the cost of services, equipment and other goods in the energy industry and other sectors, which is contributing to labor and materials shortages across the supply-chain. Additionally, OPEC and its non-OPEC allies, known collectively as OPEC+, continues to meet regularly to evaluate the state of global oil supply, demand and inventory levels.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Upstream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are primarily directed at the horizontal development of the Wolfcamp and Spraberry formations in the Midland Basin and the Wolfcamp and Bone Spring formations in the Delaware Basin within the Permian Basin. Additionally, our publicly-traded subsidiary, Viper, is focused on owning and acquiring mineral interests and royalty interests in oil and natural gas properties primarily in the Permian Basin and derives royalty income and lease bonus income from such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approximately 507,989 net acres, which primarily consisted of approximately 356,343 net acres in the Midland Basin and 151,325 net acres in the Delaware Basin.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Production is expected to grow slightly in the second half of 2023, with third quarter oil production projected to be between 262 and 265 MBO/d (440 to 445 MBOE/d). We anticipate we will continue to grow production organically at a low single digit annual pace in 2024, with a similar level of activity to 2023, primarily due to the quality of the acreage we are developing on a large scale in the Midland Basin, combined with a high mineral interest across our development plan. We anticipate that capital expenditures will decrease by approximately 5% in the third quarter of 2023 due to both lower well costs and lower drilling activity and, to a lesser degree, a slower completion cadence. We expect this will further decrease in the fourth quarter of 2023, setting a baseline for our 2024 capital development plan. We also expect lower completion costs in the coming quarters and into 2024 due to continuous decline in raw materials and service costs. The majority of our wells are now being completed with either a simulfrac or simulfrac e-fleet, reducing our exposure to spot frac prices.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number of operated horizontal wells drilled and completed during the second quarter of 2023:</w:t>
      </w:r>
    </w:p>
    <w:p>
      <w:pPr>
        <w:pStyle w:val="TextBody"/>
        <w:bidi w:val="0"/>
        <w:spacing w:before="0" w:after="0"/>
        <w:ind w:left="0" w:right="0" w:firstLine="720"/>
        <w:jc w:val="both"/>
        <w:rPr/>
      </w:pPr>
      <w:r>
        <w:rPr/>
      </w:r>
    </w:p>
    <w:tbl>
      <w:tblPr>
        <w:tblW w:w="8684" w:type="dxa"/>
        <w:jc w:val="left"/>
        <w:tblInd w:w="0" w:type="dxa"/>
        <w:tblLayout w:type="fixed"/>
        <w:tblCellMar>
          <w:top w:w="28" w:type="dxa"/>
          <w:left w:w="28" w:type="dxa"/>
          <w:bottom w:w="28" w:type="dxa"/>
          <w:right w:w="28" w:type="dxa"/>
        </w:tblCellMar>
      </w:tblPr>
      <w:tblGrid>
        <w:gridCol w:w="497"/>
        <w:gridCol w:w="439"/>
        <w:gridCol w:w="443"/>
        <w:gridCol w:w="185"/>
        <w:gridCol w:w="185"/>
        <w:gridCol w:w="186"/>
        <w:gridCol w:w="135"/>
        <w:gridCol w:w="135"/>
        <w:gridCol w:w="135"/>
        <w:gridCol w:w="182"/>
        <w:gridCol w:w="179"/>
        <w:gridCol w:w="135"/>
        <w:gridCol w:w="135"/>
        <w:gridCol w:w="135"/>
        <w:gridCol w:w="135"/>
        <w:gridCol w:w="196"/>
        <w:gridCol w:w="179"/>
        <w:gridCol w:w="181"/>
        <w:gridCol w:w="135"/>
        <w:gridCol w:w="135"/>
        <w:gridCol w:w="135"/>
        <w:gridCol w:w="182"/>
        <w:gridCol w:w="179"/>
        <w:gridCol w:w="135"/>
        <w:gridCol w:w="109"/>
        <w:gridCol w:w="109"/>
        <w:gridCol w:w="109"/>
        <w:gridCol w:w="233"/>
        <w:gridCol w:w="233"/>
        <w:gridCol w:w="186"/>
        <w:gridCol w:w="125"/>
        <w:gridCol w:w="125"/>
        <w:gridCol w:w="125"/>
        <w:gridCol w:w="233"/>
        <w:gridCol w:w="233"/>
        <w:gridCol w:w="126"/>
        <w:gridCol w:w="125"/>
        <w:gridCol w:w="125"/>
        <w:gridCol w:w="125"/>
        <w:gridCol w:w="243"/>
        <w:gridCol w:w="223"/>
        <w:gridCol w:w="181"/>
        <w:gridCol w:w="125"/>
        <w:gridCol w:w="125"/>
        <w:gridCol w:w="125"/>
        <w:gridCol w:w="233"/>
        <w:gridCol w:w="233"/>
        <w:gridCol w:w="177"/>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Drilled</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Completed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Drilled</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Completed</w:t>
            </w:r>
            <w:r>
              <w:rPr>
                <w:rFonts w:ascii="Times New Roman;sans-serif" w:hAnsi="Times New Roman;sans-serif"/>
                <w:b/>
                <w:color w:val="000000"/>
                <w:sz w:val="12"/>
              </w:rPr>
              <w:t>(2)</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average lateral length for the wells completed during the second quarter of 2023 was 10,967 feet. Operated completions during the second quarter of 2023 consisted of 24 Lower Spraberry wells, 21 Wolfcamp A wells, 18 Wolfcamp B wells, 10 Jo Mill wells, seven Third Bone Spring wells, six Middle Spraberry wells, two Second Bone Spring wells and one Upper Spraberry well.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lateral length for the wells completed during the first six months of 2023 was 10,889 feet. Operated completions during the first six months of 2023 consisted of 44 Wolfcamp A wells, 44 Lower Spraberry wells, 33 Wolfcamp B wells, 21 Jo Mill wells, 14 Third Bone Spring wells, 11 Middle Spraberry wells, eight Second Bone Spring wells, one Upper Spraberry well and one Barnett well.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operated the following wells:</w:t>
      </w:r>
    </w:p>
    <w:p>
      <w:pPr>
        <w:pStyle w:val="TextBody"/>
        <w:bidi w:val="0"/>
        <w:spacing w:before="0" w:after="0"/>
        <w:ind w:left="0" w:right="0" w:firstLine="720"/>
        <w:jc w:val="both"/>
        <w:rPr/>
      </w:pPr>
      <w:r>
        <w:rPr/>
      </w:r>
    </w:p>
    <w:tbl>
      <w:tblPr>
        <w:tblW w:w="7921" w:type="dxa"/>
        <w:jc w:val="left"/>
        <w:tblInd w:w="0" w:type="dxa"/>
        <w:tblLayout w:type="fixed"/>
        <w:tblCellMar>
          <w:top w:w="28" w:type="dxa"/>
          <w:left w:w="28" w:type="dxa"/>
          <w:bottom w:w="28" w:type="dxa"/>
          <w:right w:w="28" w:type="dxa"/>
        </w:tblCellMar>
      </w:tblPr>
      <w:tblGrid>
        <w:gridCol w:w="497"/>
        <w:gridCol w:w="439"/>
        <w:gridCol w:w="443"/>
        <w:gridCol w:w="308"/>
        <w:gridCol w:w="308"/>
        <w:gridCol w:w="186"/>
        <w:gridCol w:w="130"/>
        <w:gridCol w:w="130"/>
        <w:gridCol w:w="130"/>
        <w:gridCol w:w="308"/>
        <w:gridCol w:w="308"/>
        <w:gridCol w:w="130"/>
        <w:gridCol w:w="109"/>
        <w:gridCol w:w="109"/>
        <w:gridCol w:w="109"/>
        <w:gridCol w:w="308"/>
        <w:gridCol w:w="308"/>
        <w:gridCol w:w="186"/>
        <w:gridCol w:w="153"/>
        <w:gridCol w:w="153"/>
        <w:gridCol w:w="153"/>
        <w:gridCol w:w="352"/>
        <w:gridCol w:w="264"/>
        <w:gridCol w:w="153"/>
        <w:gridCol w:w="109"/>
        <w:gridCol w:w="109"/>
        <w:gridCol w:w="109"/>
        <w:gridCol w:w="308"/>
        <w:gridCol w:w="308"/>
        <w:gridCol w:w="186"/>
        <w:gridCol w:w="109"/>
        <w:gridCol w:w="109"/>
        <w:gridCol w:w="109"/>
        <w:gridCol w:w="308"/>
        <w:gridCol w:w="308"/>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2023</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Vertical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Horizontal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held interests in 11,843 gross (5,314 net) wells, including 1,031 gross (90 net) wells in which we have non-operated working interest.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June 30, 2023 and March 31, 2023</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noted in “</w:t>
      </w:r>
      <w:r>
        <w:rPr>
          <w:color w:val="000000"/>
        </w:rPr>
        <w:t>—</w:t>
      </w:r>
      <w:hyperlink w:anchor="ib59795c0e8eb4552b519a4f22160d630_91">
        <w:r>
          <w:rPr>
            <w:rStyle w:val="InternetLink"/>
            <w:rFonts w:ascii="Times New Roman;sans-serif" w:hAnsi="Times New Roman;sans-serif"/>
            <w:b w:val="false"/>
            <w:i/>
            <w:color w:val="0000FF"/>
            <w:sz w:val="20"/>
            <w:u w:val="single"/>
          </w:rPr>
          <w:t>Recent Developments</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markets for oil and natural gas are highly volatile and are influenced by a number of factors which can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analysis of material operational and financial changes which occurred during the quarter based on current market and operational trends.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operating data for the three months ended June 30, 2023 and March 31, 2023:</w:t>
      </w:r>
    </w:p>
    <w:p>
      <w:pPr>
        <w:pStyle w:val="TextBody"/>
        <w:bidi w:val="0"/>
        <w:spacing w:before="0" w:after="0"/>
        <w:ind w:left="0" w:right="0" w:firstLine="720"/>
        <w:jc w:val="both"/>
        <w:rPr/>
      </w:pPr>
      <w:r>
        <w:rPr/>
      </w:r>
    </w:p>
    <w:tbl>
      <w:tblPr>
        <w:tblW w:w="7195" w:type="dxa"/>
        <w:jc w:val="left"/>
        <w:tblInd w:w="0" w:type="dxa"/>
        <w:tblLayout w:type="fixed"/>
        <w:tblCellMar>
          <w:top w:w="28" w:type="dxa"/>
          <w:left w:w="28" w:type="dxa"/>
          <w:bottom w:w="28" w:type="dxa"/>
          <w:right w:w="28" w:type="dxa"/>
        </w:tblCellMar>
      </w:tblPr>
      <w:tblGrid>
        <w:gridCol w:w="1587"/>
        <w:gridCol w:w="1391"/>
        <w:gridCol w:w="1402"/>
        <w:gridCol w:w="260"/>
        <w:gridCol w:w="760"/>
        <w:gridCol w:w="134"/>
        <w:gridCol w:w="109"/>
        <w:gridCol w:w="109"/>
        <w:gridCol w:w="109"/>
        <w:gridCol w:w="287"/>
        <w:gridCol w:w="838"/>
        <w:gridCol w:w="209"/>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263,143 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251,378 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425,022 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(2)</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(2)</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(2)</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(2)</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tables provide information on the mix of our production for the three months ended June 30, 2023 and March 31, 2023:</w:t>
      </w:r>
    </w:p>
    <w:p>
      <w:pPr>
        <w:pStyle w:val="TextBody"/>
        <w:bidi w:val="0"/>
        <w:spacing w:before="0" w:after="0"/>
        <w:ind w:left="0" w:right="0" w:firstLine="720"/>
        <w:jc w:val="both"/>
        <w:rPr/>
      </w:pPr>
      <w:r>
        <w:rPr/>
      </w:r>
    </w:p>
    <w:tbl>
      <w:tblPr>
        <w:tblW w:w="5295" w:type="dxa"/>
        <w:jc w:val="left"/>
        <w:tblInd w:w="0" w:type="dxa"/>
        <w:tblLayout w:type="fixed"/>
        <w:tblCellMar>
          <w:top w:w="28" w:type="dxa"/>
          <w:left w:w="28" w:type="dxa"/>
          <w:bottom w:w="28" w:type="dxa"/>
          <w:right w:w="28" w:type="dxa"/>
        </w:tblCellMar>
      </w:tblPr>
      <w:tblGrid>
        <w:gridCol w:w="857"/>
        <w:gridCol w:w="753"/>
        <w:gridCol w:w="760"/>
        <w:gridCol w:w="257"/>
        <w:gridCol w:w="257"/>
        <w:gridCol w:w="641"/>
        <w:gridCol w:w="145"/>
        <w:gridCol w:w="145"/>
        <w:gridCol w:w="145"/>
        <w:gridCol w:w="272"/>
        <w:gridCol w:w="272"/>
        <w:gridCol w:w="791"/>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tbl>
      <w:tblPr>
        <w:tblW w:w="10260" w:type="dxa"/>
        <w:jc w:val="left"/>
        <w:tblInd w:w="0" w:type="dxa"/>
        <w:tblLayout w:type="fixed"/>
        <w:tblCellMar>
          <w:top w:w="28" w:type="dxa"/>
          <w:left w:w="28" w:type="dxa"/>
          <w:bottom w:w="28" w:type="dxa"/>
          <w:right w:w="28" w:type="dxa"/>
        </w:tblCellMar>
      </w:tblPr>
      <w:tblGrid>
        <w:gridCol w:w="353"/>
        <w:gridCol w:w="311"/>
        <w:gridCol w:w="312"/>
        <w:gridCol w:w="414"/>
        <w:gridCol w:w="307"/>
        <w:gridCol w:w="256"/>
        <w:gridCol w:w="109"/>
        <w:gridCol w:w="109"/>
        <w:gridCol w:w="109"/>
        <w:gridCol w:w="434"/>
        <w:gridCol w:w="287"/>
        <w:gridCol w:w="276"/>
        <w:gridCol w:w="109"/>
        <w:gridCol w:w="109"/>
        <w:gridCol w:w="109"/>
        <w:gridCol w:w="200"/>
        <w:gridCol w:w="200"/>
        <w:gridCol w:w="201"/>
        <w:gridCol w:w="109"/>
        <w:gridCol w:w="109"/>
        <w:gridCol w:w="109"/>
        <w:gridCol w:w="360"/>
        <w:gridCol w:w="361"/>
        <w:gridCol w:w="171"/>
        <w:gridCol w:w="109"/>
        <w:gridCol w:w="109"/>
        <w:gridCol w:w="109"/>
        <w:gridCol w:w="414"/>
        <w:gridCol w:w="307"/>
        <w:gridCol w:w="256"/>
        <w:gridCol w:w="109"/>
        <w:gridCol w:w="109"/>
        <w:gridCol w:w="109"/>
        <w:gridCol w:w="434"/>
        <w:gridCol w:w="287"/>
        <w:gridCol w:w="276"/>
        <w:gridCol w:w="109"/>
        <w:gridCol w:w="109"/>
        <w:gridCol w:w="109"/>
        <w:gridCol w:w="200"/>
        <w:gridCol w:w="200"/>
        <w:gridCol w:w="201"/>
        <w:gridCol w:w="109"/>
        <w:gridCol w:w="109"/>
        <w:gridCol w:w="109"/>
        <w:gridCol w:w="360"/>
        <w:gridCol w:w="361"/>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the Rockies.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Oil, Natural Gas and Natural Gas Liquids Revenues.</w:t>
      </w:r>
      <w:r>
        <w:rPr>
          <w:color w:val="000000"/>
        </w:rPr>
        <w:t xml:space="preserve"> </w:t>
      </w:r>
      <w:r>
        <w:rPr>
          <w:rFonts w:ascii="Times New Roman;sans-serif" w:hAnsi="Times New Roman;sans-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oil, natural gas and natural gas liquids revenues for the second quarter of 2023 decreased by $6 million to $1.9 billion compared to the first quarter of 2023. The decrease was primarily due to a reduction of $126 million attributable to lower average prices received for our oil, natural gas and natural gas liquids production. The decrease in average prices was largely offset by an increase of $120 million attributable to the 7% growth in our combined volumes sold, 5% of which was due to new well completions during the second quarter and 2% of which was due to additional production from the Lario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presents other insignificant revenue for the three months ended June 30, 2023 and March 31, 2023:</w:t>
      </w:r>
    </w:p>
    <w:p>
      <w:pPr>
        <w:pStyle w:val="TextBody"/>
        <w:bidi w:val="0"/>
        <w:spacing w:before="0" w:after="0"/>
        <w:ind w:left="0" w:right="0" w:firstLine="720"/>
        <w:jc w:val="both"/>
        <w:rPr/>
      </w:pPr>
      <w:r>
        <w:rPr/>
      </w:r>
    </w:p>
    <w:tbl>
      <w:tblPr>
        <w:tblW w:w="4869" w:type="dxa"/>
        <w:jc w:val="left"/>
        <w:tblInd w:w="0" w:type="dxa"/>
        <w:tblLayout w:type="fixed"/>
        <w:tblCellMar>
          <w:top w:w="28" w:type="dxa"/>
          <w:left w:w="28" w:type="dxa"/>
          <w:bottom w:w="28" w:type="dxa"/>
          <w:right w:w="28" w:type="dxa"/>
        </w:tblCellMar>
      </w:tblPr>
      <w:tblGrid>
        <w:gridCol w:w="738"/>
        <w:gridCol w:w="648"/>
        <w:gridCol w:w="654"/>
        <w:gridCol w:w="358"/>
        <w:gridCol w:w="612"/>
        <w:gridCol w:w="185"/>
        <w:gridCol w:w="113"/>
        <w:gridCol w:w="113"/>
        <w:gridCol w:w="113"/>
        <w:gridCol w:w="389"/>
        <w:gridCol w:w="664"/>
        <w:gridCol w:w="282"/>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three months ended June 30, 2023 and March 31, 2023:</w:t>
      </w:r>
    </w:p>
    <w:p>
      <w:pPr>
        <w:pStyle w:val="TextBody"/>
        <w:bidi w:val="0"/>
        <w:spacing w:before="0" w:after="0"/>
        <w:ind w:left="0" w:right="0" w:firstLine="720"/>
        <w:jc w:val="both"/>
        <w:rPr/>
      </w:pPr>
      <w:r>
        <w:rPr/>
      </w:r>
    </w:p>
    <w:tbl>
      <w:tblPr>
        <w:tblW w:w="8206"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09"/>
        <w:gridCol w:w="109"/>
        <w:gridCol w:w="109"/>
        <w:gridCol w:w="109"/>
        <w:gridCol w:w="109"/>
        <w:gridCol w:w="109"/>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increased by $8 million in total and decreased by $0.14 on a per BOE basis for the second quarter of 2023 compared to the first quarter of 2023, primarily due to the growth in production volumes discussed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three months ended June 30, 2023 and March 31, 2023:</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45"/>
        <w:gridCol w:w="1780"/>
        <w:gridCol w:w="1795"/>
        <w:gridCol w:w="211"/>
        <w:gridCol w:w="466"/>
        <w:gridCol w:w="271"/>
        <w:gridCol w:w="109"/>
        <w:gridCol w:w="109"/>
        <w:gridCol w:w="109"/>
        <w:gridCol w:w="211"/>
        <w:gridCol w:w="511"/>
        <w:gridCol w:w="109"/>
        <w:gridCol w:w="109"/>
        <w:gridCol w:w="109"/>
        <w:gridCol w:w="109"/>
        <w:gridCol w:w="211"/>
        <w:gridCol w:w="466"/>
        <w:gridCol w:w="271"/>
        <w:gridCol w:w="109"/>
        <w:gridCol w:w="109"/>
        <w:gridCol w:w="109"/>
        <w:gridCol w:w="211"/>
        <w:gridCol w:w="511"/>
        <w:gridCol w:w="155"/>
      </w:tblGrid>
      <w:tr>
        <w:trPr/>
        <w:tc>
          <w:tcPr>
            <w:tcW w:w="2045"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5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 as a % of oil, natural gas and natural gas liquids revenue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production revenues for the second quarter of 2023 decreased slightly compared to the first quarter of 2023, primarily due to a decrease in our natural gas and natural gas liquids revenues, which have a higher production tax 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 valorem taxes are based, among other factors, on property values driven by prior year commodity prices, and remained relatively consistent during the second quarter of 2023 as compared to the first quarter of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Gathering and Transportation Expense.</w:t>
      </w:r>
      <w:r>
        <w:rPr>
          <w:color w:val="000000"/>
        </w:rPr>
        <w:t xml:space="preserve"> </w:t>
      </w:r>
      <w:r>
        <w:rPr>
          <w:rFonts w:ascii="Times New Roman;sans-serif" w:hAnsi="Times New Roman;sans-serif"/>
          <w:b w:val="false"/>
          <w:color w:val="000000"/>
          <w:sz w:val="20"/>
        </w:rPr>
        <w:t>The following table shows gathering and transportation expense for the three months ended June 30, 2023 and March 31, 2023:</w:t>
      </w:r>
    </w:p>
    <w:p>
      <w:pPr>
        <w:pStyle w:val="TextBody"/>
        <w:bidi w:val="0"/>
        <w:spacing w:before="0" w:after="0"/>
        <w:ind w:left="0" w:right="0" w:firstLine="720"/>
        <w:jc w:val="both"/>
        <w:rPr/>
      </w:pPr>
      <w:r>
        <w:rPr/>
      </w:r>
    </w:p>
    <w:tbl>
      <w:tblPr>
        <w:tblW w:w="8136" w:type="dxa"/>
        <w:jc w:val="left"/>
        <w:tblInd w:w="0" w:type="dxa"/>
        <w:tblLayout w:type="fixed"/>
        <w:tblCellMar>
          <w:top w:w="28" w:type="dxa"/>
          <w:left w:w="28" w:type="dxa"/>
          <w:bottom w:w="28" w:type="dxa"/>
          <w:right w:w="28" w:type="dxa"/>
        </w:tblCellMar>
      </w:tblPr>
      <w:tblGrid>
        <w:gridCol w:w="1112"/>
        <w:gridCol w:w="977"/>
        <w:gridCol w:w="985"/>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09"/>
        <w:gridCol w:w="109"/>
        <w:gridCol w:w="109"/>
        <w:gridCol w:w="109"/>
        <w:gridCol w:w="109"/>
        <w:gridCol w:w="109"/>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transportation</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Gathering and transportation expenses remained relatively consistent during the second quarter of 2023 compared to the first quarter of 2023. The rate per BOE decreased primarily due to changes in our marketing agreements.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provides the components of our depreciation, depletion, amortization and accretion expense for the three months ended June 30, 2023 and March 31, 2023:</w:t>
      </w:r>
    </w:p>
    <w:p>
      <w:pPr>
        <w:pStyle w:val="TextBody"/>
        <w:bidi w:val="0"/>
        <w:spacing w:before="0" w:after="0"/>
        <w:ind w:left="0" w:right="0" w:firstLine="720"/>
        <w:jc w:val="both"/>
        <w:rPr/>
      </w:pPr>
      <w:r>
        <w:rPr/>
      </w:r>
    </w:p>
    <w:tbl>
      <w:tblPr>
        <w:tblW w:w="8080" w:type="dxa"/>
        <w:jc w:val="left"/>
        <w:tblInd w:w="0" w:type="dxa"/>
        <w:tblLayout w:type="fixed"/>
        <w:tblCellMar>
          <w:top w:w="28" w:type="dxa"/>
          <w:left w:w="28" w:type="dxa"/>
          <w:bottom w:w="28" w:type="dxa"/>
          <w:right w:w="28" w:type="dxa"/>
        </w:tblCellMar>
      </w:tblPr>
      <w:tblGrid>
        <w:gridCol w:w="1905"/>
        <w:gridCol w:w="1673"/>
        <w:gridCol w:w="1687"/>
        <w:gridCol w:w="260"/>
        <w:gridCol w:w="760"/>
        <w:gridCol w:w="134"/>
        <w:gridCol w:w="109"/>
        <w:gridCol w:w="109"/>
        <w:gridCol w:w="109"/>
        <w:gridCol w:w="287"/>
        <w:gridCol w:w="838"/>
        <w:gridCol w:w="209"/>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other property and equipment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per BOE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Depletion of proved oil and natural gas properties increased by $29.0 million for the second quarter of 2023 as compared to the first quarter of 2023 due primarily to the growth in production volumes discussed above and a slight increase in the depletion rate.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three months ended June 30, 2023 and March 31, 2023:</w:t>
      </w:r>
    </w:p>
    <w:p>
      <w:pPr>
        <w:pStyle w:val="TextBody"/>
        <w:bidi w:val="0"/>
        <w:spacing w:before="0" w:after="0"/>
        <w:ind w:left="0" w:right="0" w:firstLine="720"/>
        <w:jc w:val="both"/>
        <w:rPr/>
      </w:pPr>
      <w:r>
        <w:rPr/>
      </w:r>
    </w:p>
    <w:tbl>
      <w:tblPr>
        <w:tblW w:w="7730" w:type="dxa"/>
        <w:jc w:val="left"/>
        <w:tblInd w:w="0" w:type="dxa"/>
        <w:tblLayout w:type="fixed"/>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general and administrative expenses for the second quarter of 2023 compared to the first quarter of 2023 is due primarily to a $5 million reduction in compensation costs due to the first quarter of 2023 including revisions for 2022 annual bonuses. The remainder of the decrease is due largely to lower legal and professional services costs in the second quarter of 2023. The increase in non-cash stock-based compensation is due to recording a full quarter of expense on restricted stock units and performance restricted stock units granted in March 2023.</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other insignificant operating costs and expenses for the three months ended June 30, 2023 and March 31, 2023:</w:t>
      </w:r>
    </w:p>
    <w:p>
      <w:pPr>
        <w:pStyle w:val="TextBody"/>
        <w:bidi w:val="0"/>
        <w:spacing w:before="0" w:after="0"/>
        <w:ind w:left="0" w:right="0" w:firstLine="720"/>
        <w:jc w:val="both"/>
        <w:rPr/>
      </w:pPr>
      <w:r>
        <w:rPr/>
      </w:r>
    </w:p>
    <w:tbl>
      <w:tblPr>
        <w:tblW w:w="6038" w:type="dxa"/>
        <w:jc w:val="left"/>
        <w:tblInd w:w="0" w:type="dxa"/>
        <w:tblLayout w:type="fixed"/>
        <w:tblCellMar>
          <w:top w:w="28" w:type="dxa"/>
          <w:left w:w="28" w:type="dxa"/>
          <w:bottom w:w="28" w:type="dxa"/>
          <w:right w:w="28" w:type="dxa"/>
        </w:tblCellMar>
      </w:tblPr>
      <w:tblGrid>
        <w:gridCol w:w="1004"/>
        <w:gridCol w:w="881"/>
        <w:gridCol w:w="889"/>
        <w:gridCol w:w="358"/>
        <w:gridCol w:w="613"/>
        <w:gridCol w:w="184"/>
        <w:gridCol w:w="113"/>
        <w:gridCol w:w="113"/>
        <w:gridCol w:w="113"/>
        <w:gridCol w:w="399"/>
        <w:gridCol w:w="684"/>
        <w:gridCol w:w="206"/>
        <w:gridCol w:w="109"/>
        <w:gridCol w:w="109"/>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receipts (payments) on settlements of derivative instruments for the three months ended June 30, 2023 and March 31, 2023:</w:t>
      </w:r>
    </w:p>
    <w:p>
      <w:pPr>
        <w:pStyle w:val="TextBody"/>
        <w:bidi w:val="0"/>
        <w:spacing w:before="0" w:after="0"/>
        <w:ind w:left="0" w:right="0" w:firstLine="720"/>
        <w:jc w:val="both"/>
        <w:rPr/>
      </w:pPr>
      <w:r>
        <w:rPr/>
      </w:r>
    </w:p>
    <w:tbl>
      <w:tblPr>
        <w:tblW w:w="6265" w:type="dxa"/>
        <w:jc w:val="left"/>
        <w:tblInd w:w="0" w:type="dxa"/>
        <w:tblLayout w:type="fixed"/>
        <w:tblCellMar>
          <w:top w:w="28" w:type="dxa"/>
          <w:left w:w="28" w:type="dxa"/>
          <w:bottom w:w="28" w:type="dxa"/>
          <w:right w:w="28" w:type="dxa"/>
        </w:tblCellMar>
      </w:tblPr>
      <w:tblGrid>
        <w:gridCol w:w="1248"/>
        <w:gridCol w:w="1093"/>
        <w:gridCol w:w="1108"/>
        <w:gridCol w:w="283"/>
        <w:gridCol w:w="726"/>
        <w:gridCol w:w="146"/>
        <w:gridCol w:w="109"/>
        <w:gridCol w:w="109"/>
        <w:gridCol w:w="109"/>
        <w:gridCol w:w="351"/>
        <w:gridCol w:w="727"/>
        <w:gridCol w:w="256"/>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11—</w:t>
      </w:r>
      <w:hyperlink w:anchor="ib59795c0e8eb4552b519a4f22160d630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our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three months ended June 30, 2023 and March 31, 2023:</w:t>
      </w:r>
    </w:p>
    <w:p>
      <w:pPr>
        <w:pStyle w:val="TextBody"/>
        <w:bidi w:val="0"/>
        <w:spacing w:before="0" w:after="0"/>
        <w:ind w:left="0" w:right="0" w:firstLine="720"/>
        <w:jc w:val="both"/>
        <w:rPr/>
      </w:pPr>
      <w:r>
        <w:rPr/>
      </w:r>
    </w:p>
    <w:tbl>
      <w:tblPr>
        <w:tblW w:w="6462" w:type="dxa"/>
        <w:jc w:val="left"/>
        <w:tblInd w:w="0" w:type="dxa"/>
        <w:tblLayout w:type="fixed"/>
        <w:tblCellMar>
          <w:top w:w="28" w:type="dxa"/>
          <w:left w:w="28" w:type="dxa"/>
          <w:bottom w:w="28" w:type="dxa"/>
          <w:right w:w="28" w:type="dxa"/>
        </w:tblCellMar>
      </w:tblPr>
      <w:tblGrid>
        <w:gridCol w:w="1162"/>
        <w:gridCol w:w="1020"/>
        <w:gridCol w:w="1028"/>
        <w:gridCol w:w="322"/>
        <w:gridCol w:w="666"/>
        <w:gridCol w:w="166"/>
        <w:gridCol w:w="109"/>
        <w:gridCol w:w="109"/>
        <w:gridCol w:w="109"/>
        <w:gridCol w:w="360"/>
        <w:gridCol w:w="744"/>
        <w:gridCol w:w="186"/>
        <w:gridCol w:w="109"/>
        <w:gridCol w:w="109"/>
        <w:gridCol w:w="109"/>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net interest expense for the second quarter of 2023 compared to the first quarter of 2023 primarily reflects a $4 million increase in interest expense on our and Viper’s revolving credit facilities due primarily to higher weighted average interest rates and a $2 million decrease in capitalized interest costs, which reduce interest expense.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change in other income (expense), net is primarily due to the first quarter of 2023 including the $53 million gain on the sale of Gray Oak as discussed further in Note 4—</w:t>
      </w:r>
      <w:hyperlink w:anchor="ib59795c0e8eb4552b519a4f22160d630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to the condensed 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7—</w:t>
      </w:r>
      <w:hyperlink w:anchor="ib59795c0e8eb4552b519a4f22160d630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for further details regarding outstanding borrowings and gain (loss) on extinguishment of debt.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three months ended June 30, 2023 and March 31, 2023:</w:t>
      </w:r>
    </w:p>
    <w:p>
      <w:pPr>
        <w:pStyle w:val="TextBody"/>
        <w:bidi w:val="0"/>
        <w:spacing w:before="0" w:after="0"/>
        <w:ind w:left="0" w:right="0" w:firstLine="720"/>
        <w:jc w:val="both"/>
        <w:rPr/>
      </w:pPr>
      <w:r>
        <w:rPr/>
      </w:r>
    </w:p>
    <w:tbl>
      <w:tblPr>
        <w:tblW w:w="6252" w:type="dxa"/>
        <w:jc w:val="left"/>
        <w:tblInd w:w="0" w:type="dxa"/>
        <w:tblLayout w:type="fixed"/>
        <w:tblCellMar>
          <w:top w:w="28" w:type="dxa"/>
          <w:left w:w="28" w:type="dxa"/>
          <w:bottom w:w="28" w:type="dxa"/>
          <w:right w:w="28" w:type="dxa"/>
        </w:tblCellMar>
      </w:tblPr>
      <w:tblGrid>
        <w:gridCol w:w="1243"/>
        <w:gridCol w:w="1091"/>
        <w:gridCol w:w="1101"/>
        <w:gridCol w:w="310"/>
        <w:gridCol w:w="685"/>
        <w:gridCol w:w="160"/>
        <w:gridCol w:w="109"/>
        <w:gridCol w:w="109"/>
        <w:gridCol w:w="109"/>
        <w:gridCol w:w="339"/>
        <w:gridCol w:w="749"/>
        <w:gridCol w:w="247"/>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change in our income tax provision for the second quarter of 2023 compared to the first quarter of 2023 was primarily due to the decrease in pre-tax income between the periods which resulted largely from the decline in revenues and an increase in losses on our derivative instruments. See Note 10—</w:t>
      </w:r>
      <w:hyperlink w:anchor="ib59795c0e8eb4552b519a4f22160d630_67">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for further discussion of our income tax expense.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2023 and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operating data for the six months ended June 30, 2023 and 2022:</w:t>
      </w:r>
    </w:p>
    <w:p>
      <w:pPr>
        <w:pStyle w:val="TextBody"/>
        <w:bidi w:val="0"/>
        <w:spacing w:before="0" w:after="0"/>
        <w:jc w:val="both"/>
        <w:rPr/>
      </w:pPr>
      <w:r>
        <w:rPr/>
      </w:r>
    </w:p>
    <w:tbl>
      <w:tblPr>
        <w:tblW w:w="6729" w:type="dxa"/>
        <w:jc w:val="left"/>
        <w:tblInd w:w="0" w:type="dxa"/>
        <w:tblLayout w:type="fixed"/>
        <w:tblCellMar>
          <w:top w:w="28" w:type="dxa"/>
          <w:left w:w="28" w:type="dxa"/>
          <w:bottom w:w="28" w:type="dxa"/>
          <w:right w:w="28" w:type="dxa"/>
        </w:tblCellMar>
      </w:tblPr>
      <w:tblGrid>
        <w:gridCol w:w="1587"/>
        <w:gridCol w:w="1391"/>
        <w:gridCol w:w="1402"/>
        <w:gridCol w:w="211"/>
        <w:gridCol w:w="616"/>
        <w:gridCol w:w="109"/>
        <w:gridCol w:w="109"/>
        <w:gridCol w:w="109"/>
        <w:gridCol w:w="109"/>
        <w:gridCol w:w="211"/>
        <w:gridCol w:w="721"/>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tables set forth the mix of our production data by product and basin for the six months ended June 30, 2023 and 2022:</w:t>
      </w:r>
    </w:p>
    <w:p>
      <w:pPr>
        <w:pStyle w:val="TextBody"/>
        <w:bidi w:val="0"/>
        <w:spacing w:before="0" w:after="0"/>
        <w:ind w:left="0" w:right="0" w:firstLine="720"/>
        <w:jc w:val="both"/>
        <w:rPr/>
      </w:pPr>
      <w:r>
        <w:rPr/>
      </w:r>
    </w:p>
    <w:tbl>
      <w:tblPr>
        <w:tblW w:w="4844" w:type="dxa"/>
        <w:jc w:val="left"/>
        <w:tblInd w:w="0" w:type="dxa"/>
        <w:tblLayout w:type="fixed"/>
        <w:tblCellMar>
          <w:top w:w="28" w:type="dxa"/>
          <w:left w:w="28" w:type="dxa"/>
          <w:bottom w:w="28" w:type="dxa"/>
          <w:right w:w="28" w:type="dxa"/>
        </w:tblCellMar>
      </w:tblPr>
      <w:tblGrid>
        <w:gridCol w:w="857"/>
        <w:gridCol w:w="753"/>
        <w:gridCol w:w="760"/>
        <w:gridCol w:w="237"/>
        <w:gridCol w:w="229"/>
        <w:gridCol w:w="457"/>
        <w:gridCol w:w="184"/>
        <w:gridCol w:w="184"/>
        <w:gridCol w:w="184"/>
        <w:gridCol w:w="237"/>
        <w:gridCol w:w="229"/>
        <w:gridCol w:w="533"/>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tbl>
      <w:tblPr>
        <w:tblW w:w="10392" w:type="dxa"/>
        <w:jc w:val="left"/>
        <w:tblInd w:w="0" w:type="dxa"/>
        <w:tblLayout w:type="fixed"/>
        <w:tblCellMar>
          <w:top w:w="28" w:type="dxa"/>
          <w:left w:w="28" w:type="dxa"/>
          <w:bottom w:w="28" w:type="dxa"/>
          <w:right w:w="28" w:type="dxa"/>
        </w:tblCellMar>
      </w:tblPr>
      <w:tblGrid>
        <w:gridCol w:w="353"/>
        <w:gridCol w:w="311"/>
        <w:gridCol w:w="312"/>
        <w:gridCol w:w="414"/>
        <w:gridCol w:w="307"/>
        <w:gridCol w:w="256"/>
        <w:gridCol w:w="109"/>
        <w:gridCol w:w="109"/>
        <w:gridCol w:w="109"/>
        <w:gridCol w:w="434"/>
        <w:gridCol w:w="287"/>
        <w:gridCol w:w="276"/>
        <w:gridCol w:w="109"/>
        <w:gridCol w:w="109"/>
        <w:gridCol w:w="109"/>
        <w:gridCol w:w="234"/>
        <w:gridCol w:w="232"/>
        <w:gridCol w:w="201"/>
        <w:gridCol w:w="109"/>
        <w:gridCol w:w="109"/>
        <w:gridCol w:w="109"/>
        <w:gridCol w:w="360"/>
        <w:gridCol w:w="361"/>
        <w:gridCol w:w="171"/>
        <w:gridCol w:w="109"/>
        <w:gridCol w:w="109"/>
        <w:gridCol w:w="109"/>
        <w:gridCol w:w="414"/>
        <w:gridCol w:w="307"/>
        <w:gridCol w:w="256"/>
        <w:gridCol w:w="109"/>
        <w:gridCol w:w="109"/>
        <w:gridCol w:w="109"/>
        <w:gridCol w:w="434"/>
        <w:gridCol w:w="287"/>
        <w:gridCol w:w="276"/>
        <w:gridCol w:w="109"/>
        <w:gridCol w:w="109"/>
        <w:gridCol w:w="109"/>
        <w:gridCol w:w="234"/>
        <w:gridCol w:w="232"/>
        <w:gridCol w:w="201"/>
        <w:gridCol w:w="109"/>
        <w:gridCol w:w="109"/>
        <w:gridCol w:w="109"/>
        <w:gridCol w:w="360"/>
        <w:gridCol w:w="361"/>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2022</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79,194 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the Rockies.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(2)Includes the Eagle Ford Shale and Rockies.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Oil, Natural Gas and Natural Gas Liquids Revenues.</w:t>
      </w:r>
      <w:r>
        <w:rPr>
          <w:color w:val="000000"/>
        </w:rPr>
        <w:t xml:space="preserve"> </w:t>
      </w:r>
      <w:r>
        <w:rPr>
          <w:rFonts w:ascii="Times New Roman;sans-serif" w:hAnsi="Times New Roman;sans-serif"/>
          <w:b w:val="false"/>
          <w:color w:val="000000"/>
          <w:sz w:val="20"/>
        </w:rPr>
        <w:t xml:space="preserve">Our revenues are a function of oil, natural gas and natural gas liquids production volumes sold and average sales prices received for those volumes.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oil, natural gas and natural gas liquids revenues for the six months ended June 30, 2023 decreased by $1.3 billion, or 26%, to $3.8 billion from the same period in 2022 primarily due to a reduction of $2.1 billion attributable to lower average prices received for our oil production and to a lesser extent, our natural gas and natural gas liquids production. The decrease due to lower average prices was partially offset by an increase of $791 million attributable to the 15% growth in our combined volumes, which was primarily due to additional production from the FireBird Acquisition and the Lario Acquisition.</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shows the other insignificant revenues for the six months ended June 30, 2023 and 2022:</w:t>
      </w:r>
    </w:p>
    <w:p>
      <w:pPr>
        <w:pStyle w:val="TextBody"/>
        <w:bidi w:val="0"/>
        <w:spacing w:before="0" w:after="0"/>
        <w:ind w:left="0" w:right="0" w:firstLine="720"/>
        <w:jc w:val="both"/>
        <w:rPr/>
      </w:pPr>
      <w:r>
        <w:rPr/>
      </w:r>
    </w:p>
    <w:tbl>
      <w:tblPr>
        <w:tblW w:w="4316" w:type="dxa"/>
        <w:jc w:val="left"/>
        <w:tblInd w:w="0" w:type="dxa"/>
        <w:tblLayout w:type="fixed"/>
        <w:tblCellMar>
          <w:top w:w="28" w:type="dxa"/>
          <w:left w:w="28" w:type="dxa"/>
          <w:bottom w:w="28" w:type="dxa"/>
          <w:right w:w="28" w:type="dxa"/>
        </w:tblCellMar>
      </w:tblPr>
      <w:tblGrid>
        <w:gridCol w:w="738"/>
        <w:gridCol w:w="648"/>
        <w:gridCol w:w="654"/>
        <w:gridCol w:w="277"/>
        <w:gridCol w:w="474"/>
        <w:gridCol w:w="143"/>
        <w:gridCol w:w="143"/>
        <w:gridCol w:w="143"/>
        <w:gridCol w:w="143"/>
        <w:gridCol w:w="277"/>
        <w:gridCol w:w="474"/>
        <w:gridCol w:w="202"/>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six months ended June 30, 2023 and 2022:</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increased by $84 million, or $0.48 per BOE for the six months ended June 30, 2023 compared to the same period in 2022. The increase primarily consists of $55 million in production and operating expenses incurred on wells acquired in the FireBird Acquisition and the Lario Acquisition in 2023 and a $29 million overall increase in utility and service costs driven primarily by inflation. Currently, we expect our total lease operating expenses in 2023 to range from approximately $778 million to $877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six months ended June 30, 2023 and 2022:</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45"/>
        <w:gridCol w:w="1780"/>
        <w:gridCol w:w="1795"/>
        <w:gridCol w:w="211"/>
        <w:gridCol w:w="466"/>
        <w:gridCol w:w="271"/>
        <w:gridCol w:w="109"/>
        <w:gridCol w:w="109"/>
        <w:gridCol w:w="109"/>
        <w:gridCol w:w="211"/>
        <w:gridCol w:w="511"/>
        <w:gridCol w:w="109"/>
        <w:gridCol w:w="109"/>
        <w:gridCol w:w="109"/>
        <w:gridCol w:w="109"/>
        <w:gridCol w:w="211"/>
        <w:gridCol w:w="466"/>
        <w:gridCol w:w="271"/>
        <w:gridCol w:w="109"/>
        <w:gridCol w:w="109"/>
        <w:gridCol w:w="109"/>
        <w:gridCol w:w="211"/>
        <w:gridCol w:w="511"/>
        <w:gridCol w:w="155"/>
      </w:tblGrid>
      <w:tr>
        <w:trPr/>
        <w:tc>
          <w:tcPr>
            <w:tcW w:w="2045"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 as a % of oil, natural gas and natural gas liquids revenue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production revenues for the 2023 period decreased slightly compared to the same period in 2022, primarily due to a large decrease in our natural gas and natural gas liquids revenues which have a higher production tax rate.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 valorem taxes are based, among other factors, on property values driven by prior year commodity prices. Ad valorem taxes for the six months ended June 30, 2023 as compared to the same period in 2022 increased by $44 million, partially due to recording (i) $23 million in additional ad valorem taxes related to higher valuations on existing wells in 2023 (ii) $15 million in ad valorem taxes for new well additions between the periods, and (iii) $6 million in ad valorem taxes for properties acquired in the FireBird Acquisition and the Lario Acquisition.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Gathering and Transportation Expense.</w:t>
      </w:r>
      <w:r>
        <w:rPr>
          <w:color w:val="000000"/>
        </w:rPr>
        <w:t xml:space="preserve"> </w:t>
      </w:r>
      <w:r>
        <w:rPr>
          <w:rFonts w:ascii="Times New Roman;sans-serif" w:hAnsi="Times New Roman;sans-serif"/>
          <w:b w:val="false"/>
          <w:color w:val="000000"/>
          <w:sz w:val="20"/>
        </w:rPr>
        <w:t>The following table shows gathering and transportation expense for the six months ended June 30, 2023 and 2022:</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transportation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gathering and transportation expenses for the six months ended June 30, 2023 compared to the same period in 2022 is primarily attributable to the growth in production volumes discussed above. The rate per BOE remained consistent between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provides the components of our depreciation, depletion, amortization and accretion expense for the six months ended June 30, 2023 and 2022:</w:t>
      </w:r>
    </w:p>
    <w:p>
      <w:pPr>
        <w:pStyle w:val="TextBody"/>
        <w:bidi w:val="0"/>
        <w:spacing w:before="0" w:after="0"/>
        <w:ind w:left="0" w:right="0" w:firstLine="720"/>
        <w:jc w:val="both"/>
        <w:rPr/>
      </w:pPr>
      <w:r>
        <w:rPr/>
      </w:r>
    </w:p>
    <w:tbl>
      <w:tblPr>
        <w:tblW w:w="7543" w:type="dxa"/>
        <w:jc w:val="left"/>
        <w:tblInd w:w="0" w:type="dxa"/>
        <w:tblLayout w:type="fixed"/>
        <w:tblCellMar>
          <w:top w:w="28" w:type="dxa"/>
          <w:left w:w="28" w:type="dxa"/>
          <w:bottom w:w="28" w:type="dxa"/>
          <w:right w:w="28" w:type="dxa"/>
        </w:tblCellMar>
      </w:tblPr>
      <w:tblGrid>
        <w:gridCol w:w="1905"/>
        <w:gridCol w:w="1673"/>
        <w:gridCol w:w="1687"/>
        <w:gridCol w:w="225"/>
        <w:gridCol w:w="656"/>
        <w:gridCol w:w="116"/>
        <w:gridCol w:w="116"/>
        <w:gridCol w:w="116"/>
        <w:gridCol w:w="116"/>
        <w:gridCol w:w="225"/>
        <w:gridCol w:w="544"/>
        <w:gridCol w:w="164"/>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other property and equipment</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per BOE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depletion of proved oil and natural gas properties of $199 million for the six months ended June 30, 2023 as compared to the same period in 2022 resulted largely from an increase in the depletion rate and production volumes resulting from the addition of leasehold costs, reserves and production from the FireBird Acquisition and the Lario Acquisition.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six months ended June 30, 2023 and 2022:</w:t>
      </w:r>
    </w:p>
    <w:p>
      <w:pPr>
        <w:pStyle w:val="TextBody"/>
        <w:bidi w:val="0"/>
        <w:spacing w:before="0" w:after="0"/>
        <w:ind w:left="0" w:right="0" w:firstLine="720"/>
        <w:jc w:val="both"/>
        <w:rPr/>
      </w:pPr>
      <w:r>
        <w:rPr/>
      </w:r>
    </w:p>
    <w:tbl>
      <w:tblPr>
        <w:tblW w:w="7730" w:type="dxa"/>
        <w:jc w:val="left"/>
        <w:tblInd w:w="0" w:type="dxa"/>
        <w:tblLayout w:type="fixed"/>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general and administrative expenses for the six months ended June 30, 2023 compared to the same period in 2023 was primarily due to higher professional services costs in the current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expect cash general and administrative expenses to range from approximately $95 million to $122 million in 2023, and non-cash stock-based compensation to range from approximately $56 million to $73 million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the other insignificant operating costs and expenses for the six months ended June 30, 2023 and 2022:</w:t>
      </w:r>
    </w:p>
    <w:p>
      <w:pPr>
        <w:pStyle w:val="TextBody"/>
        <w:bidi w:val="0"/>
        <w:spacing w:before="0" w:after="0"/>
        <w:ind w:left="0" w:right="0" w:firstLine="720"/>
        <w:jc w:val="both"/>
        <w:rPr/>
      </w:pPr>
      <w:r>
        <w:rPr/>
      </w:r>
    </w:p>
    <w:tbl>
      <w:tblPr>
        <w:tblW w:w="4451" w:type="dxa"/>
        <w:jc w:val="left"/>
        <w:tblInd w:w="0" w:type="dxa"/>
        <w:tblLayout w:type="fixed"/>
        <w:tblCellMar>
          <w:top w:w="28" w:type="dxa"/>
          <w:left w:w="28" w:type="dxa"/>
          <w:bottom w:w="28" w:type="dxa"/>
          <w:right w:w="28" w:type="dxa"/>
        </w:tblCellMar>
      </w:tblPr>
      <w:tblGrid>
        <w:gridCol w:w="787"/>
        <w:gridCol w:w="691"/>
        <w:gridCol w:w="697"/>
        <w:gridCol w:w="277"/>
        <w:gridCol w:w="474"/>
        <w:gridCol w:w="143"/>
        <w:gridCol w:w="143"/>
        <w:gridCol w:w="143"/>
        <w:gridCol w:w="143"/>
        <w:gridCol w:w="277"/>
        <w:gridCol w:w="474"/>
        <w:gridCol w:w="202"/>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receipts (payments) on settlements of derivative instruments for the six months ended June 30, 2023 and 2022:</w:t>
      </w:r>
    </w:p>
    <w:p>
      <w:pPr>
        <w:pStyle w:val="TextBody"/>
        <w:bidi w:val="0"/>
        <w:spacing w:before="0" w:after="0"/>
        <w:ind w:left="0" w:right="0" w:firstLine="720"/>
        <w:jc w:val="both"/>
        <w:rPr/>
      </w:pPr>
      <w:r>
        <w:rPr/>
      </w:r>
    </w:p>
    <w:tbl>
      <w:tblPr>
        <w:tblW w:w="5724" w:type="dxa"/>
        <w:jc w:val="left"/>
        <w:tblInd w:w="0" w:type="dxa"/>
        <w:tblLayout w:type="fixed"/>
        <w:tblCellMar>
          <w:top w:w="28" w:type="dxa"/>
          <w:left w:w="28" w:type="dxa"/>
          <w:bottom w:w="28" w:type="dxa"/>
          <w:right w:w="28" w:type="dxa"/>
        </w:tblCellMar>
      </w:tblPr>
      <w:tblGrid>
        <w:gridCol w:w="1248"/>
        <w:gridCol w:w="1093"/>
        <w:gridCol w:w="1108"/>
        <w:gridCol w:w="229"/>
        <w:gridCol w:w="589"/>
        <w:gridCol w:w="118"/>
        <w:gridCol w:w="118"/>
        <w:gridCol w:w="118"/>
        <w:gridCol w:w="118"/>
        <w:gridCol w:w="229"/>
        <w:gridCol w:w="589"/>
        <w:gridCol w:w="167"/>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cash received (paid) on settlements</w:t>
            </w:r>
            <w:r>
              <w:rPr>
                <w:rFonts w:ascii="Times New Roman;sans-serif" w:hAnsi="Times New Roman;sans-serif"/>
                <w:b w:val="false"/>
                <w:color w:val="000000"/>
                <w:sz w:val="13"/>
              </w:rPr>
              <w:t>(1)</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six months ended June 30, 2022 includes cash paid on commodity contracts terminated prior to their contractual maturity of $135 million.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11—</w:t>
      </w:r>
      <w:hyperlink w:anchor="ib59795c0e8eb4552b519a4f22160d630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our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six months ended June 30, 2023 and 2022:</w:t>
      </w:r>
    </w:p>
    <w:p>
      <w:pPr>
        <w:pStyle w:val="TextBody"/>
        <w:bidi w:val="0"/>
        <w:spacing w:before="0" w:after="0"/>
        <w:ind w:left="0" w:right="0" w:firstLine="720"/>
        <w:jc w:val="both"/>
        <w:rPr/>
      </w:pPr>
      <w:r>
        <w:rPr/>
      </w:r>
    </w:p>
    <w:tbl>
      <w:tblPr>
        <w:tblW w:w="5484" w:type="dxa"/>
        <w:jc w:val="left"/>
        <w:tblInd w:w="0" w:type="dxa"/>
        <w:tblLayout w:type="fixed"/>
        <w:tblCellMar>
          <w:top w:w="28" w:type="dxa"/>
          <w:left w:w="28" w:type="dxa"/>
          <w:bottom w:w="28" w:type="dxa"/>
          <w:right w:w="28" w:type="dxa"/>
        </w:tblCellMar>
      </w:tblPr>
      <w:tblGrid>
        <w:gridCol w:w="1162"/>
        <w:gridCol w:w="1020"/>
        <w:gridCol w:w="1028"/>
        <w:gridCol w:w="255"/>
        <w:gridCol w:w="527"/>
        <w:gridCol w:w="131"/>
        <w:gridCol w:w="131"/>
        <w:gridCol w:w="131"/>
        <w:gridCol w:w="131"/>
        <w:gridCol w:w="255"/>
        <w:gridCol w:w="527"/>
        <w:gridCol w:w="186"/>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interest expense for the six months ended June 30, 2023 compared to the same period in 2022, reflects (i) a net increase of $27 million in interest expense on our senior notes due primarily to $55 million in additional interest costs on senior notes issued in the fourth quarter of 2022, partially offset by the impact of retirements of various senior notes in 2023 and 2022, and (ii) a $14 million increase in interest expense on our revolving credit facility due primarily to higher weighted average interest rates and borrowings to fund the cash portion of the Lario Acquisition and other corporate expenses. These increases were partially offset by a $17 million increase in capitalized interest costs, which reduce interest expense and other insignificant reductions from interest income and the amortization of debt issuances costs and discounts. Currently, we expect interest expense to range from approximately $191 million to $211 million in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Other income (expense), net for the six months ended June 30, 2023 includes a $53 million gain on the sale of Gray Oak as discussed further in Note 4—</w:t>
      </w:r>
      <w:hyperlink w:anchor="ib59795c0e8eb4552b519a4f22160d630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to the condensed notes to the consolidated financial statements, partially offset by various other insignificant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Gain (loss) on extinguishment of debt reflects the difference between the carrying value and reacquisition price for the repurchase and redemption of various senior notes during 2023 and 2022.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7—</w:t>
      </w:r>
      <w:hyperlink w:anchor="ib59795c0e8eb4552b519a4f22160d630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outstanding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six months ended June 30, 2023 and 2022:</w:t>
      </w:r>
    </w:p>
    <w:p>
      <w:pPr>
        <w:pStyle w:val="TextBody"/>
        <w:bidi w:val="0"/>
        <w:spacing w:before="0" w:after="0"/>
        <w:ind w:left="0" w:right="0" w:firstLine="720"/>
        <w:jc w:val="both"/>
        <w:rPr/>
      </w:pPr>
      <w:r>
        <w:rPr/>
      </w:r>
    </w:p>
    <w:tbl>
      <w:tblPr>
        <w:tblW w:w="5709" w:type="dxa"/>
        <w:jc w:val="left"/>
        <w:tblInd w:w="0" w:type="dxa"/>
        <w:tblLayout w:type="fixed"/>
        <w:tblCellMar>
          <w:top w:w="28" w:type="dxa"/>
          <w:left w:w="28" w:type="dxa"/>
          <w:bottom w:w="28" w:type="dxa"/>
          <w:right w:w="28" w:type="dxa"/>
        </w:tblCellMar>
      </w:tblPr>
      <w:tblGrid>
        <w:gridCol w:w="1243"/>
        <w:gridCol w:w="1091"/>
        <w:gridCol w:w="1101"/>
        <w:gridCol w:w="247"/>
        <w:gridCol w:w="546"/>
        <w:gridCol w:w="127"/>
        <w:gridCol w:w="127"/>
        <w:gridCol w:w="127"/>
        <w:gridCol w:w="127"/>
        <w:gridCol w:w="247"/>
        <w:gridCol w:w="546"/>
        <w:gridCol w:w="180"/>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change in our income tax provision for the six months ended June 30, 2023 compared to the same period in 2022 was primarily due to the decrease in pre-tax income resulting largely from the decline in revenues from oil, natural gas and natural gas liquids and slightly offset by a decrease in the loss on derivative instruments discussed above. See Note 10—</w:t>
      </w:r>
      <w:hyperlink w:anchor="ib59795c0e8eb4552b519a4f22160d630_67">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for further discussion of our income tax expense.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i/>
          <w:color w:val="000000"/>
          <w:sz w:val="20"/>
        </w:rPr>
      </w:pPr>
      <w:r>
        <w:rPr>
          <w:rFonts w:ascii="Times New Roman;sans-serif" w:hAnsi="Times New Roman;sans-serif"/>
          <w:b/>
          <w:i/>
          <w:color w:val="000000"/>
          <w:sz w:val="20"/>
        </w:rPr>
        <w:t>Overview of Sources and Uses of Cash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primary sources of liquidity have included cash flows from operations, proceeds from our public equity offerings, borrowings under our revolving credit facility, proceeds from the issuance of senior notes and sales of non-core assets. Our primary uses of capital have been for the acquisition, development and exploration of oil and natural gas properties. At June 30, 2023, we had approximately $1.3 billion of liquidity consisting of $5 million in standalone cash and cash equivalents and $1.3 billion available under our credit facility. As discussed below, our capital budget for 2023 is $2.60 billion to $2.68 billion. As of June 30, 2023, we have no debt maturities until 2026.</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Future cash flows are subject to a number of variables, including the level of oil and natural gas production and volatility of commodity prices. Further, significant additional capital expenditures will be required to more fully develop our properties. Prices for our commodities are determined primarily by prevailing market conditions, regional and worldwide economic activity, weather and other substantially variable factors. These factors are beyond our control and are difficult to predict as discussed further in </w:t>
      </w:r>
      <w:r>
        <w:fldChar w:fldCharType="begin"/>
      </w:r>
      <w:r>
        <w:rPr>
          <w:rStyle w:val="InternetLink"/>
          <w:sz w:val="20"/>
          <w:u w:val="single"/>
          <w:b w:val="false"/>
          <w:rFonts w:ascii="Times New Roman;sans-serif" w:hAnsi="Times New Roman;sans-serif"/>
          <w:color w:val="0000FF"/>
        </w:rPr>
        <w:instrText xml:space="preserve"> HYPERLINK "http://www.sec.gov/ix?doc=/Archives/edgar/data/1539838/000153983823000022/fang-20221231.htm" \l "ia595866015b4400388c840bd76dbe1a1_25"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2022. In order to mitigate this volatility, we enter into derivative contracts with a number of financial institutions, all of which are participants in our credit facility, to economically hedge a portion of our estimated future crude oil and natural gas production as discussed further in Note 11—</w:t>
      </w:r>
      <w:hyperlink w:anchor="ib59795c0e8eb4552b519a4f22160d630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and </w:t>
      </w:r>
      <w:hyperlink w:anchor="ib59795c0e8eb4552b519a4f22160d630_127">
        <w:r>
          <w:rPr>
            <w:rStyle w:val="InternetLink"/>
            <w:rFonts w:ascii="Times New Roman;sans-serif" w:hAnsi="Times New Roman;sans-serif"/>
            <w:b w:val="false"/>
            <w:color w:val="0000FF"/>
            <w:sz w:val="20"/>
            <w:u w:val="single"/>
          </w:rPr>
          <w:t>Item 3. Quantitative and Qualitative Disclosures About Market Risk—Commodity Price Risk</w:t>
        </w:r>
      </w:hyperlink>
      <w:r>
        <w:rPr>
          <w:rFonts w:ascii="Times New Roman;sans-serif" w:hAnsi="Times New Roman;sans-serif"/>
          <w:b w:val="false"/>
          <w:color w:val="000000"/>
          <w:sz w:val="20"/>
        </w:rPr>
        <w:t>. The level of our hedging activity and duration of the financial instruments employed depend on our desired cash flow protection, available hedge prices, the magnitude of our capital program and our operating strategy.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for the six months ended June 30, 2023 and 2022 are presented below: </w:t>
      </w:r>
    </w:p>
    <w:tbl>
      <w:tblPr>
        <w:tblW w:w="6490" w:type="dxa"/>
        <w:jc w:val="left"/>
        <w:tblInd w:w="0" w:type="dxa"/>
        <w:tblLayout w:type="fixed"/>
        <w:tblCellMar>
          <w:top w:w="28" w:type="dxa"/>
          <w:left w:w="28" w:type="dxa"/>
          <w:bottom w:w="28" w:type="dxa"/>
          <w:right w:w="28" w:type="dxa"/>
        </w:tblCellMar>
      </w:tblPr>
      <w:tblGrid>
        <w:gridCol w:w="1524"/>
        <w:gridCol w:w="1340"/>
        <w:gridCol w:w="1350"/>
        <w:gridCol w:w="214"/>
        <w:gridCol w:w="626"/>
        <w:gridCol w:w="110"/>
        <w:gridCol w:w="110"/>
        <w:gridCol w:w="110"/>
        <w:gridCol w:w="110"/>
        <w:gridCol w:w="214"/>
        <w:gridCol w:w="626"/>
        <w:gridCol w:w="156"/>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cash flow is sensitive to many variables, the most significant of which is the volatility of prices for the oil and natural gas we produce. Prices for these commodities are determined primarily by prevailing market conditions, which are influenced by regional and worldwide economic activity, weather and other substantially variable factors. These factors are beyond our control and are difficult to predict.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decrease in operating cash flows for the six months ended June 30, 2023 compared to the same period in 2022 primarily resulted from (i) a decrease of $1.3 billion in total revenue and (ii) an increase in our cash operating expenses of approximately $90 million. These were partially offset by (i) a reduction of $682 million in net cash paid on settlements of derivative contracts, (ii) a reduction of $308 million in cash paid for taxes and (iii) fluctuations in other working capital balances due primarily to the timing of when collections were made on accounts receivable, and a reduction in overall accounts receivable and royalties payable resulting from the decline in commodity prices between periods. See “</w:t>
      </w:r>
      <w:r>
        <w:rPr>
          <w:color w:val="000000"/>
        </w:rPr>
        <w:t>—</w:t>
      </w:r>
      <w:hyperlink w:anchor="ib59795c0e8eb4552b519a4f22160d630_94">
        <w:r>
          <w:rPr>
            <w:rStyle w:val="InternetLink"/>
            <w:rFonts w:ascii="Times New Roman;sans-serif" w:hAnsi="Times New Roman;sans-serif"/>
            <w:b w:val="false"/>
            <w:i/>
            <w:color w:val="0000FF"/>
            <w:sz w:val="20"/>
            <w:u w:val="single"/>
          </w:rPr>
          <w:t>Results of Operations</w:t>
        </w:r>
      </w:hyperlink>
      <w:r>
        <w:rPr>
          <w:color w:val="000000"/>
        </w:rPr>
        <w:t xml:space="preserve">” </w:t>
      </w:r>
      <w:r>
        <w:rPr>
          <w:rFonts w:ascii="Times New Roman;sans-serif" w:hAnsi="Times New Roman;sans-serif"/>
          <w:b w:val="false"/>
          <w:color w:val="000000"/>
          <w:sz w:val="20"/>
        </w:rPr>
        <w:t>for discussion of significant changes in our revenues and expenses.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majority of our net cash used for investing activities during the six months ended June 30, 2023 and 2022 was for drilling and completion costs in conjunction with our development program as well as the purchase of oil and gas properties including the Lario Acquisition, which are discussed further in Note 4—</w:t>
      </w:r>
      <w:hyperlink w:anchor="ib59795c0e8eb4552b519a4f22160d630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expenditures excluding acquisitions and equity method investments (on a cash basis) were as follows for the specified period:</w:t>
      </w:r>
    </w:p>
    <w:tbl>
      <w:tblPr>
        <w:tblW w:w="9189" w:type="dxa"/>
        <w:jc w:val="left"/>
        <w:tblInd w:w="0" w:type="dxa"/>
        <w:tblLayout w:type="fixed"/>
        <w:tblCellMar>
          <w:top w:w="28" w:type="dxa"/>
          <w:left w:w="28" w:type="dxa"/>
          <w:bottom w:w="28" w:type="dxa"/>
          <w:right w:w="28" w:type="dxa"/>
        </w:tblCellMar>
      </w:tblPr>
      <w:tblGrid>
        <w:gridCol w:w="2504"/>
        <w:gridCol w:w="2199"/>
        <w:gridCol w:w="2211"/>
        <w:gridCol w:w="229"/>
        <w:gridCol w:w="671"/>
        <w:gridCol w:w="118"/>
        <w:gridCol w:w="118"/>
        <w:gridCol w:w="118"/>
        <w:gridCol w:w="118"/>
        <w:gridCol w:w="229"/>
        <w:gridCol w:w="507"/>
        <w:gridCol w:w="167"/>
      </w:tblGrid>
      <w:tr>
        <w:trPr/>
        <w:tc>
          <w:tcPr>
            <w:tcW w:w="2504"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Drilling, completions and non-operated additions to oil and natural gas properties</w:t>
            </w:r>
            <w:r>
              <w:rPr>
                <w:rFonts w:ascii="Times New Roman;sans-serif" w:hAnsi="Times New Roman;sans-serif"/>
                <w:b w:val="false"/>
                <w:color w:val="000000"/>
                <w:sz w:val="13"/>
              </w:rPr>
              <w:t>(1)</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additions to oil and natural gas properties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midstream assets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20"/>
        </w:rPr>
        <w:t>(1) See “—</w:t>
      </w:r>
      <w:hyperlink w:anchor="ib59795c0e8eb4552b519a4f22160d630_91">
        <w:r>
          <w:rPr>
            <w:rStyle w:val="InternetLink"/>
            <w:rFonts w:ascii="Times New Roman;sans-serif" w:hAnsi="Times New Roman;sans-serif"/>
            <w:b w:val="false"/>
            <w:i/>
            <w:color w:val="0000FF"/>
            <w:sz w:val="20"/>
            <w:u w:val="single"/>
          </w:rPr>
          <w:t>Recent Developments - Upstream Operations</w:t>
        </w:r>
      </w:hyperlink>
      <w:r>
        <w:rPr>
          <w:color w:val="000000"/>
        </w:rPr>
        <w:t xml:space="preserve">” </w:t>
      </w:r>
      <w:r>
        <w:rPr>
          <w:rFonts w:ascii="Times New Roman;sans-serif" w:hAnsi="Times New Roman;sans-serif"/>
          <w:b w:val="false"/>
          <w:color w:val="000000"/>
          <w:sz w:val="20"/>
        </w:rPr>
        <w:t>above for additional detail on wells drilled and turned to production during the three and six months ended June 30, 2023 and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net cash used in financing activities was primarily attributable to (i) $710 million of repurchases as part of the share and unit repurchase programs, (ii) $692 million of dividends paid to stockholders, (iii) $134 million paid for the retirement of principal outstanding on certain senior notes and (iv) $59 million in distributions to non-controlling interest. These cash outflows were partially offset by an additional $415 million in borrowings under credit facilities, net of repayments.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net cash used in financing activities was primarily attributable to (i) $1.9 billion paid for the retirement of principal outstanding on certain senior notes, as well as $49 million of additional premiums paid in connection with the redemptions, (ii) $648 million of dividends paid to stockholders, (iii) $110 million in distributions to non-controlling interests, (iv) $381 million of repurchases as part of the share and unit repurchase programs, and (v) $16 million of repayments under credit facilities, net of borrowings. These cash outflows were partially offset by $750 million in proceeds from the 4.250% Senior Notes due March 15, 2052.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working capital requirements are supported by our cash and cash equivalents and available borrowings under our revolving credit facility. We may draw on our revolving credit facility to meet short-term cash requirements, or issue debt or equity securities as part of our longer-term liquidity and capital management program. Because of the alternatives available to us, we believe that our short-term and long-term liquidity are adequate to fund not only our current operations, but also our near-term and long-term capital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war in Ukraine and/or adverse macroeconomic conditions may limit our access to, or increase our cost of, capital or make capital unavailable on terms acceptable to us or at all.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Revolving Credit Facilities and Other Debt Instruments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our debt, including the debt of Viper, consisted of approximately $6.1 billion in aggregate outstanding principal amount of senior notes, and $567 million in aggregate outstanding borrowings under revolving credit facilities.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maximum credit amount available under our credit agreement was $1.6 billion, with $343 million in outstanding borrowings and approximately $1.3 billion available for future borrowings. During the second quarter of 2023, we extended the maturity date of our revolving credit facility from June 2, 2027 to June 2, 2028, which further improves our long-term liquidity position.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Repurchases of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2023, we opportunistically repurchased principal amounts of $30 million of our 3.250% Senior Notes due 2026 and $100 million of our 3.500% Senior Notes due 2029 in open market transactions for total cash consideration of $124 million, at an average of 95.5% of par value.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continue to repurchase some of our outstanding senior notes in open market purchases or in privately negotiated transactions in future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Viper’s Credit Agreement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2023, Viper LLC entered into a tenth amendment to its existing credit agreement, which among other things, improved Viper’s short and long-term liquidity position by increasing the borrowing base from $580 million to $1.0 billion and increasing the elected commitment amount from $500 million to $750 million. The Viper credit agreement, which matures on June 2, 2025, had $224 million of outstanding borrowings and $526 million available for future borrowings as of June 30, 2023.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additional discussion of our outstanding debt as of June 30, 2023, see Note 7—</w:t>
      </w:r>
      <w:hyperlink w:anchor="ib59795c0e8eb4552b519a4f22160d630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addition to future operating expenses and working capital commitments discussed in </w:t>
      </w:r>
      <w:r>
        <w:rPr>
          <w:color w:val="000000"/>
        </w:rPr>
        <w:t>—</w:t>
      </w:r>
      <w:hyperlink w:anchor="ib59795c0e8eb4552b519a4f22160d630_94">
        <w:r>
          <w:rPr>
            <w:rStyle w:val="InternetLink"/>
            <w:rFonts w:ascii="Times New Roman;sans-serif" w:hAnsi="Times New Roman;sans-serif"/>
            <w:b w:val="false"/>
            <w:i/>
            <w:color w:val="0000FF"/>
            <w:sz w:val="20"/>
            <w:u w:val="single"/>
          </w:rPr>
          <w:t>Results of Operations</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our primary short and long-term liquidity requirements consist primarily of (i) capital expenditures, (ii) payments of principal and interest on our revolving credit agreements and senior notes, (iii) payments of other contractual obligations and (iv) cash used to pay for dividends and repurchases of securities as discussed below.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Capital Spending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approved a 2023 capital budget for drilling, midstream, infrastructure and environmental of approximately $2.60 billion to $2.68 billion. We estimate that, of these expenditures, approximately: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$2.33 billion to $2.37 billion will be spent primarily on drilling 335 to 350 gross (302 to 315 net) horizontal wells and completing 330 to 345 gross (305 to 320 net) horizontal wells across our operated and non-operated leasehold acreage in the Northern Midland and Southern Delaware Basins, with an average lateral length of approximately 10,800+ feet;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Approximately $100 million to $120 million will be spent on midstream infrastructure, excluding joint venture investments;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Approximately $170 million to $190 million will be spent on infrastructure and environmental expenditures, excluding the cost of any leasehold and mineral interest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a specific acquisition budget since the timing and size of acquisitions cannot be accurately forecasted.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14 drilling rigs and 4 completion crews. We will continue monitoring commodity prices and overall market conditions and can adjust our rig cadence and our capital expenditure budget in response to changes in commodity prices and overall market conditions.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 and Repurchases of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base dividend program, in the first quarter of 2022 we initiated a variable dividend strategy whereby we may pay a quarterly variable dividend based on the prior quarter’s free cash flow remaining after the payment of the base dividend and any stock repurchases. Beginning in the third quarter of 2022, our board of directors approved an increase to this return of capital commitment to at least 75% of free cash flow. On July 26, 2023, our board of directors approved an increase to the Company’s annual base dividend to $3.36 per share and declared a base dividend for the second quarter of 2023 of $0.84 per share of common stock.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financial measure. As used by the Company, free cash flow is defined as cash flow from operating activities before changes in working capital in excess of cash capital expenditures. The Company believes that free cash flow is useful to investors as it provides a measure to compare both cash flow from operating activities and additions to oil and natural gas properties across periods on a consistent basis.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As of July 28, 2023, we have repurchased 18.2 million shares of our common stock for a total cost of $2.2 billion since the inception of the stock repurchase program, excluding excise tax. We intend to continue to purchase shares under this repurchase program opportunistically with available funds primarily from cash flow from operations and liquidity events such as the sale of assets while maintaining sufficient liquidity to fund our capital expenditure programs, however, the stock repurchase program is at the discretion of our board of directors and can be amended, terminated or suspended at any time. See Note 8—</w:t>
      </w:r>
      <w:hyperlink w:anchor="ib59795c0e8eb4552b519a4f22160d630_61">
        <w:r>
          <w:rPr>
            <w:rStyle w:val="InternetLink"/>
            <w:rFonts w:ascii="Times New Roman;sans-serif" w:hAnsi="Times New Roman;sans-serif"/>
            <w:b w:val="false"/>
            <w:color w:val="0000FF"/>
            <w:sz w:val="20"/>
            <w:u w:val="single"/>
          </w:rPr>
          <w:t>Stockholders' Equity and Earnings (Loss) Per Share</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expect our cash tax rate to be 10% to 15% of pre-tax income for the year ended December 31, 2023. See Note 10—</w:t>
      </w:r>
      <w:hyperlink w:anchor="ib59795c0e8eb4552b519a4f22160d630_67">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Guarantor Financial Information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Diamondback E&amp;P is the sole guarantor under the indentures governing the outstanding Guaranteed Senior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E&amp;P’s guarantees of the Guaranteed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01" w:type="dxa"/>
        <w:jc w:val="center"/>
        <w:tblInd w:w="0" w:type="dxa"/>
        <w:tblLayout w:type="fixed"/>
        <w:tblCellMar>
          <w:top w:w="28" w:type="dxa"/>
          <w:left w:w="28" w:type="dxa"/>
          <w:bottom w:w="28" w:type="dxa"/>
          <w:right w:w="28" w:type="dxa"/>
        </w:tblCellMar>
      </w:tblPr>
      <w:tblGrid>
        <w:gridCol w:w="1749"/>
        <w:gridCol w:w="1538"/>
        <w:gridCol w:w="1542"/>
        <w:gridCol w:w="234"/>
        <w:gridCol w:w="800"/>
        <w:gridCol w:w="121"/>
        <w:gridCol w:w="109"/>
        <w:gridCol w:w="109"/>
        <w:gridCol w:w="109"/>
        <w:gridCol w:w="309"/>
        <w:gridCol w:w="1056"/>
        <w:gridCol w:w="225"/>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Summarized Balance Sheets:</w:t>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accounts payable, non-guarantor subsidiary</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59" w:type="dxa"/>
        <w:jc w:val="center"/>
        <w:tblInd w:w="0" w:type="dxa"/>
        <w:tblLayout w:type="fixed"/>
        <w:tblCellMar>
          <w:top w:w="28" w:type="dxa"/>
          <w:left w:w="28" w:type="dxa"/>
          <w:bottom w:w="28" w:type="dxa"/>
          <w:right w:w="28" w:type="dxa"/>
        </w:tblCellMar>
      </w:tblPr>
      <w:tblGrid>
        <w:gridCol w:w="1114"/>
        <w:gridCol w:w="979"/>
        <w:gridCol w:w="982"/>
        <w:gridCol w:w="577"/>
        <w:gridCol w:w="1686"/>
        <w:gridCol w:w="421"/>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Summarized Statement of Operations:</w:t>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There have been no changes in our critical accounting estimates from those disclosed in our </w:t>
      </w:r>
      <w:r>
        <w:fldChar w:fldCharType="begin"/>
      </w:r>
      <w:r>
        <w:rPr>
          <w:rStyle w:val="InternetLink"/>
          <w:sz w:val="20"/>
          <w:u w:val="single"/>
          <w:b w:val="false"/>
          <w:rFonts w:ascii="Times New Roman;sans-serif" w:hAnsi="Times New Roman;sans-serif"/>
          <w:color w:val="0000FF"/>
        </w:rPr>
        <w:instrText xml:space="preserve"> HYPERLINK "http://www.sec.gov/ix?doc=/Archives/edgar/data/1539838/000153983823000022/fang-20221231.htm" \l "ia595866015b4400388c840bd76dbe1a1_67"</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2—</w:t>
      </w:r>
      <w:hyperlink w:anchor="ib59795c0e8eb4552b519a4f22160d630_43">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for recent accounting pronouncements not yet adopted, if any.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Commodity Price Risk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Although demand and market prices for oil and natural gas have recently increased, we cannot predict events, including the outcome of the war in Ukraine, rising interest rates, global supply chain disruptions, a potential economic downturn or recession that may lead to future price volatility and the near term energy outlook remains subject to heightened levels of uncertainty. Further, the prices we receive for production depend on many other factors outside of our control.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derivatives, including swaps, basis swaps, roll swaps, costless collars, puts and basis puts, to reduce price volatility associated with certain of our oil and natural gas sales.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we had a net liability derivative position of $93 million, related to our commodity price risk derivatives. Utilizing actual derivative contractual volumes under our commodity price derivatives as of June 30, 2023, a 10% increase in forward curves associated with the underlying commodity would have decreased the net liability position by $9 million to $84 million, while a 10% decrease in forward curves associated with the underlying commodity would have increased the net liability position by $9 million to $102 million. However, any cash derivative gain or loss would be substantially offset by a decrease or increase, respectively, in the actual sales value of production covered by the derivative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instrument. For additional information on our open commodity derivative instruments at June 30, 2023, see Note 11—</w:t>
      </w:r>
      <w:hyperlink w:anchor="ib59795c0e8eb4552b519a4f22160d630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Counterparty and Customer Credit Risk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exposures to credit risk are due to the concentration of receivables from the sale of our oil and natural gas production (approximately $544 million at June 30, 2023), and to a lesser extent, receivables resulting from joint interest and other receivables (approximately $128 million at June 30,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require our customers to post collateral, and the failure or inability of our significant customers to meet their obligations to us due to their liquidity issues, bankruptcy, insolvency or liquidation may adversely affect our financial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We are subject to market risk exposure related to changes in interest rates on our indebtedness under our revolving credit facilities and changes in the fair value of our fixed rate debt. Outstanding borrowings under the credit agreement bear interest at a per annum rate elected by Diamondback E&amp;P. At June 30, 2023, the applicable margin ranges from 0.125% to 1.000% per annum in the case of the alternate base rate, and from 1.125% to 2.000% per annum in the case of Adjusted Term SOFR, in each case based on the pricing level. The pricing level depends on certain rating agencies’ ratings of our long-term senior unsecure debt. We believe significant interest rate changes would not have a material near-term impact on our future earnings or cash flows. For additional information on our variable interest rate debt at June 30, 2023, see Note 7—</w:t>
      </w:r>
      <w:hyperlink w:anchor="ib59795c0e8eb4552b519a4f22160d630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Historically, we have at times used interest rates swaps to manage our exposure to (i) interest rate changes on our floating-rate date and (ii) fair value changes on our fixed rate debt. At June 30, 2023, we have interest rate swap agreements for a notional amount of $1.2 billion to manage the impact of changes to the fair value of our fixed rate senior notes due to changes in market interest rates through December 2029. We pay an average variable rate of interest for these swaps based on three month SOFR plus 2.1865% and receive a fixed interest rate of 3.50% from our counterparties. At June 30, 2023, our receive-fixed, pay-variable interest rate swaps were in a net liability position of $192 million, and the weighted average variable rate was 6.13%. For additional information on our interest rate swaps, see Note 11—</w:t>
      </w:r>
      <w:hyperlink w:anchor="ib59795c0e8eb4552b519a4f22160d630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 Under the direction of our Chief Executive Officer and Chief Financial Officer, we have established disclosure controls and procedures, as defined in Rule 13a-15(e) and 15d-15(e) under the Exchange Act,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June 30, 2023, our disclosure controls and procedures are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Changes in Internal Control over Financial Reporting</w:t>
      </w:r>
      <w:r>
        <w:rPr>
          <w:rFonts w:ascii="Times New Roman;sans-serif" w:hAnsi="Times New Roman;sans-serif"/>
          <w:b w:val="false"/>
          <w:color w:val="000000"/>
          <w:sz w:val="20"/>
        </w:rPr>
        <w:t>. There have not been any changes in our internal control over financial reporting that occurred during the quarter ended June 30, 2023, that have materially affected, or are reasonably likely to materially affect, internal controls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14—</w:t>
      </w:r>
      <w:hyperlink w:anchor="ib59795c0e8eb4552b519a4f22160d630_79">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 </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of the date of this filing, in addition to the factors discussed elsewhere in this report, we continue to be subject to the risk factors previously disclosed in </w:t>
      </w:r>
      <w:r>
        <w:fldChar w:fldCharType="begin"/>
      </w:r>
      <w:r>
        <w:rPr>
          <w:rStyle w:val="InternetLink"/>
          <w:sz w:val="20"/>
          <w:u w:val="single"/>
          <w:b w:val="false"/>
          <w:rFonts w:ascii="Times New Roman;sans-serif" w:hAnsi="Times New Roman;sans-serif"/>
          <w:color w:val="0000FF"/>
        </w:rPr>
        <w:instrText xml:space="preserve"> HYPERLINK "http://www.sec.gov/ix?doc=/Archives/edgar/data/1539838/000153983823000022/fang-20221231.htm" \l "ia595866015b4400388c840bd76dbe1a1_25"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for the year ended December 31, 2022, filed with the SEC on February 23, 2023 and in subsequent filings we make with the SEC. There have been no material changes in our risk factors from those described in our </w:t>
      </w:r>
      <w:r>
        <w:fldChar w:fldCharType="begin"/>
      </w:r>
      <w:r>
        <w:rPr>
          <w:rStyle w:val="InternetLink"/>
          <w:sz w:val="20"/>
          <w:u w:val="single"/>
          <w:b w:val="false"/>
          <w:rFonts w:ascii="Times New Roman;sans-serif" w:hAnsi="Times New Roman;sans-serif"/>
          <w:color w:val="0000FF"/>
        </w:rPr>
        <w:instrText xml:space="preserve"> HYPERLINK "http://www.sec.gov/ix?doc=/Archives/edgar/data/1539838/000153983823000022/fang-20221231.htm" \l "ia595866015b4400388c840bd76dbe1a1_25"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Repurchases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repurchase activity for the three months ended June 30, 2023 was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14"/>
        <w:gridCol w:w="365"/>
        <w:gridCol w:w="370"/>
        <w:gridCol w:w="109"/>
        <w:gridCol w:w="109"/>
        <w:gridCol w:w="109"/>
        <w:gridCol w:w="498"/>
        <w:gridCol w:w="498"/>
        <w:gridCol w:w="500"/>
        <w:gridCol w:w="109"/>
        <w:gridCol w:w="109"/>
        <w:gridCol w:w="109"/>
        <w:gridCol w:w="289"/>
        <w:gridCol w:w="989"/>
        <w:gridCol w:w="149"/>
        <w:gridCol w:w="109"/>
        <w:gridCol w:w="109"/>
        <w:gridCol w:w="109"/>
        <w:gridCol w:w="743"/>
        <w:gridCol w:w="743"/>
        <w:gridCol w:w="745"/>
        <w:gridCol w:w="109"/>
        <w:gridCol w:w="109"/>
        <w:gridCol w:w="109"/>
        <w:gridCol w:w="555"/>
        <w:gridCol w:w="1625"/>
        <w:gridCol w:w="414"/>
      </w:tblGrid>
      <w:tr>
        <w:trPr/>
        <w:tc>
          <w:tcPr>
            <w:tcW w:w="41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Approximate Dollar Value of Shares that May Yet Be Purchased Under the Plan</w:t>
            </w:r>
            <w:r>
              <w:rPr>
                <w:rFonts w:ascii="Times New Roman;sans-serif" w:hAnsi="Times New Roman;sans-serif"/>
                <w:b/>
                <w:color w:val="000000"/>
                <w:sz w:val="12"/>
              </w:rPr>
              <w:t>(3)</w:t>
            </w:r>
          </w:p>
        </w:tc>
      </w:tr>
      <w:tr>
        <w:trPr/>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 except per share amounts, shares in thousands)</w:t>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2023 - May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2023 -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17,409 shares of common stock repurchased from executives in order to satisfy tax withholding requirements. Such shares are cancelled and retired immediately upon repurchase.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price paid per share includes any commissions paid to repurchase stock.</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(3)In September 2021, the Company’s board of directors authorized a $2.0 billion common stock repurchase program, excluding excise tax. On July 28, 2022, our board of directors approved an increase in our common stock repurchase program from $2.0 billion to $4.0 billion, excluding excise tax. The stock repurchase program has no time limit and may be suspended, modified, or discontinued by the board of directors at any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or terminated a Rule 10b5-1 trading arrangement or a non-Rule 10b5-1 trading arrangement during the Company’s fiscal quarter ended June 30,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ITEM 6.    EXHIBITS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EXHIBIT INDEX</w:t>
      </w:r>
    </w:p>
    <w:tbl>
      <w:tblPr>
        <w:tblW w:w="10205" w:type="dxa"/>
        <w:jc w:val="center"/>
        <w:tblInd w:w="0" w:type="dxa"/>
        <w:tblLayout w:type="fixed"/>
        <w:tblCellMar>
          <w:top w:w="28" w:type="dxa"/>
          <w:left w:w="28" w:type="dxa"/>
          <w:bottom w:w="28" w:type="dxa"/>
          <w:right w:w="28" w:type="dxa"/>
        </w:tblCellMar>
      </w:tblPr>
      <w:tblGrid>
        <w:gridCol w:w="339"/>
        <w:gridCol w:w="297"/>
        <w:gridCol w:w="298"/>
        <w:gridCol w:w="109"/>
        <w:gridCol w:w="109"/>
        <w:gridCol w:w="109"/>
        <w:gridCol w:w="2628"/>
        <w:gridCol w:w="2604"/>
        <w:gridCol w:w="3712"/>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712" w:type="dxa"/>
            <w:tcBorders/>
            <w:vAlign w:val="center"/>
          </w:tcPr>
          <w:p>
            <w:pPr>
              <w:pStyle w:val="TableContents"/>
              <w:bidi w:val="0"/>
              <w:spacing w:before="0" w:after="283"/>
              <w:jc w:val="left"/>
              <w:rPr>
                <w:sz w:val="4"/>
                <w:szCs w:val="4"/>
              </w:rPr>
            </w:pPr>
            <w:r>
              <w:rPr>
                <w:sz w:val="4"/>
                <w:szCs w:val="4"/>
              </w:rPr>
            </w:r>
          </w:p>
        </w:tc>
      </w:tr>
      <w:tr>
        <w:trPr/>
        <w:tc>
          <w:tcPr>
            <w:tcW w:w="9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left"/>
              <w:rPr>
                <w:rFonts w:ascii="Times New Roman;sans-serif" w:hAnsi="Times New Roman;sans-serif"/>
                <w:b/>
                <w:color w:val="000000"/>
                <w:sz w:val="19"/>
              </w:rPr>
            </w:pPr>
            <w:r>
              <w:rPr>
                <w:rFonts w:ascii="Times New Roman;sans-serif" w:hAnsi="Times New Roman;sans-serif"/>
                <w:b/>
                <w:color w:val="000000"/>
                <w:sz w:val="19"/>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left"/>
              <w:rPr>
                <w:rFonts w:ascii="Times New Roman;sans-serif" w:hAnsi="Times New Roman;sans-serif"/>
                <w:b/>
                <w:color w:val="000000"/>
                <w:sz w:val="19"/>
              </w:rPr>
            </w:pPr>
            <w:r>
              <w:rPr>
                <w:rFonts w:ascii="Times New Roman;sans-serif" w:hAnsi="Times New Roman;sans-serif"/>
                <w:b/>
                <w:color w:val="000000"/>
                <w:sz w:val="19"/>
              </w:rPr>
              <w:t>Description</w:t>
            </w:r>
          </w:p>
        </w:tc>
      </w:tr>
      <w:tr>
        <w:trPr/>
        <w:tc>
          <w:tcPr>
            <w:tcW w:w="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19"/>
                  <w:u w:val="single"/>
                </w:rPr>
                <w:t>Agreement and Plan of Merger, dated as of May 15, 2022, by and among Diamondback Energy, Inc., Rattler Midstream GP LLC, Bacchus Merger Sub Company and Rattler Midstream LP (incorporated by reference to Exhibit 2.1 of the Registrant’s Current Report on Form 8-K (File 001-38919) filed on May 16, 2022</w:t>
              </w:r>
            </w:hyperlink>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ans-serif" w:hAnsi="Times New Roman;sans-serif"/>
                  <w:b w:val="false"/>
                  <w:color w:val="000080"/>
                  <w:sz w:val="19"/>
                  <w:u w:val="single"/>
                </w:rPr>
                <w:t xml:space="preserve">Second Amended and Restated Certificate of Incorporation of the Company (incorporated by reference to Exhibit 3.1 to the Form </w:t>
              </w:r>
            </w:hyperlink>
            <w:hyperlink r:id="rId5">
              <w:r>
                <w:rPr>
                  <w:rStyle w:val="InternetLink"/>
                  <w:rFonts w:ascii="Times New Roman;sans-serif" w:hAnsi="Times New Roman;sans-serif"/>
                  <w:b w:val="false"/>
                  <w:color w:val="000080"/>
                  <w:sz w:val="19"/>
                  <w:u w:val="single"/>
                </w:rPr>
                <w:t>8-K</w:t>
              </w:r>
            </w:hyperlink>
            <w:hyperlink r:id="rId6">
              <w:r>
                <w:rPr>
                  <w:rStyle w:val="InternetLink"/>
                  <w:rFonts w:ascii="Times New Roman;sans-serif" w:hAnsi="Times New Roman;sans-serif"/>
                  <w:b w:val="false"/>
                  <w:color w:val="000080"/>
                  <w:sz w:val="19"/>
                  <w:u w:val="single"/>
                </w:rPr>
                <w:t xml:space="preserve">, File No. 001-35700, filed by the Company with the SEC on </w:t>
              </w:r>
            </w:hyperlink>
            <w:hyperlink r:id="rId7">
              <w:r>
                <w:rPr>
                  <w:rStyle w:val="InternetLink"/>
                  <w:rFonts w:ascii="Times New Roman;sans-serif" w:hAnsi="Times New Roman;sans-serif"/>
                  <w:b w:val="false"/>
                  <w:color w:val="000080"/>
                  <w:sz w:val="19"/>
                  <w:u w:val="single"/>
                </w:rPr>
                <w:t>June 14,</w:t>
              </w:r>
            </w:hyperlink>
            <w:hyperlink r:id="rId8">
              <w:r>
                <w:rPr>
                  <w:rStyle w:val="InternetLink"/>
                  <w:rFonts w:ascii="Times New Roman;sans-serif" w:hAnsi="Times New Roman;sans-serif"/>
                  <w:b w:val="false"/>
                  <w:color w:val="000080"/>
                  <w:sz w:val="19"/>
                  <w:u w:val="single"/>
                </w:rPr>
                <w:t xml:space="preserve"> </w:t>
              </w:r>
            </w:hyperlink>
            <w:hyperlink r:id="rId9">
              <w:r>
                <w:rPr>
                  <w:rStyle w:val="InternetLink"/>
                  <w:rFonts w:ascii="Times New Roman;sans-serif" w:hAnsi="Times New Roman;sans-serif"/>
                  <w:b w:val="false"/>
                  <w:color w:val="000080"/>
                  <w:sz w:val="19"/>
                  <w:u w:val="single"/>
                </w:rPr>
                <w:t>2023</w:t>
              </w:r>
            </w:hyperlink>
            <w:hyperlink r:id="rId10">
              <w:r>
                <w:rPr>
                  <w:rStyle w:val="InternetLink"/>
                  <w:rFonts w:ascii="Times New Roman;sans-serif" w:hAnsi="Times New Roman;sans-serif"/>
                  <w:b w:val="false"/>
                  <w:color w:val="000080"/>
                  <w:sz w:val="19"/>
                  <w:u w:val="single"/>
                </w:rPr>
                <w:t>).</w:t>
              </w:r>
            </w:hyperlink>
          </w:p>
        </w:tc>
      </w:tr>
      <w:tr>
        <w:trPr/>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ans-serif" w:hAnsi="Times New Roman;sans-serif"/>
                  <w:b w:val="false"/>
                  <w:color w:val="000080"/>
                  <w:sz w:val="19"/>
                  <w:u w:val="single"/>
                </w:rPr>
                <w:t xml:space="preserve">Fourth Amended and Restated Bylaws of the Company, adopted as of </w:t>
              </w:r>
            </w:hyperlink>
            <w:hyperlink r:id="rId12">
              <w:r>
                <w:rPr>
                  <w:rStyle w:val="InternetLink"/>
                  <w:rFonts w:ascii="Times New Roman;sans-serif" w:hAnsi="Times New Roman;sans-serif"/>
                  <w:b w:val="false"/>
                  <w:color w:val="000080"/>
                  <w:sz w:val="19"/>
                  <w:u w:val="single"/>
                </w:rPr>
                <w:t>June 8, 2023</w:t>
              </w:r>
            </w:hyperlink>
            <w:hyperlink r:id="rId13">
              <w:r>
                <w:rPr>
                  <w:rStyle w:val="InternetLink"/>
                  <w:rFonts w:ascii="Times New Roman;sans-serif" w:hAnsi="Times New Roman;sans-serif"/>
                  <w:b w:val="false"/>
                  <w:color w:val="000080"/>
                  <w:sz w:val="19"/>
                  <w:u w:val="single"/>
                </w:rPr>
                <w:t xml:space="preserve"> (incorporated by reference to Exhibit 3.</w:t>
              </w:r>
            </w:hyperlink>
            <w:hyperlink r:id="rId14">
              <w:r>
                <w:rPr>
                  <w:rStyle w:val="InternetLink"/>
                  <w:rFonts w:ascii="Times New Roman;sans-serif" w:hAnsi="Times New Roman;sans-serif"/>
                  <w:b w:val="false"/>
                  <w:color w:val="000080"/>
                  <w:sz w:val="19"/>
                  <w:u w:val="single"/>
                </w:rPr>
                <w:t>2</w:t>
              </w:r>
            </w:hyperlink>
            <w:hyperlink r:id="rId15">
              <w:r>
                <w:rPr>
                  <w:rStyle w:val="InternetLink"/>
                  <w:rFonts w:ascii="Times New Roman;sans-serif" w:hAnsi="Times New Roman;sans-serif"/>
                  <w:b w:val="false"/>
                  <w:color w:val="000080"/>
                  <w:sz w:val="19"/>
                  <w:u w:val="single"/>
                </w:rPr>
                <w:t xml:space="preserve"> to the Form 8-K, File No. 001-35700, filed by the Company with the SEC on </w:t>
              </w:r>
            </w:hyperlink>
            <w:hyperlink r:id="rId16">
              <w:r>
                <w:rPr>
                  <w:rStyle w:val="InternetLink"/>
                  <w:rFonts w:ascii="Times New Roman;sans-serif" w:hAnsi="Times New Roman;sans-serif"/>
                  <w:b w:val="false"/>
                  <w:color w:val="000080"/>
                  <w:sz w:val="19"/>
                  <w:u w:val="single"/>
                </w:rPr>
                <w:t>June 14, 2023</w:t>
              </w:r>
            </w:hyperlink>
            <w:hyperlink r:id="rId17">
              <w:r>
                <w:rPr>
                  <w:rStyle w:val="InternetLink"/>
                  <w:rFonts w:ascii="Times New Roman;sans-serif" w:hAnsi="Times New Roman;sans-serif"/>
                  <w:b w:val="false"/>
                  <w:color w:val="000080"/>
                  <w:sz w:val="19"/>
                  <w:u w:val="single"/>
                </w:rPr>
                <w:t>).</w:t>
              </w:r>
            </w:hyperlink>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ans-serif" w:hAnsi="Times New Roman;sans-serif"/>
                  <w:b w:val="false"/>
                  <w:color w:val="0000FF"/>
                  <w:sz w:val="19"/>
                  <w:u w:val="single"/>
                </w:rPr>
                <w:t>Specimen certificate for shares of common stock, par value $0.01 per share, of the Company (incorporated by reference to Exhibit 4.1 to Amendment No. 4 to the Registration Statement on Form S-1, File No. 333-179502, filed by the Company with the SEC on August 20, 2012).</w:t>
              </w:r>
            </w:hyperlink>
          </w:p>
        </w:tc>
      </w:tr>
      <w:tr>
        <w:trPr/>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19"/>
                  <w:u w:val="single"/>
                </w:rPr>
                <w:t>Registration Rights Agreement, dated as of February 26, 2021, by and among the Company, Guidon Operating LLC and Guidon Energy Holdings LP (incorporated by reference to Exhibit 4.3 to the Company’s Registration Statement on Form S-3, File No. 333-255731, filed by the Company with the SEC on May 3, 2021.</w:t>
              </w:r>
            </w:hyperlink>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19"/>
                  <w:u w:val="single"/>
                </w:rPr>
                <w:t>Letter Agreement, dated as of April 27, 2021, by and among the Company, Guidon Operating LLC and Guidon Energy Holdings LP relating to the Registration Rights Agreement referenced as Exhibit 4.2 hereto (incorporated by reference to Exhibit 4.4 to the Company’s Registration Statement on Form S-3, File No. 333-255731, filed by the Company with the SEC on May 3, 2021).</w:t>
              </w:r>
            </w:hyperlink>
          </w:p>
        </w:tc>
      </w:tr>
      <w:tr>
        <w:trPr/>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19"/>
                  <w:u w:val="single"/>
                </w:rPr>
                <w:t>Tenth Amendment to Amended and Restated Senior Secured Revolving Credit Agreement and Second Amendment to Guaranty and Collateral Agreement, dated as of May 31, 2023, by and among Viper Energy Partners LLC, as borrower, Viper Energy Partners LP, as parent guarantor, Wells Fargo Bank, National Association, as administrative agent, and the lenders party thereto (incorporated by reference to Exhibit 10.1 to Viper Energy Partners LP’s Current Report on Form 8-K (File No. 001-36505) filed on June 6, 2023).</w:t>
              </w:r>
            </w:hyperlink>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ans-serif" w:hAnsi="Times New Roman;sans-serif"/>
                  <w:b w:val="false"/>
                  <w:color w:val="0000FF"/>
                  <w:sz w:val="19"/>
                  <w:u w:val="single"/>
                </w:rPr>
                <w:t>List of Issuers and Guarantor Subsidiaries (incorporated by reference to Exhibit 22.1 to the Form 10-Q, File No. 001-35700, filed by the Company with the SEC on August 5, 2021).</w:t>
              </w:r>
            </w:hyperlink>
          </w:p>
        </w:tc>
      </w:tr>
      <w:tr>
        <w:trPr/>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22023diamondback10-qxex311.htm">
              <w:r>
                <w:rPr>
                  <w:rStyle w:val="InternetLink"/>
                  <w:rFonts w:ascii="Times New Roman;sans-serif" w:hAnsi="Times New Roman;sans-serif"/>
                  <w:b w:val="false"/>
                  <w:color w:val="0000FF"/>
                  <w:sz w:val="19"/>
                  <w:u w:val="single"/>
                </w:rPr>
                <w:t>Certification of Chief Executive Officer of the Registrant pursuant to Rule 13a-14(a) promulgated under the Securities Exchange Act of 1934, as amended.</w:t>
              </w:r>
            </w:hyperlink>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22023diamondback10-qxex312.htm">
              <w:r>
                <w:rPr>
                  <w:rStyle w:val="InternetLink"/>
                  <w:rFonts w:ascii="Times New Roman;sans-serif" w:hAnsi="Times New Roman;sans-serif"/>
                  <w:b w:val="false"/>
                  <w:color w:val="0000FF"/>
                  <w:sz w:val="19"/>
                  <w:u w:val="single"/>
                </w:rPr>
                <w:t>Certification of Chief Financial Officer of the Registrant pursuant to Rule 13a-14(a) promulgated under the Securities Exchange Act of 1934, as amended.</w:t>
              </w:r>
            </w:hyperlink>
          </w:p>
        </w:tc>
      </w:tr>
      <w:tr>
        <w:trPr/>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22023diamondback10-qxex321.htm">
              <w:r>
                <w:rPr>
                  <w:rStyle w:val="InternetLink"/>
                  <w:rFonts w:ascii="Times New Roman;sans-serif" w:hAnsi="Times New Roman;sans-serif"/>
                  <w:b w:val="false"/>
                  <w:color w:val="0000FF"/>
                  <w:sz w:val="19"/>
                  <w:u w:val="single"/>
                </w:rPr>
                <w:t>Certification of Chief Executive Officer of the Registrant pursuant to Rule 13a-14(b) promulgated under the Securities Exchange Act of 1934, as amended, and Section 1350 of Chapter 63 of Title 18 of the United States Code.</w:t>
              </w:r>
            </w:hyperlink>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22023diamondback10-qxex322.htm">
              <w:r>
                <w:rPr>
                  <w:rStyle w:val="InternetLink"/>
                  <w:rFonts w:ascii="Times New Roman;sans-serif" w:hAnsi="Times New Roman;sans-serif"/>
                  <w:b w:val="false"/>
                  <w:color w:val="0000FF"/>
                  <w:sz w:val="19"/>
                  <w:u w:val="single"/>
                </w:rPr>
                <w:t>Certification of Chief Financial Officer of the Registrant pursuant to Rule 13a-14(b) promulgated under the Securities Exchange Act of 1934, as amended, and Section 1350 of Chapter 63 of Title 18 of the United States Code.</w:t>
              </w:r>
            </w:hyperlink>
          </w:p>
        </w:tc>
      </w:tr>
      <w:tr>
        <w:trPr/>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following financial information from the Company’s Quarterly Report on Form 10-Q for the quarter ended June 30, 2023, formatted in Inline XBRL: (i) Condensed Consolidated Balance Sheets, (ii) Condensed Consolidated Statements of Operations, (iii) Condensed Consolidated Statement of Changes in Stockholders’ Equity, (iv) Condensed Consolidated Statements of Cash Flows and (v) Condensed Notes to Consolidated Financial Statements.</w:t>
            </w:r>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19"/>
              </w:rPr>
            </w:pPr>
            <w:r>
              <w:rPr>
                <w:rFonts w:ascii="Times New Roman;sans-serif" w:hAnsi="Times New Roman;sans-serif"/>
                <w:b w:val="false"/>
                <w:color w:val="000000"/>
                <w:sz w:val="19"/>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59795c0e8eb4552b519a4f22160d63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4798"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847"/>
        <w:gridCol w:w="847"/>
        <w:gridCol w:w="120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Travis D. Stice,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Diamondback Energy, Inc.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344"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Kaes Van't Hof,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Diamondback Energy, Inc.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285"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588"/>
        <w:gridCol w:w="588"/>
        <w:gridCol w:w="83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Diamondback Energy, Inc. (the "Company"), as filed with the Securities and Exchange Commission on the date hereof (the "Report"), I, the undersigned, Travis D. Stice, Chief Executive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344"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Diamondback Energy, Inc. (the "Company"), as filed with the Securities and Exchange Commission on the date hereof (the "Report"), I, the undersigned, Kaes Van't Hof, Chief Financial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285"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588"/>
        <w:gridCol w:w="588"/>
        <w:gridCol w:w="83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3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539838/000153983823000022/fang-20221231.htm" TargetMode="External"/><Relationship Id="rId3" Type="http://schemas.openxmlformats.org/officeDocument/2006/relationships/hyperlink" Target="https://www.sec.gov/Archives/edgar/data/1748773/000119312522151937/d360984dex21.htm" TargetMode="External"/><Relationship Id="rId4" Type="http://schemas.openxmlformats.org/officeDocument/2006/relationships/hyperlink" Target="http://www.sec.gov/Archives/edgar/data/1539838/000153983823000086/diamondbackex31-6x14x23.htm" TargetMode="External"/><Relationship Id="rId5" Type="http://schemas.openxmlformats.org/officeDocument/2006/relationships/hyperlink" Target="http://www.sec.gov/Archives/edgar/data/1539838/000153983823000086/diamondbackex31-6x14x23.htm" TargetMode="External"/><Relationship Id="rId6" Type="http://schemas.openxmlformats.org/officeDocument/2006/relationships/hyperlink" Target="http://www.sec.gov/Archives/edgar/data/1539838/000153983823000086/diamondbackex31-6x14x23.htm" TargetMode="External"/><Relationship Id="rId7" Type="http://schemas.openxmlformats.org/officeDocument/2006/relationships/hyperlink" Target="http://www.sec.gov/Archives/edgar/data/1539838/000153983823000086/diamondbackex31-6x14x23.htm" TargetMode="External"/><Relationship Id="rId8" Type="http://schemas.openxmlformats.org/officeDocument/2006/relationships/hyperlink" Target="http://www.sec.gov/Archives/edgar/data/1539838/000153983823000086/diamondbackex31-6x14x23.htm" TargetMode="External"/><Relationship Id="rId9" Type="http://schemas.openxmlformats.org/officeDocument/2006/relationships/hyperlink" Target="http://www.sec.gov/Archives/edgar/data/1539838/000153983823000086/diamondbackex31-6x14x23.htm" TargetMode="External"/><Relationship Id="rId10" Type="http://schemas.openxmlformats.org/officeDocument/2006/relationships/hyperlink" Target="http://www.sec.gov/Archives/edgar/data/1539838/000153983823000086/diamondbackex31-6x14x23.htm" TargetMode="External"/><Relationship Id="rId11" Type="http://schemas.openxmlformats.org/officeDocument/2006/relationships/hyperlink" Target="http://www.sec.gov/Archives/edgar/data/1539838/000153983823000086/diamondbackex32-6x14x23.htm" TargetMode="External"/><Relationship Id="rId12" Type="http://schemas.openxmlformats.org/officeDocument/2006/relationships/hyperlink" Target="http://www.sec.gov/Archives/edgar/data/1539838/000153983823000086/diamondbackex32-6x14x23.htm" TargetMode="External"/><Relationship Id="rId13" Type="http://schemas.openxmlformats.org/officeDocument/2006/relationships/hyperlink" Target="http://www.sec.gov/Archives/edgar/data/1539838/000153983823000086/diamondbackex32-6x14x23.htm" TargetMode="External"/><Relationship Id="rId14" Type="http://schemas.openxmlformats.org/officeDocument/2006/relationships/hyperlink" Target="http://www.sec.gov/Archives/edgar/data/1539838/000153983823000086/diamondbackex32-6x14x23.htm" TargetMode="External"/><Relationship Id="rId15" Type="http://schemas.openxmlformats.org/officeDocument/2006/relationships/hyperlink" Target="http://www.sec.gov/Archives/edgar/data/1539838/000153983823000086/diamondbackex32-6x14x23.htm" TargetMode="External"/><Relationship Id="rId16" Type="http://schemas.openxmlformats.org/officeDocument/2006/relationships/hyperlink" Target="http://www.sec.gov/Archives/edgar/data/1539838/000153983823000086/diamondbackex32-6x14x23.htm" TargetMode="External"/><Relationship Id="rId17" Type="http://schemas.openxmlformats.org/officeDocument/2006/relationships/hyperlink" Target="http://www.sec.gov/Archives/edgar/data/1539838/000153983823000086/diamondbackex32-6x14x23.htm" TargetMode="External"/><Relationship Id="rId18" Type="http://schemas.openxmlformats.org/officeDocument/2006/relationships/hyperlink" Target="http://www.sec.gov/Archives/edgar/data/1539838/000119312512360997/d295327dex41.htm" TargetMode="External"/><Relationship Id="rId19" Type="http://schemas.openxmlformats.org/officeDocument/2006/relationships/hyperlink" Target="https://www.sec.gov/Archives/edgar/data/1539838/000119312521148164/d301323dex43.htm" TargetMode="External"/><Relationship Id="rId20" Type="http://schemas.openxmlformats.org/officeDocument/2006/relationships/hyperlink" Target="https://www.sec.gov/Archives/edgar/data/1539838/000119312521148164/d301323dex44.htm" TargetMode="External"/><Relationship Id="rId21" Type="http://schemas.openxmlformats.org/officeDocument/2006/relationships/hyperlink" Target="http://www.sec.gov/Archives/edgar/data/1602065/000160206523000024/viperex101-6x6x22.htm" TargetMode="External"/><Relationship Id="rId22" Type="http://schemas.openxmlformats.org/officeDocument/2006/relationships/hyperlink" Target="https://www.sec.gov/Archives/edgar/data/1539838/000153983821000117/diamondback-ex211x821.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24855</Words>
  <Characters>133970</Characters>
  <CharactersWithSpaces>156655</CharactersWithSpaces>
  <Paragraphs>4038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