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001-35700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 xml:space="preserve">Diamondback Energy,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Securities registered pursuant to Section 12(b) of the Securities Exchange Act of 1934:</w:t>
      </w:r>
    </w:p>
    <w:tbl>
      <w:tblPr>
        <w:tblW w:w="6493" w:type="dxa"/>
        <w:jc w:val="center"/>
        <w:tblInd w:w="0" w:type="dxa"/>
        <w:tblLayout w:type="fixed"/>
        <w:tblCellMar>
          <w:top w:w="28" w:type="dxa"/>
          <w:left w:w="28" w:type="dxa"/>
          <w:bottom w:w="28" w:type="dxa"/>
          <w:right w:w="28" w:type="dxa"/>
        </w:tblCellMar>
      </w:tblPr>
      <w:tblGrid>
        <w:gridCol w:w="526"/>
        <w:gridCol w:w="463"/>
        <w:gridCol w:w="466"/>
        <w:gridCol w:w="519"/>
        <w:gridCol w:w="519"/>
        <w:gridCol w:w="521"/>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 xml:space="preserve">No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 xml:space="preserve">No  ☐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81"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Yes  ☐     No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April 26, 2024, the registrant had 178,343,733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2024 </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20" w:type="dxa"/>
        <w:jc w:val="left"/>
        <w:tblInd w:w="0" w:type="dxa"/>
        <w:tblLayout w:type="fixed"/>
        <w:tblCellMar>
          <w:top w:w="28" w:type="dxa"/>
          <w:left w:w="28" w:type="dxa"/>
          <w:bottom w:w="28" w:type="dxa"/>
          <w:right w:w="28" w:type="dxa"/>
        </w:tblCellMar>
      </w:tblPr>
      <w:tblGrid>
        <w:gridCol w:w="2889"/>
        <w:gridCol w:w="2540"/>
        <w:gridCol w:w="2550"/>
        <w:gridCol w:w="158"/>
        <w:gridCol w:w="158"/>
        <w:gridCol w:w="225"/>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0">
              <w:r>
                <w:rPr>
                  <w:rStyle w:val="InternetLink"/>
                  <w:rFonts w:ascii="Times New Roman;sans-serif" w:hAnsi="Times New Roman;sans-serif"/>
                  <w:b w:val="false"/>
                  <w:color w:val="0000FF"/>
                  <w:sz w:val="20"/>
                  <w:u w:val="single"/>
                </w:rPr>
                <w:t>Glossary of Oil and Natural Gas Terms</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f356e22aca5d43fda4d5672a01ecddc5_10">
              <w:r>
                <w:rPr>
                  <w:rStyle w:val="InternetLink"/>
                  <w:rFonts w:ascii="Times New Roman;sans-serif" w:hAnsi="Times New Roman;sans-serif"/>
                  <w:b w:val="false"/>
                  <w:color w:val="0000FF"/>
                  <w:sz w:val="20"/>
                  <w:u w:val="single"/>
                </w:rPr>
                <w:t>ii</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3">
              <w:r>
                <w:rPr>
                  <w:rStyle w:val="InternetLink"/>
                  <w:rFonts w:ascii="Times New Roman;sans-serif" w:hAnsi="Times New Roman;sans-serif"/>
                  <w:b w:val="false"/>
                  <w:color w:val="0000FF"/>
                  <w:sz w:val="20"/>
                  <w:u w:val="single"/>
                </w:rPr>
                <w:t>Glossary of Certain Other Terms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3">
              <w:r>
                <w:rPr>
                  <w:rStyle w:val="InternetLink"/>
                  <w:rFonts w:ascii="Times New Roman;sans-serif" w:hAnsi="Times New Roman;sans-serif"/>
                  <w:b w:val="false"/>
                  <w:color w:val="0000FF"/>
                  <w:sz w:val="20"/>
                  <w:u w:val="single"/>
                </w:rPr>
                <w:t>iii</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6">
              <w:r>
                <w:rPr>
                  <w:rStyle w:val="InternetLink"/>
                  <w:rFonts w:ascii="Times New Roman;sans-serif" w:hAnsi="Times New Roman;sans-serif"/>
                  <w:b w:val="false"/>
                  <w:color w:val="0000FF"/>
                  <w:sz w:val="20"/>
                  <w:u w:val="single"/>
                </w:rPr>
                <w:t>Cautionary Statement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6">
              <w:r>
                <w:rPr>
                  <w:rStyle w:val="InternetLink"/>
                  <w:rFonts w:ascii="Times New Roman;sans-serif" w:hAnsi="Times New Roman;sans-serif"/>
                  <w:b w:val="false"/>
                  <w:color w:val="0000FF"/>
                  <w:sz w:val="20"/>
                  <w:u w:val="single"/>
                </w:rPr>
                <w:t>iv</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9">
              <w:r>
                <w:rPr>
                  <w:rStyle w:val="InternetLink"/>
                  <w:rFonts w:ascii="Times New Roman;sans-serif" w:hAnsi="Times New Roman;sans-serif"/>
                  <w:b/>
                  <w:color w:val="0000FF"/>
                  <w:sz w:val="20"/>
                  <w:u w:val="single"/>
                </w:rPr>
                <w:t>PART I. FINANCIAL INFORMATION</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9">
              <w:r>
                <w:rPr>
                  <w:rStyle w:val="InternetLink"/>
                  <w:rFonts w:ascii="Times New Roman;sans-serif" w:hAnsi="Times New Roman;sans-serif"/>
                  <w:b w:val="false"/>
                  <w:color w:val="0000FF"/>
                  <w:sz w:val="20"/>
                  <w:u w:val="single"/>
                </w:rPr>
                <w:t>Item 1. Condensed Consolidated Financial Statements (Unaudited)</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25">
              <w:r>
                <w:rPr>
                  <w:rStyle w:val="InternetLink"/>
                  <w:rFonts w:ascii="Times New Roman;sans-serif" w:hAnsi="Times New Roman;sans-serif"/>
                  <w:b w:val="false"/>
                  <w:color w:val="0000FF"/>
                  <w:sz w:val="20"/>
                  <w:u w:val="single"/>
                </w:rPr>
                <w:t>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25">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25">
              <w:r>
                <w:rPr>
                  <w:rStyle w:val="InternetLink"/>
                  <w:rFonts w:ascii="Times New Roman;sans-serif" w:hAnsi="Times New Roman;sans-serif"/>
                  <w:b w:val="false"/>
                  <w:color w:val="0000FF"/>
                  <w:sz w:val="20"/>
                  <w:u w:val="single"/>
                </w:rPr>
                <w:t>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28">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28">
              <w:r>
                <w:rPr>
                  <w:rStyle w:val="InternetLink"/>
                  <w:rFonts w:ascii="Times New Roman;sans-serif" w:hAnsi="Times New Roman;sans-serif"/>
                  <w:b w:val="false"/>
                  <w:color w:val="0000FF"/>
                  <w:sz w:val="20"/>
                  <w:u w:val="single"/>
                </w:rPr>
                <w:t>2</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31">
              <w:r>
                <w:rPr>
                  <w:rStyle w:val="InternetLink"/>
                  <w:rFonts w:ascii="Times New Roman;sans-serif" w:hAnsi="Times New Roman;sans-serif"/>
                  <w:b w:val="false"/>
                  <w:color w:val="0000FF"/>
                  <w:sz w:val="20"/>
                  <w:u w:val="single"/>
                </w:rPr>
                <w:t>Condensed Consolidated Statements of Stockholders’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31">
              <w:r>
                <w:rPr>
                  <w:rStyle w:val="InternetLink"/>
                  <w:rFonts w:ascii="Times New Roman;sans-serif" w:hAnsi="Times New Roman;sans-serif"/>
                  <w:b w:val="false"/>
                  <w:color w:val="0000FF"/>
                  <w:sz w:val="20"/>
                  <w:u w:val="single"/>
                </w:rPr>
                <w:t>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34">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34">
              <w:r>
                <w:rPr>
                  <w:rStyle w:val="InternetLink"/>
                  <w:rFonts w:ascii="Times New Roman;sans-serif" w:hAnsi="Times New Roman;sans-serif"/>
                  <w:b w:val="false"/>
                  <w:color w:val="0000FF"/>
                  <w:sz w:val="20"/>
                  <w:u w:val="single"/>
                </w:rPr>
                <w:t>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37">
              <w:r>
                <w:rPr>
                  <w:rStyle w:val="InternetLink"/>
                  <w:rFonts w:ascii="Times New Roman;sans-serif" w:hAnsi="Times New Roman;sans-serif"/>
                  <w:b w:val="false"/>
                  <w:color w:val="0000FF"/>
                  <w:sz w:val="20"/>
                  <w:u w:val="single"/>
                </w:rPr>
                <w:t>Condensed 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37">
              <w:r>
                <w:rPr>
                  <w:rStyle w:val="InternetLink"/>
                  <w:rFonts w:ascii="Times New Roman;sans-serif" w:hAnsi="Times New Roman;sans-serif"/>
                  <w:b w:val="false"/>
                  <w:color w:val="0000FF"/>
                  <w:sz w:val="20"/>
                  <w:u w:val="singl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8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88">
              <w:r>
                <w:rPr>
                  <w:rStyle w:val="InternetLink"/>
                  <w:rFonts w:ascii="Times New Roman;sans-serif" w:hAnsi="Times New Roman;sans-serif"/>
                  <w:b w:val="false"/>
                  <w:color w:val="0000FF"/>
                  <w:sz w:val="20"/>
                  <w:u w:val="single"/>
                </w:rPr>
                <w:t>26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42">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42">
              <w:r>
                <w:rPr>
                  <w:rStyle w:val="InternetLink"/>
                  <w:rFonts w:ascii="Times New Roman;sans-serif" w:hAnsi="Times New Roman;sans-serif"/>
                  <w:b w:val="false"/>
                  <w:color w:val="0000FF"/>
                  <w:sz w:val="20"/>
                  <w:u w:val="single"/>
                </w:rPr>
                <w:t>42</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45">
              <w:r>
                <w:rPr>
                  <w:rStyle w:val="InternetLink"/>
                  <w:rFonts w:ascii="Times New Roman;sans-serif" w:hAnsi="Times New Roman;sans-serif"/>
                  <w:b w:val="false"/>
                  <w:color w:val="0000FF"/>
                  <w:sz w:val="20"/>
                  <w:u w:val="singl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45">
              <w:r>
                <w:rPr>
                  <w:rStyle w:val="InternetLink"/>
                  <w:rFonts w:ascii="Times New Roman;sans-serif" w:hAnsi="Times New Roman;sans-serif"/>
                  <w:b w:val="false"/>
                  <w:color w:val="0000FF"/>
                  <w:sz w:val="20"/>
                  <w:u w:val="single"/>
                </w:rPr>
                <w:t>43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48">
              <w:r>
                <w:rPr>
                  <w:rStyle w:val="InternetLink"/>
                  <w:rFonts w:ascii="Times New Roman;sans-serif" w:hAnsi="Times New Roman;sans-serif"/>
                  <w:b/>
                  <w:color w:val="0000FF"/>
                  <w:sz w:val="20"/>
                  <w:u w:val="single"/>
                </w:rPr>
                <w:t>PART II. OTHER INFORMATION</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51">
              <w:r>
                <w:rPr>
                  <w:rStyle w:val="InternetLink"/>
                  <w:rFonts w:ascii="Times New Roman;sans-serif" w:hAnsi="Times New Roman;sans-serif"/>
                  <w:b w:val="false"/>
                  <w:color w:val="0000FF"/>
                  <w:sz w:val="20"/>
                  <w:u w:val="singl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51">
              <w:r>
                <w:rPr>
                  <w:rStyle w:val="InternetLink"/>
                  <w:rFonts w:ascii="Times New Roman;sans-serif" w:hAnsi="Times New Roman;sans-serif"/>
                  <w:b w:val="false"/>
                  <w:color w:val="0000FF"/>
                  <w:sz w:val="20"/>
                  <w:u w:val="single"/>
                </w:rPr>
                <w:t>44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54">
              <w:r>
                <w:rPr>
                  <w:rStyle w:val="InternetLink"/>
                  <w:rFonts w:ascii="Times New Roman;sans-serif" w:hAnsi="Times New Roman;sans-serif"/>
                  <w:b w:val="false"/>
                  <w:color w:val="0000FF"/>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54">
              <w:r>
                <w:rPr>
                  <w:rStyle w:val="InternetLink"/>
                  <w:rFonts w:ascii="Times New Roman;sans-serif" w:hAnsi="Times New Roman;sans-serif"/>
                  <w:b w:val="false"/>
                  <w:color w:val="0000FF"/>
                  <w:sz w:val="20"/>
                  <w:u w:val="single"/>
                </w:rPr>
                <w:t>44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57">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57">
              <w:r>
                <w:rPr>
                  <w:rStyle w:val="InternetLink"/>
                  <w:rFonts w:ascii="Times New Roman;sans-serif" w:hAnsi="Times New Roman;sans-serif"/>
                  <w:b w:val="false"/>
                  <w:color w:val="0000FF"/>
                  <w:sz w:val="20"/>
                  <w:u w:val="single"/>
                </w:rPr>
                <w:t>44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60">
              <w:r>
                <w:rPr>
                  <w:rStyle w:val="InternetLink"/>
                  <w:rFonts w:ascii="Times New Roman;sans-serif" w:hAnsi="Times New Roman;sans-serif"/>
                  <w:b w:val="false"/>
                  <w:color w:val="0000FF"/>
                  <w:sz w:val="20"/>
                  <w:u w:val="singl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60">
              <w:r>
                <w:rPr>
                  <w:rStyle w:val="InternetLink"/>
                  <w:rFonts w:ascii="Times New Roman;sans-serif" w:hAnsi="Times New Roman;sans-serif"/>
                  <w:b w:val="false"/>
                  <w:color w:val="0000FF"/>
                  <w:sz w:val="20"/>
                  <w:u w:val="single"/>
                </w:rPr>
                <w:t>44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66">
              <w:r>
                <w:rPr>
                  <w:rStyle w:val="InternetLink"/>
                  <w:rFonts w:ascii="Times New Roman;sans-serif" w:hAnsi="Times New Roman;sans-serif"/>
                  <w:b w:val="false"/>
                  <w:color w:val="0000FF"/>
                  <w:sz w:val="20"/>
                  <w:u w:val="single"/>
                </w:rPr>
                <w:t>Item 6. 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66">
              <w:r>
                <w:rPr>
                  <w:rStyle w:val="InternetLink"/>
                  <w:rFonts w:ascii="Times New Roman;sans-serif" w:hAnsi="Times New Roman;sans-serif"/>
                  <w:b w:val="false"/>
                  <w:color w:val="0000FF"/>
                  <w:sz w:val="20"/>
                  <w:u w:val="single"/>
                </w:rPr>
                <w:t>45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356e22aca5d43fda4d5672a01ecddc5_169">
              <w:r>
                <w:rPr>
                  <w:rStyle w:val="InternetLink"/>
                  <w:rFonts w:ascii="Times New Roman;sans-serif" w:hAnsi="Times New Roman;sans-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f356e22aca5d43fda4d5672a01ecddc5_169">
              <w:r>
                <w:rPr>
                  <w:rStyle w:val="InternetLink"/>
                  <w:rFonts w:ascii="Times New Roman;sans-serif" w:hAnsi="Times New Roman;sans-serif"/>
                  <w:b w:val="false"/>
                  <w:color w:val="0000FF"/>
                  <w:sz w:val="20"/>
                  <w:u w:val="single"/>
                </w:rPr>
                <w:t>46</w:t>
              </w:r>
            </w:hyperlink>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that are used in this Quarterly Report on Form 10-Q (this “report”):</w:t>
      </w:r>
    </w:p>
    <w:tbl>
      <w:tblPr>
        <w:tblW w:w="10205" w:type="dxa"/>
        <w:jc w:val="left"/>
        <w:tblInd w:w="0" w:type="dxa"/>
        <w:tblLayout w:type="fixed"/>
        <w:tblCellMar>
          <w:top w:w="28" w:type="dxa"/>
          <w:left w:w="28" w:type="dxa"/>
          <w:bottom w:w="28" w:type="dxa"/>
          <w:right w:w="28" w:type="dxa"/>
        </w:tblCellMar>
      </w:tblPr>
      <w:tblGrid>
        <w:gridCol w:w="512"/>
        <w:gridCol w:w="286"/>
        <w:gridCol w:w="288"/>
        <w:gridCol w:w="2871"/>
        <w:gridCol w:w="2578"/>
        <w:gridCol w:w="3670"/>
      </w:tblGrid>
      <w:tr>
        <w:trPr/>
        <w:tc>
          <w:tcPr>
            <w:tcW w:w="5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Houston</w:t>
            </w:r>
          </w:p>
        </w:tc>
        <w:tc>
          <w:tcPr>
            <w:tcW w:w="9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Houston, Texas.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Midland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Midland, Texas.</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Basin</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large depression on the earth’s surface in which sediments accumulate.</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Bbl or barrel</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stock tank barrel, or 42 U.S. gallons liquid volume, used in this report in reference to crude oil or other liquid hydrocarbons.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BO per day.</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oil equivalent, with six thousand cubic feet of natural gas being equivalent to one barrel of oil.</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BOE per day.</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Brent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major trading classification of light sweet oil that serves as a benchmark price for oil worldwide.</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British Thermal Unit or Btu</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quantity of heat required to raise the temperature of one pound of water by one degree Fahrenheit.</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Completion</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acres or gross wells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total acres or wells, as the case may be, in which a working interest is owned.</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Henry Hub</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futures on the NYMEX.</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wells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Wells drilled directionally horizontal to allow for development of structures not reachable through traditional vertical drilling mechanisms.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MBbl</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and other liquid hydrocarbons.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MBOE/d</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 per day.</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Mcf</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cubic feet of natural gas.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Mineral interests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interests in ownership of the resource and mineral rights, giving an owner the right to profit from the extracted resources.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MMBtu</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acres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sum of the fractional working interest owned in gross acres.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Tracts of land consisting of properties to be developed for oil and natural gas resource extraction.</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reserves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Reservoir</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interest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interest that gives an owner the right to receive a portion of the resources or revenues without having to carry any costs of development, which may be subject to expiration.</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Waha Hub</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western Texas and New Mexico.</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interest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0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w:t>
            </w:r>
          </w:p>
        </w:tc>
        <w:tc>
          <w:tcPr>
            <w:tcW w:w="91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West Texas Intermediate, a light sweet blend of oil produced from fields in western Texas and is a grade of oil that serves as a benchmark for oil on the NYMEX.</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Layout w:type="fixed"/>
        <w:tblCellMar>
          <w:top w:w="28" w:type="dxa"/>
          <w:left w:w="28" w:type="dxa"/>
          <w:bottom w:w="28" w:type="dxa"/>
          <w:right w:w="28" w:type="dxa"/>
        </w:tblCellMar>
      </w:tblPr>
      <w:tblGrid>
        <w:gridCol w:w="533"/>
        <w:gridCol w:w="456"/>
        <w:gridCol w:w="338"/>
        <w:gridCol w:w="2691"/>
        <w:gridCol w:w="2557"/>
        <w:gridCol w:w="3630"/>
      </w:tblGrid>
      <w:tr>
        <w:trPr/>
        <w:tc>
          <w:tcPr>
            <w:tcW w:w="53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Plan</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Company’s 2021 Amended and Restated Equity Incentive Plan.</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Senior Notes</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3.250% Senior Notes due 2026, 3.500% Senior Notes due 2029, 3.125% Senior Notes due 2031, 6.250% Senior Notes due 2033, 4.400% Senior Notes due 2051, 4.250% Senior Notes due 2052 and 6.250% Senior Notes due 2053.</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Inc.</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LLC</w:t>
            </w:r>
          </w:p>
        </w:tc>
        <w:tc>
          <w:tcPr>
            <w:tcW w:w="887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subsidiary of Viper.</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the factors discussed in this report and detailed under </w:t>
      </w:r>
      <w:hyperlink w:anchor="if356e22aca5d43fda4d5672a01ecddc5_154">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in this report and our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 and concerns over a potential economic downturn or recession;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 xml:space="preserve">lack of, or disruption in, access to adequate and reliable transportation, processing, storage and other facilities for our oil, natural gas and natural gas liquids;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 xml:space="preserve">changes in our credit rating; </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risks related to the pending Endeavor Acquisition (as defined below);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24"/>
        <w:gridCol w:w="2325"/>
        <w:gridCol w:w="2298"/>
        <w:gridCol w:w="228"/>
        <w:gridCol w:w="754"/>
        <w:gridCol w:w="127"/>
        <w:gridCol w:w="127"/>
        <w:gridCol w:w="127"/>
        <w:gridCol w:w="127"/>
        <w:gridCol w:w="228"/>
        <w:gridCol w:w="754"/>
        <w:gridCol w:w="186"/>
      </w:tblGrid>
      <w:tr>
        <w:trPr/>
        <w:tc>
          <w:tcPr>
            <w:tcW w:w="2924"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Diamondback Energy,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values and share data)</w:t>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2658"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Oil and natural gas sales, net ($132 million and $109 million related to Viper) </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 receivable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($8,455 million and $8,659 million excluded from amortization at March 31, 2024 and December 31, 2023, respectively) ($4,649 million and $4,629 million and $1,719 million and $1,769 million excluded from amortization related to Viper)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Accumulated depletion, depreciation, amortization and impairment ($913 million and $866 million related to Viper)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(16,429)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27,024 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26,674 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real estate,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29,690 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 ($1,094 million and $1,083 million related to Viper)</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6,629 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15)</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400,000,000 shares authorized; 178,339,978 and 178,723,871 shares issued and outstanding at March 31, 2024 and December 31, 2023, respectively</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16,950 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16,625 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18,019 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29,690 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29,001 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195" w:type="dxa"/>
        <w:jc w:val="left"/>
        <w:tblInd w:w="0" w:type="dxa"/>
        <w:tblLayout w:type="fixed"/>
        <w:tblCellMar>
          <w:top w:w="28" w:type="dxa"/>
          <w:left w:w="28" w:type="dxa"/>
          <w:bottom w:w="28" w:type="dxa"/>
          <w:right w:w="28" w:type="dxa"/>
        </w:tblCellMar>
      </w:tblPr>
      <w:tblGrid>
        <w:gridCol w:w="1703"/>
        <w:gridCol w:w="1495"/>
        <w:gridCol w:w="1511"/>
        <w:gridCol w:w="109"/>
        <w:gridCol w:w="109"/>
        <w:gridCol w:w="243"/>
        <w:gridCol w:w="243"/>
        <w:gridCol w:w="663"/>
        <w:gridCol w:w="1938"/>
        <w:gridCol w:w="342"/>
        <w:gridCol w:w="153"/>
        <w:gridCol w:w="153"/>
        <w:gridCol w:w="153"/>
        <w:gridCol w:w="297"/>
        <w:gridCol w:w="867"/>
        <w:gridCol w:w="216"/>
      </w:tblGrid>
      <w:tr>
        <w:trPr/>
        <w:tc>
          <w:tcPr>
            <w:tcW w:w="170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839" w:type="dxa"/>
            <w:gridSpan w:val="6"/>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liquid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of purchased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2,227 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Production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Gathering, processing and transportation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Purchased oil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Merger and integration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1,118 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1,032 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809 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Diamondback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768 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178,477 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181,988 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178,477 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181,988 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4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297"/>
        <w:gridCol w:w="843"/>
        <w:gridCol w:w="166"/>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partial sale of investment in Viper Energy, Inc.</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shares upon vesting of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178,340 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99"/>
        <w:gridCol w:w="644"/>
        <w:gridCol w:w="168"/>
        <w:gridCol w:w="109"/>
        <w:gridCol w:w="109"/>
        <w:gridCol w:w="109"/>
        <w:gridCol w:w="424"/>
        <w:gridCol w:w="554"/>
        <w:gridCol w:w="238"/>
        <w:gridCol w:w="109"/>
        <w:gridCol w:w="109"/>
        <w:gridCol w:w="109"/>
        <w:gridCol w:w="352"/>
        <w:gridCol w:w="757"/>
        <w:gridCol w:w="197"/>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179,841 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shares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issuance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181,605 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57" w:type="dxa"/>
        <w:jc w:val="left"/>
        <w:tblInd w:w="0" w:type="dxa"/>
        <w:tblLayout w:type="fixed"/>
        <w:tblCellMar>
          <w:top w:w="28" w:type="dxa"/>
          <w:left w:w="28" w:type="dxa"/>
          <w:bottom w:w="28" w:type="dxa"/>
          <w:right w:w="28" w:type="dxa"/>
        </w:tblCellMar>
      </w:tblPr>
      <w:tblGrid>
        <w:gridCol w:w="2505"/>
        <w:gridCol w:w="2196"/>
        <w:gridCol w:w="2214"/>
        <w:gridCol w:w="262"/>
        <w:gridCol w:w="564"/>
        <w:gridCol w:w="146"/>
        <w:gridCol w:w="146"/>
        <w:gridCol w:w="146"/>
        <w:gridCol w:w="146"/>
        <w:gridCol w:w="262"/>
        <w:gridCol w:w="564"/>
        <w:gridCol w:w="206"/>
      </w:tblGrid>
      <w:tr>
        <w:trPr/>
        <w:tc>
          <w:tcPr>
            <w:tcW w:w="250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deferred income taxes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amortization and accretion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extinguishment of debt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derivative instruments,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(paid) on settlement of derivative instruments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equity investment,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royalties payable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Drilling, completions and infrastructure additions to oil and natural gas properties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midstream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acquisitions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credit facilities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credit facilities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notes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 under buyback program</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shares/units under Viper's buyback program</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partial sale of investment in Viper Energy, Inc.</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Dividends/distributions to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Organization and Description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primarily in the Permian Basin in West Texas.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wholly owned subsidiaries of Diamondback include Diamondback E&amp;P LLC (“Diamondback E&amp;P”), a Delaware limited liability company, Rattler Midstream GP LLC, a Delaware limited liability company (“Rattler’s GP”), Rattler Midstream LP, a Delaware limited partnership (“Rattler”) and QEP Resources, Inc. (“QEP”), a Delaware corporation.</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Viper Conversion to Corporate Structure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the Company’s publicly traded subsidiary, Viper Energy Partners LP, completed its conversion from a Delaware limited partnership into a Delaware corporation, Viper Energy, Inc. (“Viper”) (the “Viper Conversion”). At the time of the Viper Conversion, each of the Company’s common units representing limited partnership interest in Viper Energy Partners, LP was converted, on a unit-for-unit basis, into one issued and outstanding, fully paid and nonassessable share of Class A common stock of Viper Energy, Inc., and each of the Company’s Class B units representing a limited partnership interest in Viper Energy Partners, LP was converted, on a unit-for-unit basis, into one issued and outstanding, fully paid and nonassessable share of Class B common stock of Viper. At the time of the Conversion, Viper was a “controlled company” under the Nasdaq rules as the Company owned more than 50% of the voting power of Viper’s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subsidiaries after all significant intercompany balances and transactions have been eliminated upon consolidation. The Company has one reportable segment, the upstream segment.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October 31, 2023, pursuant to a common unit purchase and sale agreement entered into on September 4, 2023, Viper issued approximately 7.22 million of its common units, which were converted to shares of Viper Class A common stock at the time of the Viper Conversion, to the Company at a price of $27.72 per unit for total consideration to Viper of approximately $200 million. On March 5, 2024, the Company exercised certain of its demand rights, pursuant to a registration rights agreement initially entered into on June 23, 2014, as amended and restated on May 9, 2018 and November 10, 2023, and on March 8, 2024, completed a public offering of approximately 13.23 million of Viper’s Class A common stock at a price of $35.00 per share for proceeds, net of underwriters’ discount, of approximately $451 million. After this offering and through March 31, 2024, the Company owned approximately 48% of Viper’s combined outstanding Class A common stock and Class B common stock, resulting in Viper no longer being a controlled company under the Nasdaq rules. However, the Company determined that it still controls the activities of Viper in accordance with the guidance for variable interest entities in Accounting Standards Codification Topic 810— “Consolidation” (“ASC 810”) and therefore continues to consolidate Viper in the Company’s financial statements at March 31, 2024. See further discussion of the Company’s determination that Viper is a variable interest entity (“VIE”) in Note 2—</w:t>
      </w:r>
      <w:hyperlink w:anchor="if356e22aca5d43fda4d5672a01ecddc5_43">
        <w:r>
          <w:rPr>
            <w:rStyle w:val="InternetLink"/>
            <w:rFonts w:ascii="Times New Roman;sans-serif" w:hAnsi="Times New Roman;sans-serif"/>
            <w:b w:val="false"/>
            <w:color w:val="0000FF"/>
            <w:sz w:val="20"/>
            <w:u w:val="single"/>
          </w:rPr>
          <w:t>Summary of Significant Accounting Policies</w:t>
        </w:r>
      </w:hyperlink>
      <w:r>
        <w:rPr>
          <w:rFonts w:ascii="Times New Roman;sans-serif" w:hAnsi="Times New Roman;sans-serif"/>
          <w:b w:val="false"/>
          <w:color w:val="000000"/>
          <w:sz w:val="20"/>
        </w:rPr>
        <w:t>.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3">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2023, which contains a summary of the Company’s significant accounting policies and other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assets and liabilities as of the date of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and the Israel-Hamas war, rising interest rates, global supply chain disruptions,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acquired assets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Variable Interest Entity</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is a publicly traded corporation formed by the Company in 2014 to provide an attractive return to its shareholders (the largest of which is Diamondback) by focusing on business results, maximizing dividends through organic growth and pursuing accretive growth opportunities through acquisitions of mineral, royalty, overriding royalty, net profits and similar interests from the Company and from third parties. Viper has no employees and the Company provides management, operating and administrative services to Viper under a services and secondment agreement, including the services of the executive officers and other employees.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reduction of the Company’s ownership percentage in Viper to below 50% in March 2024, the Company re-evaluated whether Viper should continue to be consolidated in the Company’s financial statements. Viper meets the definition of a VIE under ASC 810 and the Company continues to be the primary beneficiary of the VIE through its ability, via existing contractual agreements, to direct the activities that most significantly affect the economic performance of Viper. The Company also has the obligation to absorb losses and the right to receive benefits that could be significant to Viper. As such, the Company will continue to consolidate the activity of Viper.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Viper maintains its own capital structure that is separate from the Company. The Company is not under any obligation to provide additional financial support or investment to Viper. Viper’s assets cannot be used by the Company for general corporate purposes, and the creditors of Viper’s liabilities do not have recourse to the Company’s assets. The assets and liabilities of Viper are included in the Company’s condensed consolidated balance sheets and disclosed parenthetically, if 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FASB issued ASU 2023-01, “Leases (Topic 842) – Common Control Arrangements.” This update (i) requires all lessees that are a party to a lease between entities under common control in which there are leasehold improvements to record amortization over the useful life of the leasehold improvements to the common control group, regardless of the lease term, and (ii) requires leasehold improvements to be accounted for as a transfer between entities under common control through an adjustment to equity if, and when, the lessee no longer controls the use of the underlying asset.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adopted this update effective January 1, 2024 by electing to apply the guidance in ASU 2023-01 prospectively to all new leasehold improvements recognized on or after January 1, 2024. As such, the adoption of this update did not have a material impact on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annual periods beginning after December 15, 2023, and for interim periods within fiscal years beginning after December 15, 2024. Early adoption is permitted. The amendments should be applied retrospectively to all prior periods presented in the financial statements.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8483" w:type="dxa"/>
        <w:jc w:val="left"/>
        <w:tblInd w:w="0" w:type="dxa"/>
        <w:tblLayout w:type="fixed"/>
        <w:tblCellMar>
          <w:top w:w="28" w:type="dxa"/>
          <w:left w:w="28" w:type="dxa"/>
          <w:bottom w:w="28" w:type="dxa"/>
          <w:right w:w="28" w:type="dxa"/>
        </w:tblCellMar>
      </w:tblPr>
      <w:tblGrid>
        <w:gridCol w:w="1585"/>
        <w:gridCol w:w="1389"/>
        <w:gridCol w:w="1406"/>
        <w:gridCol w:w="109"/>
        <w:gridCol w:w="109"/>
        <w:gridCol w:w="243"/>
        <w:gridCol w:w="243"/>
        <w:gridCol w:w="471"/>
        <w:gridCol w:w="1377"/>
        <w:gridCol w:w="243"/>
        <w:gridCol w:w="109"/>
        <w:gridCol w:w="109"/>
        <w:gridCol w:w="109"/>
        <w:gridCol w:w="211"/>
        <w:gridCol w:w="61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and marketing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84"/>
        <w:gridCol w:w="336"/>
        <w:gridCol w:w="270"/>
        <w:gridCol w:w="225"/>
        <w:gridCol w:w="658"/>
        <w:gridCol w:w="116"/>
        <w:gridCol w:w="109"/>
        <w:gridCol w:w="109"/>
        <w:gridCol w:w="109"/>
        <w:gridCol w:w="247"/>
        <w:gridCol w:w="548"/>
        <w:gridCol w:w="130"/>
        <w:gridCol w:w="109"/>
        <w:gridCol w:w="109"/>
        <w:gridCol w:w="109"/>
        <w:gridCol w:w="211"/>
        <w:gridCol w:w="256"/>
        <w:gridCol w:w="109"/>
        <w:gridCol w:w="109"/>
        <w:gridCol w:w="109"/>
        <w:gridCol w:w="109"/>
        <w:gridCol w:w="211"/>
        <w:gridCol w:w="616"/>
        <w:gridCol w:w="109"/>
        <w:gridCol w:w="109"/>
        <w:gridCol w:w="109"/>
        <w:gridCol w:w="109"/>
        <w:gridCol w:w="225"/>
        <w:gridCol w:w="658"/>
        <w:gridCol w:w="116"/>
        <w:gridCol w:w="109"/>
        <w:gridCol w:w="109"/>
        <w:gridCol w:w="109"/>
        <w:gridCol w:w="247"/>
        <w:gridCol w:w="548"/>
        <w:gridCol w:w="130"/>
        <w:gridCol w:w="109"/>
        <w:gridCol w:w="109"/>
        <w:gridCol w:w="109"/>
        <w:gridCol w:w="211"/>
        <w:gridCol w:w="256"/>
        <w:gridCol w:w="109"/>
        <w:gridCol w:w="109"/>
        <w:gridCol w:w="109"/>
        <w:gridCol w:w="109"/>
        <w:gridCol w:w="211"/>
        <w:gridCol w:w="616"/>
        <w:gridCol w:w="163"/>
      </w:tblGrid>
      <w:tr>
        <w:trPr/>
        <w:tc>
          <w:tcPr>
            <w:tcW w:w="38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6964" w:type="dxa"/>
            <w:gridSpan w:val="36"/>
            <w:tcBorders/>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8216" w:type="dxa"/>
            <w:gridSpan w:val="42"/>
            <w:tcBorders/>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5"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16—</w:t>
      </w:r>
      <w:hyperlink w:anchor="if356e22aca5d43fda4d5672a01ecddc5_1737">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 xml:space="preserve">for details on the previously announced plan of merger. The Company had no other material acquisition or divestiture activity during the three months ended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before="0" w:after="0"/>
        <w:jc w:val="both"/>
        <w:rPr/>
      </w:pPr>
      <w:r>
        <w:rPr/>
      </w:r>
    </w:p>
    <w:p>
      <w:pPr>
        <w:pStyle w:val="TextBody"/>
        <w:bidi w:val="0"/>
        <w:spacing w:lineRule="auto" w:line="26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GRP Acquisition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Viper and Viper LLC acquired certain mineral and royalty interests from Royalty Asset Holdings, LP, Royalty Asset Holdings II, LP and Saxum Asset Holdings, LP and affiliates of Warwick Capital Partners and GRP Energy Capital (collectively, “GRP”), pursuant to a definitive purchase and sale agreement for approximately 9.02 million Viper common units and $750 million in cash, including transactions costs and subject to customary post-closing adjustments (the “GRP Acquisition”). The mineral and royalty interests acquired in the GRP Acquisition represent 4,600 net royalty acres in the Permian Basin, plus an additional 2,700 net royalty acres in other major basins. The cash consideration for the GRP Acquisition was funded through a combination of cash on hand and held in escrow, borrowings under the Viper credit agreement, proceeds from Viper’s offering of $400 million in aggregate principal amount of its 7.375% Senior Notes due in 2031 and proceeds from the $200 million common unit issuance to the Company.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Lario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(16,000 net) acres in the Midland Basin and certain related oil and gas assets (the “Lario Acquisition”), in exchange for 4.33 million shares of the Company’s common stock and $814 million in cash, including certain customary post-closing adjustments. Approximately $113 million of the cash consideration was deposited in an indemnity holdback escrow account at closing to be distributed upon satisfactory settlement of any potential title defects on the acquired properties. As of March 31, 2024, the Company has released the full amount of the indemnity holdback to Lario. The cash portion of the consideration for the Lario Acquisition was funded through a combination of cash on hand, a portion of the net proceeds from the Company’s offering of 6.250% Senior Notes due 2053 and borrowings under the Company’s revolving credit facility.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Lario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The purchase price allocation was completed in December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condensed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Lario Acquisition, the Company acquired proved properties of $924 million and unproved properties of $536 million.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 of Deep Blue Water Assets and Deep Blue 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the Company closed on a joint venture agreement with Five Point Energy LLC (“Five Point”) to form Deep Blue Midland Basin LLC (“Deep Blue”). At closing, the Company contributed certain treated water, fresh water and saltwater disposal assets (the “Deep Blue Water Assets”) with a net carrying value of $692 million and Five Point contributed $251 million in cash, subject to certain customary post-closing adjustments, to Deep Blue. In exchange for these contributions, Deep Blue issued the Company a one-time cash distribution of approximately $516 million and issued to the Company a 30% equity ownership and voting interest, and issued to Five Point a 70% equity ownership and voting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 separate agreement with Deep Blue, the Company is continuing to operate the Deep Blue Water Assets on a short-term basis before transferring operations to Deep Blue, which is anticipated to happen in the second quarter of 2024. Contingent upon the successful transfer of operations, the Company will receive approximately $47 million in cash to be contributed by Five Point in 2024. This contingent consideration does not meet the criteria to be accounted for as a derivative. As such, at March 31, 2024, approximately $43 million has been recorded as a receivable in the condensed consolidated balance sheet for the fair value of the additional consideration to be received when operation of the Deep Blue Water Assets transfers to Deep Blue.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its 30% equity interest in Deep Blue at fair value based on the cash consideration contributed by Five Point to Deep Blue in exchange for its 70% equity ownership and the estimated fair value of contingent consideration to be contributed by Five Point in future years. The Company’s equity method investment in Deep Blue had an initial fair value of $126 million. The Company’s proportionate share of the income or loss from Deep Blue will be recognized on a two-month lag. The Company has recognized an aggregate $13 million loss on the sale of its Deep Blue Water Assets, of which approximately $1 million was recognized during the three months ended March 31, 2024. The loss on the sale of Deep Blue Water Assets is included in the caption “Other operating expenses” in the condensed consolidated statement of operations. The majority of measurements utilized to determine the fair value amounts reported above relating to this transaction are based on inputs that are not observable in the market and are therefore considered Level 3 inputs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Five Point currently anticipate collectively contributing $500 million in follow-on capital to fund future growth projects and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part of the transaction, the Company also entered into a 15-year dedication with Deep Blue for its produced water and supply water within a 12-county area of mutual interest in the Midland Basin. See Note 7— </w:t>
      </w:r>
      <w:hyperlink w:anchor="if356e22aca5d43fda4d5672a01ecddc5_1591">
        <w:r>
          <w:rPr>
            <w:rStyle w:val="InternetLink"/>
            <w:rFonts w:ascii="Times New Roman;sans-serif" w:hAnsi="Times New Roman;sans-serif"/>
            <w:b w:val="false"/>
            <w:color w:val="0000FF"/>
            <w:sz w:val="20"/>
            <w:u w:val="single"/>
          </w:rPr>
          <w:t>Related Party Transactions</w:t>
        </w:r>
      </w:hyperlink>
      <w:r>
        <w:rPr>
          <w:color w:val="000000"/>
        </w:rPr>
        <w:t xml:space="preserve"> </w:t>
      </w:r>
      <w:r>
        <w:rPr>
          <w:rFonts w:ascii="Times New Roman;sans-serif" w:hAnsi="Times New Roman;sans-serif"/>
          <w:b w:val="false"/>
          <w:color w:val="000000"/>
          <w:sz w:val="20"/>
        </w:rPr>
        <w:t>for further discussion of transactions with 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OMOG Divestiture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the Company divested its 43% limited liability company interest in OMOG JV LLC (“OMOG”) for $225 million in cash received at closing. This divestiture resulted in a gain on the sale of equity method investments of approximately $35 million.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Non-Core Assets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divested non-core assets to an unrelated third-party buyer consisting of approximately 19,000 net acres in Glasscock County, TX for net cash proceeds at closing of $269 million, including customary post-closing adjustments.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divested non-core assets consisting of approximately 4,900 net acres in Ward and Winkler counties to unrelated third-party buyers for $72 million in net cash proceeds, including customary post-closing adjustments.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divestitures of non-core oil and gas assets did not result in a significant alteration of the relationship between the Company’s capitalized costs and proved reserves and, accordingly, the Company recorded the proceeds as a reduction of its full cost pool with no gain or loss recognized on the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Gray Oak Divestiture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the Company divested its 10% non-operating equity investment in Gray Oak Pipeline, LLC (“Gray Oak”) for $172 million in net cash proceeds and recorded a gain on the sale of equity method investments of approximately $53 million, which is included in the caption “Other income (expense), net” on the condensed consolidated statement of operations for the three months ended March 31,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103" w:type="dxa"/>
        <w:jc w:val="left"/>
        <w:tblInd w:w="0" w:type="dxa"/>
        <w:tblLayout w:type="fixed"/>
        <w:tblCellMar>
          <w:top w:w="28" w:type="dxa"/>
          <w:left w:w="28" w:type="dxa"/>
          <w:bottom w:w="28" w:type="dxa"/>
          <w:right w:w="28" w:type="dxa"/>
        </w:tblCellMar>
      </w:tblPr>
      <w:tblGrid>
        <w:gridCol w:w="2009"/>
        <w:gridCol w:w="1764"/>
        <w:gridCol w:w="1777"/>
        <w:gridCol w:w="211"/>
        <w:gridCol w:w="721"/>
        <w:gridCol w:w="109"/>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full cost method of accounting, the Company is required to perform a ceiling test each quarter which determines a limit, or ceiling, on the book value of proved oil and natural gas properties. No impairment expense was recorded for the three months ended March 31, 2024 or 2023 based on the results of the respective quarterly ceiling tests.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ASSET RETIREMENT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tbl>
      <w:tblPr>
        <w:tblW w:w="6734" w:type="dxa"/>
        <w:jc w:val="left"/>
        <w:tblInd w:w="0" w:type="dxa"/>
        <w:tblLayout w:type="fixed"/>
        <w:tblCellMar>
          <w:top w:w="28" w:type="dxa"/>
          <w:left w:w="28" w:type="dxa"/>
          <w:bottom w:w="28" w:type="dxa"/>
          <w:right w:w="28" w:type="dxa"/>
        </w:tblCellMar>
      </w:tblPr>
      <w:tblGrid>
        <w:gridCol w:w="1489"/>
        <w:gridCol w:w="1309"/>
        <w:gridCol w:w="1312"/>
        <w:gridCol w:w="285"/>
        <w:gridCol w:w="629"/>
        <w:gridCol w:w="147"/>
        <w:gridCol w:w="147"/>
        <w:gridCol w:w="147"/>
        <w:gridCol w:w="147"/>
        <w:gridCol w:w="285"/>
        <w:gridCol w:w="629"/>
        <w:gridCol w:w="208"/>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beginning of period</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liabilities incurred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acquired</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settled and divested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expense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Revisions in estimated liabilities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end of period</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Less current portion</w:t>
            </w:r>
            <w:r>
              <w:rPr>
                <w:rFonts w:ascii="Times New Roman;sans-serif" w:hAnsi="Times New Roman;sans-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 long-term</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current portion of the asset retirement obligation is included in the caption “Other accrued liabilities” in the Company’s condensed consolidated balance sheets.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7.    RELATED PARTY TRANSACTIONS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Deep Blue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the Deep Blue transaction discussed in Note 4— </w:t>
      </w:r>
      <w:hyperlink w:anchor="if356e22aca5d43fda4d5672a01ecddc5_49">
        <w:r>
          <w:rPr>
            <w:rStyle w:val="InternetLink"/>
            <w:rFonts w:ascii="Times New Roman;sans-serif" w:hAnsi="Times New Roman;sans-serif"/>
            <w:b w:val="false"/>
            <w:color w:val="0000FF"/>
            <w:sz w:val="20"/>
            <w:u w:val="single"/>
          </w:rPr>
          <w:t>Acquisitions and Divestitures</w:t>
        </w:r>
      </w:hyperlink>
      <w:r>
        <w:rPr>
          <w:rFonts w:ascii="Times New Roman;sans-serif" w:hAnsi="Times New Roman;sans-serif"/>
          <w:b w:val="false"/>
          <w:color w:val="000000"/>
          <w:sz w:val="20"/>
        </w:rPr>
        <w:t xml:space="preserve">, the Company has other significant related party transactions with Deep Blue which include (i) contingent consideration and other post-close adjustments receivable from Deep Blue, (ii) accrued capital expenditures and other accrued payables related to a commitment to fund certain capital expenditures on projects that were in process at the time of the Deep Blue transaction, and (iii) lease operating expenses and capitalized expenses related to fees paid to Deep Blue under a 15-year dedication for its produced water and supply water within a 12-county area of mutual interest in the Midland Basin.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significant related party balances included in the condensed consolidated balance sheet at March 31, 2024 and December 31, 2023: </w:t>
      </w:r>
    </w:p>
    <w:tbl>
      <w:tblPr>
        <w:tblW w:w="6475" w:type="dxa"/>
        <w:jc w:val="left"/>
        <w:tblInd w:w="0" w:type="dxa"/>
        <w:tblLayout w:type="fixed"/>
        <w:tblCellMar>
          <w:top w:w="28" w:type="dxa"/>
          <w:left w:w="28" w:type="dxa"/>
          <w:bottom w:w="28" w:type="dxa"/>
          <w:right w:w="28" w:type="dxa"/>
        </w:tblCellMar>
      </w:tblPr>
      <w:tblGrid>
        <w:gridCol w:w="1478"/>
        <w:gridCol w:w="1297"/>
        <w:gridCol w:w="1305"/>
        <w:gridCol w:w="247"/>
        <w:gridCol w:w="510"/>
        <w:gridCol w:w="127"/>
        <w:gridCol w:w="109"/>
        <w:gridCol w:w="109"/>
        <w:gridCol w:w="109"/>
        <w:gridCol w:w="336"/>
        <w:gridCol w:w="600"/>
        <w:gridCol w:w="248"/>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Accounts receivable</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Accrued capital expenditures</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Other accrued liabilities</w:t>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recorded approximately $31 million for water services provided by Deep Blue during the completion phase of wells. These costs were capitalized and are included in the caption “Oil and natural gas properties” on the condensed consolidated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significant related party transactions included in the condensed consolidated statement of operations for the three months ended March 31, 2024 and 2023: </w:t>
      </w:r>
    </w:p>
    <w:tbl>
      <w:tblPr>
        <w:tblW w:w="3986" w:type="dxa"/>
        <w:jc w:val="left"/>
        <w:tblInd w:w="0" w:type="dxa"/>
        <w:tblLayout w:type="fixed"/>
        <w:tblCellMar>
          <w:top w:w="28" w:type="dxa"/>
          <w:left w:w="28" w:type="dxa"/>
          <w:bottom w:w="28" w:type="dxa"/>
          <w:right w:w="28" w:type="dxa"/>
        </w:tblCellMar>
      </w:tblPr>
      <w:tblGrid>
        <w:gridCol w:w="792"/>
        <w:gridCol w:w="697"/>
        <w:gridCol w:w="700"/>
        <w:gridCol w:w="213"/>
        <w:gridCol w:w="365"/>
        <w:gridCol w:w="110"/>
        <w:gridCol w:w="110"/>
        <w:gridCol w:w="110"/>
        <w:gridCol w:w="110"/>
        <w:gridCol w:w="213"/>
        <w:gridCol w:w="411"/>
        <w:gridCol w:w="155"/>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8912" w:type="dxa"/>
        <w:jc w:val="left"/>
        <w:tblInd w:w="0" w:type="dxa"/>
        <w:tblLayout w:type="fixed"/>
        <w:tblCellMar>
          <w:top w:w="28" w:type="dxa"/>
          <w:left w:w="28" w:type="dxa"/>
          <w:bottom w:w="28" w:type="dxa"/>
          <w:right w:w="28" w:type="dxa"/>
        </w:tblCellMar>
      </w:tblPr>
      <w:tblGrid>
        <w:gridCol w:w="2342"/>
        <w:gridCol w:w="2057"/>
        <w:gridCol w:w="2065"/>
        <w:gridCol w:w="211"/>
        <w:gridCol w:w="616"/>
        <w:gridCol w:w="109"/>
        <w:gridCol w:w="109"/>
        <w:gridCol w:w="109"/>
        <w:gridCol w:w="109"/>
        <w:gridCol w:w="255"/>
        <w:gridCol w:w="744"/>
        <w:gridCol w:w="186"/>
      </w:tblGrid>
      <w:tr>
        <w:trPr/>
        <w:tc>
          <w:tcPr>
            <w:tcW w:w="23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3.250% Senior Notes due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Senior Notes due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Medium-term Notes, Series B, due 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Senior Notes due 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2051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2052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2053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Unamortized basis adjustment of dedesignated interest rate swap agreements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5.375% Senior Notes due 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7.375% Senior Notes due 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the unamortized basis adjustment related to two receive-fixed, pay variable interest rate swap agreements which were previously designated as fair value hedges of the Company’s $1.2 billion 3.500% fixed rate senior notes due 2029. This basis adjustment is being amortized to interest expense over the remaining term of the 2029 Notes utilizing the effective interest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March 6, 2024, Diamondback E&amp;P, as borrower, and Diamondback Energy, Inc., as parent guarantor, entered into a fourteenth amendment to the existing credit agreement, which upon consummation of the pending Endeavor Acquisition (as defined in Note 16—</w:t>
      </w:r>
      <w:hyperlink w:anchor="if356e22aca5d43fda4d5672a01ecddc5_1737">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will among other things, (i) increase the maximum credit amount from $1.6 billion to $2.5 billion, (ii) decrease the swingline commitments amount from $100 million to $50 million and (iii) make certain amendments to the representations and warranties, affirmative and negative covenants, and events of default. As of March 31, 2024, the Company had no outstanding borrowings under the credit agreement and $1.6 billion available for future borrowings. During the three months ended March 31, 2023, the weighted average interest rate on borrowings under the credit agreement was 6.02%. The credit agreement matures on June 2, 2028.</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was in compliance with all financial maintenance covenants under the credit agreement.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connection with the pending Endeavor Acquisition (as defined in Note 16—</w:t>
      </w:r>
      <w:hyperlink w:anchor="if356e22aca5d43fda4d5672a01ecddc5_1737">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Diamondback Energy, Inc., as guarantor, entered into a Term Loan Credit Agreement with Diamondback E&amp;P LLC, as borrower, and Citibank, N.A., as administrative agent (the “Term Loan Agreement”) on February 29,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Term Loan Agreement provides the Company with the ability to borrow up to $1.5 billion, which is comprised of $1 billion of Tranche A Loans and $500 million of Tranche B Loans (collectively, the “Term Loans”) on an unsecured basis to pay a portion of the cash consideration for the Endeavor Acquisition (as defined in Note 16—</w:t>
      </w:r>
      <w:hyperlink w:anchor="if356e22aca5d43fda4d5672a01ecddc5_1737">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repay certain debt of Endeavor or pay fees, costs and expenses related to the acquisition. As of March 31, 2024, the Company had no outstanding borrowings under the Term Loan Agreement and $1.5 billion available for future borrowings.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availability of the Term Loans, which have not yet been funded, is subject to the satisfaction of certain limited customary acquisition-financing conditions under the Term Loan Agreement. The Term Loans will be made in a single borrowing on the date of closing of the Endeavor Acquisition (as defined in Note 16—</w:t>
      </w:r>
      <w:hyperlink w:anchor="if356e22aca5d43fda4d5672a01ecddc5_1737">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(the “Closing Date”) and will mature and be payable in full, in the case of the Tranche A Loans, on the first anniversary of the Closing Date and, in the case of the Tranche B Loans, on the second anniversary of the Closing 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the Term Loan Agreement bear interest at a per annum rate elected by the Company that is equal to (i) term SOFR plus 0.10% (“Adjusted Term SOFR”) or (ii) an alternate base rate (which is equal to the greatest of the prime rate, the federal funds effective rate plus 0.50%, and 1-month Adjusted Term SOFR plus 1.0%), in each case plus the applicable margin. After giving effect to the amendment, (i) the applicable margin ranges from 0.125% to 1.000% and 0.250% to 1.125% for Tranche A and Tranche B, respectively, per annum in the case of the alternate base rate, and from 1.125% to 2.000% and 1.250% to 2.125% for Tranche A and Tranche B, respectively, per annum in the case of Adjusted Term SOFR, in each case based on the pricing level, and (ii) the commitment fee is equal to 0.125% per annum on the aggregate principal amount of the commitments. The pricing level depends on the Company’s long-term senior unsecured debt ratings.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Bridge Facility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February 11, 2024, in connection with the pending Endeavor Acquisition (as defined in Note 16—</w:t>
      </w:r>
      <w:hyperlink w:anchor="if356e22aca5d43fda4d5672a01ecddc5_1737">
        <w:r>
          <w:rPr>
            <w:rStyle w:val="InternetLink"/>
            <w:rFonts w:ascii="Times New Roman;sans-serif" w:hAnsi="Times New Roman;sans-serif"/>
            <w:b w:val="false"/>
            <w:color w:val="0000FF"/>
            <w:sz w:val="20"/>
            <w:u w:val="single"/>
          </w:rPr>
          <w:t>Endeavor Energy Resources, LP Acquisition</w:t>
        </w:r>
      </w:hyperlink>
      <w:r>
        <w:rPr>
          <w:rFonts w:ascii="Times New Roman;sans-serif" w:hAnsi="Times New Roman;sans-serif"/>
          <w:b w:val="false"/>
          <w:color w:val="000000"/>
          <w:sz w:val="20"/>
        </w:rPr>
        <w:t xml:space="preserve">), Diamondback Energy, Inc., as guarantor, obtained commitments of $8.0 billion to a 364-day senior unsecured term loan facility with Diamondback E&amp;P LLC, as borrower, and Citigroup Global Markets Inc., as administrative agent (the “Bridge Facility”). The Bridge Facility was reduced on a dollar-for-dollar basis by the amount of the Term Loan Agreement to $6.5 billion on February 29, 2024. The Bridge Facility will be further reduced on a dollar-for-dollar basis by the April 2024 Notes as defined and discussed further in Note 17— </w:t>
      </w:r>
      <w:hyperlink w:anchor="if356e22aca5d43fda4d5672a01ecddc5_82">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xml:space="preserve">. The proceeds from the Bridge Facility may be used to repay certain debt of Endeavor and pay fees, costs and expenses related to the pending Endeavor Acquisition. As of March 31, 2024, the Company had no outstanding borrowings under the Bridge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the Bridge Facility bear interest at a per annum rate elected by the Company that is equal to (i) term SOFR plus 0.10% (“Adjusted Term SOFR”) or (ii) an alternate base rate (which is equal to the greatest of the prime rate, the federal funds effective rate plus 0.50%, and 1-month Adjusted Term SOFR plus 1.0%), in each case plus the applicable margin. The applicable margin ranges from (i) 1.125% to 2.000% from the Closing Date through 89 days following the Closing Date, (ii) 1.375% to 2.250% from the 90th day following the Closing Date through the 179th day following the Closing Date, (iii) 1.625% to 2.500% from the 180th day following the Closing Date through the 269th day following the Closing Date, and (iv) 1.875% to 2.750% for the 270th day following the Closing Date through the expiration of the Bridge Facility, in each case based on the pricing level, and (ii) the commitment fee is equal to 0.125% per annum on the aggregate principal amount of the commitments. The pricing level depends on the Company’s long-term senior unsecured debt ratings.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Retirement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2024, the Company opportunistically repurchased principal amounts of $22 million of its 3.125% Senior Notes due 2031 and $6 million of its 3.500% Senior Notes due 2029 for total cash consideration, including accrued interest paid of $25 million. These repurchases resulted in an immaterial gain on extinguishment of debt during the three months ended March 31,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Viper’s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Viper LLC’s credit agreement, as amended to date, provides for a revolving credit facility in the maximum credit amount of $2.0 billion with a borrowing base of $1.3 billion based on Viper LLC’s oil and natural gas reserves and other factors. As of March 31, 2024, the elected commitment amount was $850 million, with $273 million of outstanding borrowings and $577 million available for future borrowings. During the three months ended March 31, 2024 and 2023, the weighted average interest rates on borrowings under the Viper credit agreement were 7.65% and 6.10%, respectively. As of March 31, 2024, Viper LLC was in compliance with all financial maintenance covenants under the Viper credit agreement. </w:t>
      </w:r>
      <w:r>
        <w:rPr>
          <w:rFonts w:ascii="Times New Roman;sans-serif" w:hAnsi="Times New Roman;sans-serif"/>
          <w:b w:val="false"/>
          <w:color w:val="000000"/>
          <w:sz w:val="20"/>
          <w:shd w:fill="FFFFFF" w:val="clear"/>
        </w:rPr>
        <w:t>The revolving credit facility will mature on September 22, 2028.</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STOCKHOLDERS’ EQUITY AND EARNINGS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approved a common stock repurchase program to acquire up to $4.0 billion of the Company’s outstanding common stock, excluding excise tax.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March 31, 2024 and 2023, the Company repurchased, excluding excise tax, approximately $42 million and $332 million of common stock under this repurchase program, respectively. As of March 31, 2024, approximately $1.6 billion remained available for use to repurchase shares under the Company’s common stock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Non-controlling interests in the accompanying condensed consolidated financial statements represent minority interest ownership in Viper and are presented as a component of equity. When the Company’s relative ownership interests in Viper change, adjustments to non-controlling interest and additional paid-in-capital, tax effected, will occur. The following table summarizes changes in the ownership interest in consolidated subsidiaries during the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67"/>
        <w:gridCol w:w="2101"/>
        <w:gridCol w:w="2117"/>
        <w:gridCol w:w="109"/>
        <w:gridCol w:w="109"/>
        <w:gridCol w:w="221"/>
        <w:gridCol w:w="221"/>
        <w:gridCol w:w="429"/>
        <w:gridCol w:w="947"/>
        <w:gridCol w:w="221"/>
        <w:gridCol w:w="109"/>
        <w:gridCol w:w="109"/>
        <w:gridCol w:w="109"/>
        <w:gridCol w:w="211"/>
        <w:gridCol w:w="466"/>
        <w:gridCol w:w="159"/>
      </w:tblGrid>
      <w:tr>
        <w:trPr/>
        <w:tc>
          <w:tcPr>
            <w:tcW w:w="2567"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63" w:type="dxa"/>
            <w:gridSpan w:val="6"/>
            <w:tcBorders/>
          </w:tcPr>
          <w:p>
            <w:pPr>
              <w:pStyle w:val="TableContents"/>
              <w:bidi w:val="0"/>
              <w:spacing w:before="0" w:after="283"/>
              <w:jc w:val="left"/>
              <w:rPr>
                <w:sz w:val="4"/>
                <w:szCs w:val="4"/>
              </w:rPr>
            </w:pPr>
            <w:r>
              <w:rPr>
                <w:sz w:val="4"/>
                <w:szCs w:val="4"/>
              </w:rPr>
            </w:r>
          </w:p>
        </w:tc>
      </w:tr>
      <w:tr>
        <w:trPr/>
        <w:tc>
          <w:tcPr>
            <w:tcW w:w="6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table presents dividends and distribution equivalent rights paid on the Company’s common stock during the</w:t>
      </w:r>
      <w:r>
        <w:rPr>
          <w:color w:val="000000"/>
          <w:shd w:fill="FFFFFF" w:val="clear"/>
        </w:rPr>
        <w:t xml:space="preserve"> </w:t>
      </w:r>
      <w:r>
        <w:rPr>
          <w:rFonts w:ascii="Times New Roman;sans-serif" w:hAnsi="Times New Roman;sans-serif"/>
          <w:b w:val="false"/>
          <w:color w:val="000000"/>
          <w:sz w:val="20"/>
          <w:shd w:fill="FFFFFF" w:val="clear"/>
        </w:rPr>
        <w:t>respective periods</w:t>
      </w:r>
      <w:r>
        <w:rPr>
          <w:rFonts w:ascii="Times New Roman;sans-serif" w:hAnsi="Times New Roman;sans-serif"/>
          <w:b w:val="false"/>
          <w:color w:val="000000"/>
          <w:sz w:val="20"/>
        </w:rPr>
        <w:t>:</w:t>
      </w:r>
    </w:p>
    <w:p>
      <w:pPr>
        <w:pStyle w:val="TextBody"/>
        <w:bidi w:val="0"/>
        <w:spacing w:before="0" w:after="0"/>
        <w:jc w:val="both"/>
        <w:rPr/>
      </w:pPr>
      <w:r>
        <w:rPr/>
      </w:r>
    </w:p>
    <w:tbl>
      <w:tblPr>
        <w:tblW w:w="5663" w:type="dxa"/>
        <w:jc w:val="left"/>
        <w:tblInd w:w="0" w:type="dxa"/>
        <w:tblLayout w:type="fixed"/>
        <w:tblCellMar>
          <w:top w:w="28" w:type="dxa"/>
          <w:left w:w="28" w:type="dxa"/>
          <w:bottom w:w="28" w:type="dxa"/>
          <w:right w:w="28" w:type="dxa"/>
        </w:tblCellMar>
      </w:tblPr>
      <w:tblGrid>
        <w:gridCol w:w="394"/>
        <w:gridCol w:w="347"/>
        <w:gridCol w:w="35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78"/>
        <w:gridCol w:w="614"/>
        <w:gridCol w:w="203"/>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2024</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77"/>
        <w:gridCol w:w="1641"/>
        <w:gridCol w:w="1647"/>
        <w:gridCol w:w="109"/>
        <w:gridCol w:w="109"/>
        <w:gridCol w:w="224"/>
        <w:gridCol w:w="224"/>
        <w:gridCol w:w="654"/>
        <w:gridCol w:w="1518"/>
        <w:gridCol w:w="323"/>
        <w:gridCol w:w="149"/>
        <w:gridCol w:w="149"/>
        <w:gridCol w:w="149"/>
        <w:gridCol w:w="316"/>
        <w:gridCol w:w="699"/>
        <w:gridCol w:w="217"/>
      </w:tblGrid>
      <w:tr>
        <w:trPr/>
        <w:tc>
          <w:tcPr>
            <w:tcW w:w="2077"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79" w:type="dxa"/>
            <w:gridSpan w:val="6"/>
            <w:tcBorders/>
          </w:tcPr>
          <w:p>
            <w:pPr>
              <w:pStyle w:val="TableContents"/>
              <w:bidi w:val="0"/>
              <w:spacing w:before="0" w:after="283"/>
              <w:jc w:val="left"/>
              <w:rPr>
                <w:sz w:val="4"/>
                <w:szCs w:val="4"/>
              </w:rPr>
            </w:pPr>
            <w:r>
              <w:rPr>
                <w:sz w:val="4"/>
                <w:szCs w:val="4"/>
              </w:rPr>
            </w:r>
          </w:p>
        </w:tc>
      </w:tr>
      <w:tr>
        <w:trPr/>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1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4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178,477 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181,988 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At March 31, 2024, approximately 4.7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tbl>
      <w:tblPr>
        <w:tblW w:w="10205" w:type="dxa"/>
        <w:jc w:val="left"/>
        <w:tblInd w:w="0" w:type="dxa"/>
        <w:tblLayout w:type="fixed"/>
        <w:tblCellMar>
          <w:top w:w="28" w:type="dxa"/>
          <w:left w:w="28" w:type="dxa"/>
          <w:bottom w:w="28" w:type="dxa"/>
          <w:right w:w="28" w:type="dxa"/>
        </w:tblCellMar>
      </w:tblPr>
      <w:tblGrid>
        <w:gridCol w:w="2497"/>
        <w:gridCol w:w="2193"/>
        <w:gridCol w:w="2198"/>
        <w:gridCol w:w="109"/>
        <w:gridCol w:w="109"/>
        <w:gridCol w:w="247"/>
        <w:gridCol w:w="247"/>
        <w:gridCol w:w="479"/>
        <w:gridCol w:w="821"/>
        <w:gridCol w:w="247"/>
        <w:gridCol w:w="109"/>
        <w:gridCol w:w="109"/>
        <w:gridCol w:w="109"/>
        <w:gridCol w:w="211"/>
        <w:gridCol w:w="361"/>
        <w:gridCol w:w="159"/>
      </w:tblGrid>
      <w:tr>
        <w:trPr/>
        <w:tc>
          <w:tcPr>
            <w:tcW w:w="249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58" w:type="dxa"/>
            <w:gridSpan w:val="6"/>
            <w:tcBorders/>
          </w:tcPr>
          <w:p>
            <w:pPr>
              <w:pStyle w:val="TableContents"/>
              <w:bidi w:val="0"/>
              <w:spacing w:before="0" w:after="283"/>
              <w:jc w:val="left"/>
              <w:rPr>
                <w:sz w:val="4"/>
                <w:szCs w:val="4"/>
              </w:rPr>
            </w:pPr>
            <w:r>
              <w:rPr>
                <w:sz w:val="4"/>
                <w:szCs w:val="4"/>
              </w:rPr>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three months ended March 31, 2024 under the Equity Plan:</w:t>
      </w:r>
    </w:p>
    <w:tbl>
      <w:tblPr>
        <w:tblW w:w="6880" w:type="dxa"/>
        <w:jc w:val="left"/>
        <w:tblInd w:w="0" w:type="dxa"/>
        <w:tblLayout w:type="fixed"/>
        <w:tblCellMar>
          <w:top w:w="28" w:type="dxa"/>
          <w:left w:w="28" w:type="dxa"/>
          <w:bottom w:w="28" w:type="dxa"/>
          <w:right w:w="28" w:type="dxa"/>
        </w:tblCellMar>
      </w:tblPr>
      <w:tblGrid>
        <w:gridCol w:w="978"/>
        <w:gridCol w:w="860"/>
        <w:gridCol w:w="862"/>
        <w:gridCol w:w="454"/>
        <w:gridCol w:w="454"/>
        <w:gridCol w:w="456"/>
        <w:gridCol w:w="109"/>
        <w:gridCol w:w="109"/>
        <w:gridCol w:w="109"/>
        <w:gridCol w:w="483"/>
        <w:gridCol w:w="1653"/>
        <w:gridCol w:w="35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751,196 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(82,003)</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152.41 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2024</w:t>
            </w:r>
          </w:p>
        </w:tc>
        <w:tc>
          <w:tcPr>
            <w:tcW w:w="9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970,610 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grant date fair value of restricted stock units that vested during the three months ended March 31, 2024 was $12 million. As of March 31, 2024, the Company’s unrecognized compensation cost related to unvested restricted stock units was $115 million, which is expected to be recognized over a weighted-average period of 2.2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Based 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units activity under the Equity Plan for the three months ended March 31, 2024:</w:t>
      </w:r>
    </w:p>
    <w:p>
      <w:pPr>
        <w:pStyle w:val="TextBody"/>
        <w:bidi w:val="0"/>
        <w:spacing w:before="0" w:after="0"/>
        <w:jc w:val="both"/>
        <w:rPr/>
      </w:pPr>
      <w:r>
        <w:rPr/>
      </w:r>
    </w:p>
    <w:tbl>
      <w:tblPr>
        <w:tblW w:w="9222" w:type="dxa"/>
        <w:jc w:val="left"/>
        <w:tblInd w:w="0" w:type="dxa"/>
        <w:tblLayout w:type="fixed"/>
        <w:tblCellMar>
          <w:top w:w="28" w:type="dxa"/>
          <w:left w:w="28" w:type="dxa"/>
          <w:bottom w:w="28" w:type="dxa"/>
          <w:right w:w="28" w:type="dxa"/>
        </w:tblCellMar>
      </w:tblPr>
      <w:tblGrid>
        <w:gridCol w:w="978"/>
        <w:gridCol w:w="860"/>
        <w:gridCol w:w="862"/>
        <w:gridCol w:w="949"/>
        <w:gridCol w:w="949"/>
        <w:gridCol w:w="952"/>
        <w:gridCol w:w="109"/>
        <w:gridCol w:w="109"/>
        <w:gridCol w:w="109"/>
        <w:gridCol w:w="650"/>
        <w:gridCol w:w="2221"/>
        <w:gridCol w:w="47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278,056 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110,989 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Unvested at March 31, 2024</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389,045 </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 maximum of 923,176 units could be awarded based upon the Company’s final TSR ranking.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Company’s unrecognized compensation cost related to unvested performance based restricted stock awards and units was $52 million, which is expected to be recognized over a weighted-average period of 2.0 years.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eligible employees received performance restricted stock unit awards totaling 110,989 units from which a minimum of 0% and a maximum of 200% of the units could be awarded based upon the measurement of total stockholder return of the Company’s common stock as compared to a designated peer group during the three-year performance period of January 1, 2024 to December 31, 2026 and cliff vest at December 31, 2026 subject to continued employment. The initial payout of the March 2024 awards will be further adjusted by a TSR modifier that may reduce the payout or increase the payout up to a maximum of 250%.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performance restricted stock unit issuance is estimated at the date of grant using a Monte Carlo simulation, which results in an expected percentage of units to be earned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periods presented:</w:t>
      </w:r>
    </w:p>
    <w:p>
      <w:pPr>
        <w:pStyle w:val="TextBody"/>
        <w:bidi w:val="0"/>
        <w:spacing w:before="0" w:after="0"/>
        <w:ind w:left="0" w:right="0" w:firstLine="720"/>
        <w:jc w:val="both"/>
        <w:rPr/>
      </w:pPr>
      <w:r>
        <w:rPr/>
      </w:r>
    </w:p>
    <w:tbl>
      <w:tblPr>
        <w:tblW w:w="3686" w:type="dxa"/>
        <w:jc w:val="center"/>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March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7552" w:type="dxa"/>
        <w:jc w:val="left"/>
        <w:tblInd w:w="0" w:type="dxa"/>
        <w:tblLayout w:type="fixed"/>
        <w:tblCellMar>
          <w:top w:w="28" w:type="dxa"/>
          <w:left w:w="28" w:type="dxa"/>
          <w:bottom w:w="28" w:type="dxa"/>
          <w:right w:w="28" w:type="dxa"/>
        </w:tblCellMar>
      </w:tblPr>
      <w:tblGrid>
        <w:gridCol w:w="1243"/>
        <w:gridCol w:w="1094"/>
        <w:gridCol w:w="1098"/>
        <w:gridCol w:w="109"/>
        <w:gridCol w:w="109"/>
        <w:gridCol w:w="241"/>
        <w:gridCol w:w="241"/>
        <w:gridCol w:w="467"/>
        <w:gridCol w:w="1031"/>
        <w:gridCol w:w="599"/>
        <w:gridCol w:w="109"/>
        <w:gridCol w:w="109"/>
        <w:gridCol w:w="109"/>
        <w:gridCol w:w="211"/>
        <w:gridCol w:w="466"/>
        <w:gridCol w:w="316"/>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0" w:type="dxa"/>
            <w:gridSpan w:val="6"/>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from continuing operations for the three months ended March 31, 2024 and 2023 differed from amounts computed by applying the U.S. federal statutory tax rate to pre-tax income primarily due to (i) state income taxes, net of federal benefit, and (ii) the impact of permanent differences between book and taxable income.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Viper maintained a partial valuation allowance against its deferred tax assets, based on its assessment of all available evidence, both positive and negative, supporting realizability of Viper’s deferred tax assets.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public offering of Viper’s Class A common stock and resulting change of ownership in Viper during the three months ended March 31, 2024, the Company recorded a $36 million increase in tax payable and a $3 million increase in deferred tax liability through paid in capital and an $18 million increase in the deferred tax asset, net of valuation allowance, through non-controlling interest on the Company’s condensed consolidated balance sheet.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application of the Inflation Reduction Act of 2022 guidance, the Company’s income tax expense for the three months ended March 31, 2024 was not impacted by the corporate alternative minimum tax. The Company’s excise tax during the three months ended March 31, 2024 was immaterial and was recognized as part of the cost basis of the units repurchased.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has commodity derivative contracts and interest rate swaps outstanding. All derivative financial instruments are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98"/>
        <w:gridCol w:w="350"/>
        <w:gridCol w:w="351"/>
        <w:gridCol w:w="344"/>
        <w:gridCol w:w="344"/>
        <w:gridCol w:w="346"/>
        <w:gridCol w:w="345"/>
        <w:gridCol w:w="336"/>
        <w:gridCol w:w="338"/>
        <w:gridCol w:w="425"/>
        <w:gridCol w:w="354"/>
        <w:gridCol w:w="356"/>
        <w:gridCol w:w="401"/>
        <w:gridCol w:w="392"/>
        <w:gridCol w:w="398"/>
        <w:gridCol w:w="503"/>
        <w:gridCol w:w="503"/>
        <w:gridCol w:w="510"/>
        <w:gridCol w:w="109"/>
        <w:gridCol w:w="157"/>
        <w:gridCol w:w="470"/>
        <w:gridCol w:w="470"/>
        <w:gridCol w:w="482"/>
        <w:gridCol w:w="442"/>
        <w:gridCol w:w="442"/>
        <w:gridCol w:w="639"/>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Swaps</w:t>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Collars</w:t>
            </w:r>
          </w:p>
        </w:tc>
        <w:tc>
          <w:tcPr>
            <w:tcW w:w="1523" w:type="dxa"/>
            <w:gridSpan w:val="3"/>
            <w:tcBorders/>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Bbls/MMBtu Per Day</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Floor Price</w:t>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Ceiling Price</w:t>
            </w:r>
          </w:p>
        </w:tc>
      </w:tr>
      <w:tr>
        <w:trPr/>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$95.55</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Roll Swap</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$93.66</w:t>
            </w:r>
          </w:p>
        </w:tc>
      </w:tr>
      <w:tr>
        <w:trPr/>
        <w:tc>
          <w:tcPr>
            <w:tcW w:w="315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NATURAL GAS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pStyle w:val="TextBody"/>
        <w:bidi w:val="0"/>
        <w:spacing w:before="0" w:after="0"/>
        <w:jc w:val="both"/>
        <w:rPr/>
      </w:pPr>
      <w:r>
        <w:rPr/>
      </w:r>
    </w:p>
    <w:tbl>
      <w:tblPr>
        <w:tblW w:w="9390" w:type="dxa"/>
        <w:jc w:val="left"/>
        <w:tblInd w:w="0" w:type="dxa"/>
        <w:tblLayout w:type="fixed"/>
        <w:tblCellMar>
          <w:top w:w="28" w:type="dxa"/>
          <w:left w:w="28" w:type="dxa"/>
          <w:bottom w:w="28" w:type="dxa"/>
          <w:right w:w="28" w:type="dxa"/>
        </w:tblCellMar>
      </w:tblPr>
      <w:tblGrid>
        <w:gridCol w:w="511"/>
        <w:gridCol w:w="449"/>
        <w:gridCol w:w="450"/>
        <w:gridCol w:w="424"/>
        <w:gridCol w:w="424"/>
        <w:gridCol w:w="426"/>
        <w:gridCol w:w="454"/>
        <w:gridCol w:w="454"/>
        <w:gridCol w:w="456"/>
        <w:gridCol w:w="349"/>
        <w:gridCol w:w="349"/>
        <w:gridCol w:w="352"/>
        <w:gridCol w:w="570"/>
        <w:gridCol w:w="570"/>
        <w:gridCol w:w="585"/>
        <w:gridCol w:w="319"/>
        <w:gridCol w:w="319"/>
        <w:gridCol w:w="321"/>
        <w:gridCol w:w="109"/>
        <w:gridCol w:w="438"/>
        <w:gridCol w:w="438"/>
        <w:gridCol w:w="623"/>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Bbls Per Day</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Deferred Premium</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$55.45</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$55.63</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$59.23</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$55.25</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$56.07</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$57.65</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$55.23</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c>
      </w:tr>
    </w:tbl>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receive-fixed, pay variable interest rate swap agreements for notional amounts of $600 million which are considered economic hedges of the Company’s $1.2 billion 3.50% fixed rate senior notes due 2029 (the “2029 Notes”). The Company receives a fixed 3.50% rate of interest on these swaps and pays the variable rate of SOFR plus 2.1865%. The interest rate swaps are not treated as hedges for accounting purposes and, as a result, changes in fair value are recorded in earnings under the caption “Gain (loss) on derivative instruments, net” in the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interest rate swaps were designated as fair value hedges at inception, but the Company subsequently elected to discontinue hedge accounting. The cumulative fair value basis adjustment recorded at the time of dedesignation is being amortized to interest expense over the remaining term of the 2029 Notes utilizing the effective interest method. See Note 8—</w:t>
      </w:r>
      <w:hyperlink w:anchor="if356e22aca5d43fda4d5672a01ecddc5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13—</w:t>
      </w:r>
      <w:hyperlink w:anchor="if356e22aca5d43fda4d5672a01ecddc5_73">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gains and losses on derivative instruments not designated as hedging instruments included in the condensed consolidated statements of operations: </w:t>
      </w:r>
    </w:p>
    <w:tbl>
      <w:tblPr>
        <w:tblW w:w="7538" w:type="dxa"/>
        <w:jc w:val="left"/>
        <w:tblInd w:w="0" w:type="dxa"/>
        <w:tblLayout w:type="fixed"/>
        <w:tblCellMar>
          <w:top w:w="28" w:type="dxa"/>
          <w:left w:w="28" w:type="dxa"/>
          <w:bottom w:w="28" w:type="dxa"/>
          <w:right w:w="28" w:type="dxa"/>
        </w:tblCellMar>
      </w:tblPr>
      <w:tblGrid>
        <w:gridCol w:w="1270"/>
        <w:gridCol w:w="1118"/>
        <w:gridCol w:w="1121"/>
        <w:gridCol w:w="109"/>
        <w:gridCol w:w="109"/>
        <w:gridCol w:w="288"/>
        <w:gridCol w:w="288"/>
        <w:gridCol w:w="559"/>
        <w:gridCol w:w="1155"/>
        <w:gridCol w:w="288"/>
        <w:gridCol w:w="109"/>
        <w:gridCol w:w="109"/>
        <w:gridCol w:w="109"/>
        <w:gridCol w:w="211"/>
        <w:gridCol w:w="54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"i0d77fdad85ad4c5b80695648ad1eb956_193"</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13—Fair Value Measurements in the Company’s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 certain financial instruments of the Company are reported at fair value on the Company’s condensed consolidated balance sheets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condensed consolidated balance sheets at March 31, 2024 and December 31,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provides the fair value of financial instruments that are recorded at fair value in the condensed consolidated balance sheets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2024 and December 31,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5281" w:type="dxa"/>
        <w:jc w:val="left"/>
        <w:tblInd w:w="0" w:type="dxa"/>
        <w:tblLayout w:type="fixed"/>
        <w:tblCellMar>
          <w:top w:w="28" w:type="dxa"/>
          <w:left w:w="28" w:type="dxa"/>
          <w:bottom w:w="28" w:type="dxa"/>
          <w:right w:w="28" w:type="dxa"/>
        </w:tblCellMar>
      </w:tblPr>
      <w:tblGrid>
        <w:gridCol w:w="185"/>
        <w:gridCol w:w="162"/>
        <w:gridCol w:w="1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the Viper credit agreement approximate their carrying values based on borrowing rates available to the Company for bank loans with similar terms and maturities and are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Assets and Liabilities Measured at Fair Value on a Nonrecurring Basis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gas properties, equity method investments, asset retirement obligations and other long-lived assets that are written down to fair value when they are impaired or held for sale. Refer to Note 4—</w:t>
      </w:r>
      <w:hyperlink w:anchor="if356e22aca5d43fda4d5672a01ecddc5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f356e22aca5d43fda4d5672a01ecddc5_52">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and cash equivalents, receivables, prepaid expenses and other current assets, payables and other accrued liabilities approximate their fair value because of the short-term nature of the instruments.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SUPPLEMENTAL INFORMATION TO STATEMENTS OF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303"/>
        <w:gridCol w:w="2019"/>
        <w:gridCol w:w="2031"/>
        <w:gridCol w:w="109"/>
        <w:gridCol w:w="109"/>
        <w:gridCol w:w="268"/>
        <w:gridCol w:w="268"/>
        <w:gridCol w:w="520"/>
        <w:gridCol w:w="1148"/>
        <w:gridCol w:w="268"/>
        <w:gridCol w:w="109"/>
        <w:gridCol w:w="109"/>
        <w:gridCol w:w="109"/>
        <w:gridCol w:w="211"/>
        <w:gridCol w:w="466"/>
        <w:gridCol w:w="158"/>
      </w:tblGrid>
      <w:tr>
        <w:trPr/>
        <w:tc>
          <w:tcPr>
            <w:tcW w:w="2303"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62" w:type="dxa"/>
            <w:gridSpan w:val="6"/>
            <w:tcBorders/>
          </w:tcPr>
          <w:p>
            <w:pPr>
              <w:pStyle w:val="TableContents"/>
              <w:bidi w:val="0"/>
              <w:spacing w:before="0" w:after="283"/>
              <w:jc w:val="left"/>
              <w:rPr>
                <w:sz w:val="4"/>
                <w:szCs w:val="4"/>
              </w:rPr>
            </w:pPr>
            <w:r>
              <w:rPr>
                <w:sz w:val="4"/>
                <w:szCs w:val="4"/>
              </w:rPr>
            </w:r>
          </w:p>
        </w:tc>
      </w:tr>
      <w:tr>
        <w:trPr/>
        <w:tc>
          <w:tcPr>
            <w:tcW w:w="6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accrued liabilities for contingencies related to outstanding legal proceedings, disputes or claims when information available indicates that a loss is probable and the amount of the loss can be reasonably estimated.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Several coastal Louisiana parishes and the State of Louisiana have filed numerous lawsuits under Louisiana’s State and Local Coastal Resources Management Act (“SLCRMA”) against numerous oil and gas producers seeking damages for coastal erosion in or near oil fields located within Louisiana’s coastal zone. The Company is a defendant in three of these cases, and Plaintiffs’ claims against the Company relate to the prior operations of entities previously acquired by Energen Corporation. The Company has exercised contractual indemnification rights where applicable. Plaintiffs’ SLCRMA theories are unprecedented, and there remains significant uncertainty about the claims (both as to scope and damages). Although we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16.    ENDEAVOR ENERGY RESOURCES, LP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the Company entered into an Agreement and Plan of Merger (the “Merger Agreement”), by and among the Company, Eclipse Merger Sub I, LLC, Eclipse Merger Sub II, LLC, Endeavor Manager, LLC (solely or purposes of certain sections set forth therein), and Endeavor Parent, LLC (“Endeavor”), to acquire Endeavor (the “Endeavor Acquisition”) for consideration consisting of a base cash amount of $8.0 billion, subject to adjustments under the terms of the Merger Agreement, and approximately 117.27 million shares of the Company’s common stock. The Endeavor Acquisition is expected to close in the fourth quarter of 2024, subject to the satisfaction or waiver of certain customary closing conditions, including the expiration or termination of the waiting period under the Hart-Scott-Rodino Antitrust Improvements Act of 1976, as amended. In a special meeting held on April 26, 2024, the Company’s stockholders approved the issuance of the Company’s common stock to Endeavor as consideration for the Endeavor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Endeavor Acquisition, equityholders of Endeavor are expected to hold, at closing, approximately 39.5% of the outstanding Company common stock. If the Merger Agreement is terminated under certain circumstances, the Company may be required to pay a termination fee of $1.4 billion, including if the proposed Merger Agreement is terminated because the Company’s board of directors has changed its recommendation in respect of the stockholder proposal relating to approval of the issuance of the Company common stock in the Endeavor Acquisition. Additionally, if the Merger Agreement is terminated because the Company’s stockholders fail to approve the issuance of the Company’s common stock in the Endeavor Acquisition and the termination fee is not payable in connection with such termination, the Company is required to reimburse Endeavor for its transaction related expenses, subject to a cap of $260 million. The payment of this reimbursement will reduce any termination fee that is subsequently payable by the Company.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First Quarter 2024 Dividend Declaration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2024, the board of directors of the Company declared a cash dividend for the first quarter of 2024 of $1.97 per share of common stock, payable on May 22, 2024 to its stockholders of record at the close of business on May 15, 2024. The dividend consists of a base quarterly dividend of $0.90 per share of common stock and a variable quarterly dividend of $1.07 per share of common stock. Future base and variable dividends are at the discretion of the board of directors of the Company. </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Notes Offering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18, 2024, the Company issued an aggregate of $5.5 billion in senior notes, consisting of (i) $850 million aggregate principal amount of 5.200% Senior Notes due April 18, 2027 (the “2027 Notes”), (ii) $850 million aggregate principal amount of 5.150% Senior Notes due January 30, 2030 (the “2030 Notes”), (iii) $1.3 billion aggregate principal amount of 5.400% Senior Notes due April 18, 2034 (the “2034 Notes”), (iv) $1.5 billion aggregate principal amount of 5.750% Senior Notes due April 18, 2054 (the “2054 Notes”), and (v) $1.0 billion aggregate principal amount of 5.900% Senior Notes due April 18, 2064 (the “2064 Notes” and together with the 2027 Notes, the 2030 Notes the 2034 Notes and the 2054 Notes, each a “series of the April 2024 Notes” and collectively, the “April 2024 Notes”). The Company received net proceeds of $5.5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billion, including discounts and underwriter fees. The Company intends to use the net proceeds to fund a portion of the cash consideration for the pending Endeavor Acquisition. Interest on the 2030 Notes is payable semi-annually on January 30 and July 30 of each year, beginning on July 30, 2024. Interest on each other series of notes will be payable semi-annually on April 18 and October 18 of each year, beginning on October 18,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has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 The sources of the revenue included in the “All Other” category include midstream gathering, compression, water handling, disposal and treatment operations which are primarily derived from intersegment transactions for services provided to the upstream segment. The segments comprise the structure used by the Company’s Chief Operating Decision Maker (“CODM”) to make key operating decisions and assess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results of the Company’s operating segments during the periods presented:</w:t>
      </w:r>
    </w:p>
    <w:p>
      <w:pPr>
        <w:pStyle w:val="TextBody"/>
        <w:bidi w:val="0"/>
        <w:spacing w:before="0" w:after="0"/>
        <w:jc w:val="both"/>
        <w:rPr/>
      </w:pPr>
      <w:r>
        <w:rPr/>
      </w:r>
    </w:p>
    <w:tbl>
      <w:tblPr>
        <w:tblW w:w="10059" w:type="dxa"/>
        <w:jc w:val="left"/>
        <w:tblInd w:w="0" w:type="dxa"/>
        <w:tblLayout w:type="fixed"/>
        <w:tblCellMar>
          <w:top w:w="28" w:type="dxa"/>
          <w:left w:w="28" w:type="dxa"/>
          <w:bottom w:w="28" w:type="dxa"/>
          <w:right w:w="28" w:type="dxa"/>
        </w:tblCellMar>
      </w:tblPr>
      <w:tblGrid>
        <w:gridCol w:w="1787"/>
        <w:gridCol w:w="1566"/>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59" w:type="dxa"/>
        <w:jc w:val="left"/>
        <w:tblInd w:w="0" w:type="dxa"/>
        <w:tblLayout w:type="fixed"/>
        <w:tblCellMar>
          <w:top w:w="28" w:type="dxa"/>
          <w:left w:w="28" w:type="dxa"/>
          <w:bottom w:w="28" w:type="dxa"/>
          <w:right w:w="28" w:type="dxa"/>
        </w:tblCellMar>
      </w:tblPr>
      <w:tblGrid>
        <w:gridCol w:w="1787"/>
        <w:gridCol w:w="1566"/>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f356e22aca5d43fda4d5672a01ecddc5_40">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18—</w:t>
      </w:r>
      <w:hyperlink w:anchor="if356e22aca5d43fda4d5672a01ecddc5_85">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as of March 31, 2024, we have one reportable segment, the upstream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First Quarter 2024 Financial and Operating Highlights</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Recorded net income of $768 million.</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 xml:space="preserve">Increased our annual base dividend to $3.60 per share, paid dividends to stockholders of $548 million during the first quarter of 2024 and declared a combined base and variable dividend payable in the second quarter of 2024 of $1.97 per share of common stock. </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 xml:space="preserve">Repurchased $42 million, excluding excise tax, of our common stock, leaving approximately $1.6 billion available for future purchases under our common stock repurchase program at March 31, 2024. </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Sold 13.23 million shares of Viper’s Class A Common Stock for approximately $451 million in net proceeds, which we intend to use to fund a portion of the cash consideration for the pending Endeavor Acquisition.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cash operating costs were $11.52 per BOE, including lease operating expenses of $6.08 per BOE, cash general and administrative expenses of $0.76 per BOE and production and ad valorem taxes and gathering and transportation expenses of $4.68 per BOE.</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Our average production was 461.1 MBOE/d.</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Drilled 69 gross horizontal wells in the Midland Basin and 10 gross horizontal wells in the Delaware Basin, and turned 101 gross operated horizontal wells (101 in the Midland Basin and none in the Delaware Basin) to production.</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Incurred capital expenditures, excluding acquisitions, of $609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both"/>
        <w:rPr>
          <w:rFonts w:ascii="Times New Roman;sans-serif" w:hAnsi="Times New Roman;sans-serif"/>
          <w:b/>
          <w:color w:val="000000"/>
          <w:sz w:val="20"/>
        </w:rPr>
      </w:pPr>
      <w:r>
        <w:rPr>
          <w:rFonts w:ascii="Times New Roman;sans-serif" w:hAnsi="Times New Roman;sans-serif"/>
          <w:b/>
          <w:color w:val="000000"/>
          <w:sz w:val="20"/>
        </w:rPr>
        <w:t>Transactions and Recent Developments</w:t>
      </w:r>
    </w:p>
    <w:p>
      <w:pPr>
        <w:pStyle w:val="TextBody"/>
        <w:bidi w:val="0"/>
        <w:spacing w:before="0" w:after="0"/>
        <w:jc w:val="both"/>
        <w:rPr/>
      </w:pPr>
      <w:r>
        <w:rPr/>
      </w:r>
    </w:p>
    <w:p>
      <w:pPr>
        <w:pStyle w:val="TextBody"/>
        <w:bidi w:val="0"/>
        <w:spacing w:lineRule="auto" w:line="264" w:before="0" w:after="0"/>
        <w:jc w:val="left"/>
        <w:rPr>
          <w:rFonts w:ascii="Times New Roman;sans-serif" w:hAnsi="Times New Roman;sans-serif"/>
          <w:b/>
          <w:i/>
          <w:color w:val="000000"/>
          <w:sz w:val="20"/>
        </w:rPr>
      </w:pPr>
      <w:r>
        <w:rPr>
          <w:rFonts w:ascii="Times New Roman;sans-serif" w:hAnsi="Times New Roman;sans-serif"/>
          <w:b/>
          <w:i/>
          <w:color w:val="000000"/>
          <w:sz w:val="20"/>
        </w:rPr>
        <w:t>Endeavor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2024, we entered into the Merger Agreement to acquire Endeavor for consideration consisting of a base cash amount of $8.0 billion, subject to adjustments under the terms of the Merger Agreement, and approximately 117.27 million shares of our common stock. The Endeavor Acquisition is expected to close in the fourth quarter of 2024, subject to the satisfaction or waiver of customary closing conditions, including the expiration or termination of the waiting period under the Hart-Scott-Rodino Antitrust Improvements Act of 1976, as amended. As a result of the Endeavor Acquisition, the Endeavor Stockholders are expected to hold, at closing, approximately 39.5% of our outstanding common stock. In a special meeting held on April 26, 2024, our stockholders approved the issuance of our common stock to Endeavor as consideration for the Endeavor Acquisition.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16—</w:t>
      </w:r>
      <w:hyperlink w:anchor="if356e22aca5d43fda4d5672a01ecddc5_1737">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the pending Endeavor Acquisition.</w:t>
      </w:r>
    </w:p>
    <w:p>
      <w:pPr>
        <w:pStyle w:val="TextBody"/>
        <w:bidi w:val="0"/>
        <w:spacing w:before="0" w:after="0"/>
        <w:ind w:left="0" w:right="0" w:firstLine="720"/>
        <w:jc w:val="both"/>
        <w:rPr/>
      </w:pPr>
      <w:r>
        <w:rPr/>
      </w:r>
    </w:p>
    <w:p>
      <w:pPr>
        <w:pStyle w:val="TextBody"/>
        <w:bidi w:val="0"/>
        <w:spacing w:lineRule="auto" w:line="264" w:before="0" w:after="0"/>
        <w:jc w:val="left"/>
        <w:rPr>
          <w:rFonts w:ascii="Times New Roman;sans-serif" w:hAnsi="Times New Roman;sans-serif"/>
          <w:b/>
          <w:i/>
          <w:color w:val="000000"/>
          <w:sz w:val="20"/>
        </w:rPr>
      </w:pPr>
      <w:r>
        <w:rPr>
          <w:rFonts w:ascii="Times New Roman;sans-serif" w:hAnsi="Times New Roman;sans-serif"/>
          <w:b/>
          <w:i/>
          <w:color w:val="000000"/>
          <w:sz w:val="20"/>
        </w:rPr>
        <w:t>Notes Offering</w:t>
      </w:r>
    </w:p>
    <w:p>
      <w:pPr>
        <w:pStyle w:val="TextBody"/>
        <w:bidi w:val="0"/>
        <w:spacing w:before="0" w:after="0"/>
        <w:jc w:val="left"/>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2024, we issued the April 2024 Notes for an aggregate principal amount of $5.5 billion. We intend to use the net proceeds from the April 2024 Notes to fund a portion of the cash consideration for the pending Endeavor Acquisition.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See Note 17—</w:t>
      </w:r>
      <w:hyperlink w:anchor="if356e22aca5d43fda4d5672a01ecddc5_82">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the offering of our April 2024 Notes.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Commodity Prices and Inflation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During the three months ended 2024 and 2023, NYMEX WTI prices averaged $76.91 and $75.99 per Bbl, respectively, and NYMEX Henry Hub prices averaged $2.10 and $2.74 per MMBtu, respectively.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For additional information around risks related to commodity prices, see </w:t>
      </w:r>
      <w:hyperlink w:anchor="if356e22aca5d43fda4d5672a01ecddc5_142">
        <w:r>
          <w:rPr>
            <w:rStyle w:val="InternetLink"/>
            <w:rFonts w:ascii="Times New Roman;sans-serif" w:hAnsi="Times New Roman;sans-serif"/>
            <w:b w:val="false"/>
            <w:color w:val="0000FF"/>
            <w:sz w:val="20"/>
            <w:u w:val="single"/>
          </w:rPr>
          <w:t>Part II. Item 3. Quantitative and Qualitative Disclosures About Market Risk—Commodity Price Risk</w:t>
        </w:r>
      </w:hyperlink>
      <w:r>
        <w:rPr>
          <w:rFonts w:ascii="Times New Roman;sans-serif" w:hAnsi="Times New Roman;sans-serif"/>
          <w:b w:val="false"/>
          <w:color w:val="000000"/>
          <w:sz w:val="20"/>
        </w:rPr>
        <w:t xml:space="preserv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Upstream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approximately 487,264 net acres, which primarily consisted of approximately 346,911 net acres in the Midland Basin and 140,033 net acres in the Delaware Basin.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production to stay relatively flat in the second quarter of 2024 as we continue to promote our commitment to capital efficiency. We also anticipate that capital expenditures will remain flat due to lower well costs in 2024 and a reduction in drilling activity as a result of keeping production flat. We continue to see lower completion costs due to a continuous decline in raw materials and service costs. The majority of our wells are now being completed with either a simulfrac or simulfrac e-fleet, reducing our exposure to spot frac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periods indicated:</w:t>
      </w:r>
    </w:p>
    <w:p>
      <w:pPr>
        <w:pStyle w:val="TextBody"/>
        <w:bidi w:val="0"/>
        <w:spacing w:before="0" w:after="0"/>
        <w:ind w:left="0" w:right="0" w:firstLine="720"/>
        <w:jc w:val="both"/>
        <w:rPr/>
      </w:pPr>
      <w:r>
        <w:rPr/>
      </w:r>
    </w:p>
    <w:tbl>
      <w:tblPr>
        <w:tblW w:w="5828" w:type="dxa"/>
        <w:jc w:val="left"/>
        <w:tblInd w:w="0" w:type="dxa"/>
        <w:tblLayout w:type="fixed"/>
        <w:tblCellMar>
          <w:top w:w="28" w:type="dxa"/>
          <w:left w:w="28" w:type="dxa"/>
          <w:bottom w:w="28" w:type="dxa"/>
          <w:right w:w="28" w:type="dxa"/>
        </w:tblCellMar>
      </w:tblPr>
      <w:tblGrid>
        <w:gridCol w:w="497"/>
        <w:gridCol w:w="439"/>
        <w:gridCol w:w="443"/>
        <w:gridCol w:w="185"/>
        <w:gridCol w:w="185"/>
        <w:gridCol w:w="186"/>
        <w:gridCol w:w="142"/>
        <w:gridCol w:w="142"/>
        <w:gridCol w:w="142"/>
        <w:gridCol w:w="191"/>
        <w:gridCol w:w="170"/>
        <w:gridCol w:w="142"/>
        <w:gridCol w:w="142"/>
        <w:gridCol w:w="142"/>
        <w:gridCol w:w="142"/>
        <w:gridCol w:w="243"/>
        <w:gridCol w:w="223"/>
        <w:gridCol w:w="181"/>
        <w:gridCol w:w="142"/>
        <w:gridCol w:w="142"/>
        <w:gridCol w:w="142"/>
        <w:gridCol w:w="214"/>
        <w:gridCol w:w="192"/>
        <w:gridCol w:w="142"/>
        <w:gridCol w:w="109"/>
        <w:gridCol w:w="109"/>
        <w:gridCol w:w="109"/>
        <w:gridCol w:w="109"/>
        <w:gridCol w:w="109"/>
        <w:gridCol w:w="109"/>
        <w:gridCol w:w="109"/>
        <w:gridCol w:w="154"/>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50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average lateral length for the wells completed during the first quarter of 2024 was 11,463 feet. Operated completions during the first quarter of 2024 consisted of 30 Lower Spraberry wells, 19 Wolfcamp A wells, 16 Jo Mill wells, 15 Wolfcamp B wells, 12 Middle Spraberry wells, six Wolfcamp D wells and three Upper Spraberry wells.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operated the following wells:</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held interests in 21,251 gross (5,411 net) wells, including 528 gross (85 net) wells in which we have a non-operated working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Guidance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current estimates, which do not take into account the pending Endeavor Acquisition, of certain financial and operating results for the full year of 2024, as well as production and cash tax guidance for the second quarter of 2024:</w:t>
      </w:r>
    </w:p>
    <w:p>
      <w:pPr>
        <w:pStyle w:val="TextBody"/>
        <w:bidi w:val="0"/>
        <w:spacing w:before="0" w:after="0"/>
        <w:ind w:left="0" w:right="0" w:firstLine="720"/>
        <w:jc w:val="both"/>
        <w:rPr/>
      </w:pPr>
      <w:r>
        <w:rPr/>
      </w:r>
    </w:p>
    <w:tbl>
      <w:tblPr>
        <w:tblW w:w="6180" w:type="dxa"/>
        <w:jc w:val="left"/>
        <w:tblInd w:w="0" w:type="dxa"/>
        <w:tblLayout w:type="fixed"/>
        <w:tblCellMar>
          <w:top w:w="28" w:type="dxa"/>
          <w:left w:w="28" w:type="dxa"/>
          <w:bottom w:w="28" w:type="dxa"/>
          <w:right w:w="28" w:type="dxa"/>
        </w:tblCellMar>
      </w:tblPr>
      <w:tblGrid>
        <w:gridCol w:w="1561"/>
        <w:gridCol w:w="1370"/>
        <w:gridCol w:w="1374"/>
        <w:gridCol w:w="548"/>
        <w:gridCol w:w="548"/>
        <w:gridCol w:w="779"/>
      </w:tblGrid>
      <w:tr>
        <w:trPr/>
        <w:tc>
          <w:tcPr>
            <w:tcW w:w="1561"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2024 Guidance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production - MBOE/d</w:t>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458 - 466</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production - MBO/d</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270 - 275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Q2 2024 oil production - MBO/d (total - MBOE/d)</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271 - 275 (459 - 466)</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(Unit costs $/BOE):</w:t>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including workovers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$6.00 - $6.50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 cash</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$0.55 - $0.65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$0.40 - $0.50</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$10.50 - $11.50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$1.65 - $1.85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$1.80 - $2.00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tax rate (% of pre-tax income)</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- 18%</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Q2 2024 cash taxes (in millions)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$180 - $220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2024 and December 31,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noted in “</w:t>
      </w:r>
      <w:r>
        <w:rPr>
          <w:color w:val="000000"/>
        </w:rPr>
        <w:t>—</w:t>
      </w:r>
      <w:hyperlink w:anchor="if356e22aca5d43fda4d5672a01ecddc5_100">
        <w:r>
          <w:rPr>
            <w:rStyle w:val="InternetLink"/>
            <w:rFonts w:ascii="Times New Roman;sans-serif" w:hAnsi="Times New Roman;sans-serif"/>
            <w:b w:val="false"/>
            <w:i/>
            <w:color w:val="0000FF"/>
            <w:sz w:val="20"/>
            <w:u w:val="single"/>
          </w:rPr>
          <w:t>Commodity Prices and Inflation</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March 31, 2024 and December 31, 2023:</w:t>
      </w:r>
    </w:p>
    <w:p>
      <w:pPr>
        <w:pStyle w:val="TextBody"/>
        <w:bidi w:val="0"/>
        <w:spacing w:before="0" w:after="0"/>
        <w:ind w:left="0" w:right="0" w:firstLine="720"/>
        <w:jc w:val="both"/>
        <w:rPr/>
      </w:pPr>
      <w:r>
        <w:rPr/>
      </w:r>
    </w:p>
    <w:tbl>
      <w:tblPr>
        <w:tblW w:w="7587" w:type="dxa"/>
        <w:jc w:val="left"/>
        <w:tblInd w:w="0" w:type="dxa"/>
        <w:tblLayout w:type="fixed"/>
        <w:tblCellMar>
          <w:top w:w="28" w:type="dxa"/>
          <w:left w:w="28" w:type="dxa"/>
          <w:bottom w:w="28" w:type="dxa"/>
          <w:right w:w="28" w:type="dxa"/>
        </w:tblCellMar>
      </w:tblPr>
      <w:tblGrid>
        <w:gridCol w:w="1587"/>
        <w:gridCol w:w="1391"/>
        <w:gridCol w:w="1402"/>
        <w:gridCol w:w="291"/>
        <w:gridCol w:w="849"/>
        <w:gridCol w:w="150"/>
        <w:gridCol w:w="109"/>
        <w:gridCol w:w="109"/>
        <w:gridCol w:w="109"/>
        <w:gridCol w:w="342"/>
        <w:gridCol w:w="999"/>
        <w:gridCol w:w="249"/>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462,565 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provide information on the mix of our production for the three months ended March 31, 2024 and December 31, 2023:</w:t>
      </w:r>
    </w:p>
    <w:p>
      <w:pPr>
        <w:pStyle w:val="TextBody"/>
        <w:bidi w:val="0"/>
        <w:spacing w:before="0" w:after="0"/>
        <w:ind w:left="0" w:right="0" w:firstLine="720"/>
        <w:jc w:val="both"/>
        <w:rPr/>
      </w:pPr>
      <w:r>
        <w:rPr/>
      </w:r>
    </w:p>
    <w:tbl>
      <w:tblPr>
        <w:tblW w:w="5684" w:type="dxa"/>
        <w:jc w:val="left"/>
        <w:tblInd w:w="0" w:type="dxa"/>
        <w:tblLayout w:type="fixed"/>
        <w:tblCellMar>
          <w:top w:w="28" w:type="dxa"/>
          <w:left w:w="28" w:type="dxa"/>
          <w:bottom w:w="28" w:type="dxa"/>
          <w:right w:w="28" w:type="dxa"/>
        </w:tblCellMar>
      </w:tblPr>
      <w:tblGrid>
        <w:gridCol w:w="857"/>
        <w:gridCol w:w="753"/>
        <w:gridCol w:w="760"/>
        <w:gridCol w:w="287"/>
        <w:gridCol w:w="287"/>
        <w:gridCol w:w="715"/>
        <w:gridCol w:w="145"/>
        <w:gridCol w:w="145"/>
        <w:gridCol w:w="145"/>
        <w:gridCol w:w="323"/>
        <w:gridCol w:w="323"/>
        <w:gridCol w:w="94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tbl>
      <w:tblPr>
        <w:tblW w:w="10326"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 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the Rockies, High Plains, Eagle Ford Shale, Appalachia, Barnett, Denver-Julesburg, Mid-Con, and Williston.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the Rockies and High Plains.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first quarter of 2024 decreased by $64 million to $2.1 billion compared to the fourth quarter of 2023. The decrease consisted of $38 million attributable to lower average prices received for our oil and natural gas production and $26 million attributable to the 1% decline in our combined volumes sold.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We have entered into purchase transactions and separate sales transactions with third parties to satisfy certain of our unused oil pipeline capacity commitments. The following table presents the net sales of purchased oil from third parties for the three months ended March 31, 2024 and December 31, 2023:</w:t>
      </w:r>
    </w:p>
    <w:p>
      <w:pPr>
        <w:pStyle w:val="TextBody"/>
        <w:bidi w:val="0"/>
        <w:spacing w:before="0" w:after="0"/>
        <w:ind w:left="0" w:right="0" w:firstLine="720"/>
        <w:jc w:val="both"/>
        <w:rPr/>
      </w:pPr>
      <w:r>
        <w:rPr/>
      </w:r>
    </w:p>
    <w:tbl>
      <w:tblPr>
        <w:tblW w:w="5397" w:type="dxa"/>
        <w:jc w:val="left"/>
        <w:tblInd w:w="0" w:type="dxa"/>
        <w:tblLayout w:type="fixed"/>
        <w:tblCellMar>
          <w:top w:w="28" w:type="dxa"/>
          <w:left w:w="28" w:type="dxa"/>
          <w:bottom w:w="28" w:type="dxa"/>
          <w:right w:w="28" w:type="dxa"/>
        </w:tblCellMar>
      </w:tblPr>
      <w:tblGrid>
        <w:gridCol w:w="793"/>
        <w:gridCol w:w="695"/>
        <w:gridCol w:w="702"/>
        <w:gridCol w:w="346"/>
        <w:gridCol w:w="765"/>
        <w:gridCol w:w="179"/>
        <w:gridCol w:w="109"/>
        <w:gridCol w:w="109"/>
        <w:gridCol w:w="109"/>
        <w:gridCol w:w="434"/>
        <w:gridCol w:w="837"/>
        <w:gridCol w:w="319"/>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presents other insignificant revenue for the three months ended March 31, 2024 and December 31, 2023:</w:t>
      </w:r>
    </w:p>
    <w:p>
      <w:pPr>
        <w:pStyle w:val="TextBody"/>
        <w:bidi w:val="0"/>
        <w:spacing w:before="0" w:after="0"/>
        <w:ind w:left="0" w:right="0" w:firstLine="720"/>
        <w:jc w:val="both"/>
        <w:rPr/>
      </w:pPr>
      <w:r>
        <w:rPr/>
      </w:r>
    </w:p>
    <w:tbl>
      <w:tblPr>
        <w:tblW w:w="5258" w:type="dxa"/>
        <w:jc w:val="left"/>
        <w:tblInd w:w="0" w:type="dxa"/>
        <w:tblLayout w:type="fixed"/>
        <w:tblCellMar>
          <w:top w:w="28" w:type="dxa"/>
          <w:left w:w="28" w:type="dxa"/>
          <w:bottom w:w="28" w:type="dxa"/>
          <w:right w:w="28" w:type="dxa"/>
        </w:tblCellMar>
      </w:tblPr>
      <w:tblGrid>
        <w:gridCol w:w="738"/>
        <w:gridCol w:w="648"/>
        <w:gridCol w:w="654"/>
        <w:gridCol w:w="400"/>
        <w:gridCol w:w="683"/>
        <w:gridCol w:w="206"/>
        <w:gridCol w:w="113"/>
        <w:gridCol w:w="113"/>
        <w:gridCol w:w="113"/>
        <w:gridCol w:w="462"/>
        <w:gridCol w:w="790"/>
        <w:gridCol w:w="338"/>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March 31, 2024 and December 31, 2023:</w:t>
      </w:r>
    </w:p>
    <w:p>
      <w:pPr>
        <w:pStyle w:val="TextBody"/>
        <w:bidi w:val="0"/>
        <w:spacing w:before="0" w:after="0"/>
        <w:ind w:left="0" w:right="0" w:firstLine="720"/>
        <w:jc w:val="both"/>
        <w:rPr/>
      </w:pPr>
      <w:r>
        <w:rPr/>
      </w:r>
    </w:p>
    <w:tbl>
      <w:tblPr>
        <w:tblW w:w="8206"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remained relatively flat in total and on a per BOE basis for the first quarter of 2024 compared to the fourth quarter of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March 31, 2024 and December 31,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However, due to the recent settlement of an ongoing audit of production taxes from historical periods, the first quarter of 2024 includes a refund of $17 million and the fourth quarter of 2023 includes a refund of $8 million, which primarily accounts for the decrease in production taxes between periods and as a percentage of revenue. The remainder of the decrease is largely attributable to the decline in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During the first quarter of 2024 compared to the fourth quarter of 2023, ad valorem taxes increased by $26 million due primarily to the fourth quarter of 2023 reflecting a reduction to the full year 2023 accrual for ad valorem taxes based on actual tax assessments received.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and Transportation Expense.</w:t>
      </w:r>
      <w:r>
        <w:rPr>
          <w:color w:val="000000"/>
        </w:rPr>
        <w:t xml:space="preserve"> </w:t>
      </w:r>
      <w:r>
        <w:rPr>
          <w:rFonts w:ascii="Times New Roman;sans-serif" w:hAnsi="Times New Roman;sans-serif"/>
          <w:b w:val="false"/>
          <w:color w:val="000000"/>
          <w:sz w:val="20"/>
        </w:rPr>
        <w:t>The following table shows gathering and transportation expense for the three months ended March 31, 2024 and December 31, 2023:</w:t>
      </w:r>
    </w:p>
    <w:p>
      <w:pPr>
        <w:pStyle w:val="TextBody"/>
        <w:bidi w:val="0"/>
        <w:spacing w:before="0" w:after="0"/>
        <w:ind w:left="0" w:right="0" w:firstLine="720"/>
        <w:jc w:val="both"/>
        <w:rPr/>
      </w:pPr>
      <w:r>
        <w:rPr/>
      </w:r>
    </w:p>
    <w:tbl>
      <w:tblPr>
        <w:tblW w:w="8482" w:type="dxa"/>
        <w:jc w:val="left"/>
        <w:tblInd w:w="0" w:type="dxa"/>
        <w:tblLayout w:type="fixed"/>
        <w:tblCellMar>
          <w:top w:w="28" w:type="dxa"/>
          <w:left w:w="28" w:type="dxa"/>
          <w:bottom w:w="28" w:type="dxa"/>
          <w:right w:w="28" w:type="dxa"/>
        </w:tblCellMar>
      </w:tblPr>
      <w:tblGrid>
        <w:gridCol w:w="1237"/>
        <w:gridCol w:w="1087"/>
        <w:gridCol w:w="1096"/>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09"/>
        <w:gridCol w:w="109"/>
        <w:gridCol w:w="109"/>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Gathering, processing and transportation expenses in total and on a per BOE basis remained relatively flat in the first quarter of 2024 compared to the fourth quarter of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March 31, 2024 and December 31, 2023:</w:t>
      </w:r>
    </w:p>
    <w:p>
      <w:pPr>
        <w:pStyle w:val="TextBody"/>
        <w:bidi w:val="0"/>
        <w:spacing w:before="0" w:after="0"/>
        <w:ind w:left="0" w:right="0" w:firstLine="720"/>
        <w:jc w:val="both"/>
        <w:rPr/>
      </w:pPr>
      <w:r>
        <w:rPr/>
      </w:r>
    </w:p>
    <w:tbl>
      <w:tblPr>
        <w:tblW w:w="8472" w:type="dxa"/>
        <w:jc w:val="left"/>
        <w:tblInd w:w="0" w:type="dxa"/>
        <w:tblLayout w:type="fixed"/>
        <w:tblCellMar>
          <w:top w:w="28" w:type="dxa"/>
          <w:left w:w="28" w:type="dxa"/>
          <w:bottom w:w="28" w:type="dxa"/>
          <w:right w:w="28" w:type="dxa"/>
        </w:tblCellMar>
      </w:tblPr>
      <w:tblGrid>
        <w:gridCol w:w="1905"/>
        <w:gridCol w:w="1673"/>
        <w:gridCol w:w="1687"/>
        <w:gridCol w:w="291"/>
        <w:gridCol w:w="849"/>
        <w:gridCol w:w="150"/>
        <w:gridCol w:w="109"/>
        <w:gridCol w:w="109"/>
        <w:gridCol w:w="109"/>
        <w:gridCol w:w="342"/>
        <w:gridCol w:w="999"/>
        <w:gridCol w:w="249"/>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Depletion of proved oil and natural gas properties in total and on a per BOE basis was flat in the first quarter of 2024 as compared to the fourth quarter of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March 31, 2024 and December 31, 2023:</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in the first quarter of 2024 compared to the fourth quarter of 2023 primarily due to (i) $2 million in additional charitable contributions, (ii) $2 million in additional professional services, and (iii) other individually insignificant changes.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other operating costs and expenses for the three months ended March 31, 2024 and December 31, 2023:</w:t>
      </w:r>
    </w:p>
    <w:p>
      <w:pPr>
        <w:pStyle w:val="TextBody"/>
        <w:bidi w:val="0"/>
        <w:spacing w:before="0" w:after="0"/>
        <w:ind w:left="0" w:right="0" w:firstLine="720"/>
        <w:jc w:val="both"/>
        <w:rPr/>
      </w:pPr>
      <w:r>
        <w:rPr/>
      </w:r>
    </w:p>
    <w:tbl>
      <w:tblPr>
        <w:tblW w:w="6419" w:type="dxa"/>
        <w:jc w:val="left"/>
        <w:tblInd w:w="0" w:type="dxa"/>
        <w:tblLayout w:type="fixed"/>
        <w:tblCellMar>
          <w:top w:w="28" w:type="dxa"/>
          <w:left w:w="28" w:type="dxa"/>
          <w:bottom w:w="28" w:type="dxa"/>
          <w:right w:w="28" w:type="dxa"/>
        </w:tblCellMar>
      </w:tblPr>
      <w:tblGrid>
        <w:gridCol w:w="1004"/>
        <w:gridCol w:w="881"/>
        <w:gridCol w:w="889"/>
        <w:gridCol w:w="399"/>
        <w:gridCol w:w="684"/>
        <w:gridCol w:w="206"/>
        <w:gridCol w:w="110"/>
        <w:gridCol w:w="110"/>
        <w:gridCol w:w="110"/>
        <w:gridCol w:w="449"/>
        <w:gridCol w:w="864"/>
        <w:gridCol w:w="232"/>
        <w:gridCol w:w="109"/>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Merger and integration expenses in the first quarter of 2024 relate to the pending Endeavor Acquisition as discussed in Note 16—</w:t>
      </w:r>
      <w:hyperlink w:anchor="if356e22aca5d43fda4d5672a01ecddc5_1737">
        <w:r>
          <w:rPr>
            <w:rStyle w:val="InternetLink"/>
            <w:rFonts w:ascii="Times New Roman;sans-serif" w:hAnsi="Times New Roman;sans-serif"/>
            <w:b w:val="false"/>
            <w:color w:val="0000FF"/>
            <w:sz w:val="20"/>
            <w:u w:val="single"/>
          </w:rPr>
          <w:t>Endeavor Energy Resources, LP Acquisition</w:t>
        </w:r>
      </w:hyperlink>
      <w:r>
        <w:rPr>
          <w:color w:val="000000"/>
        </w:rPr>
        <w:t xml:space="preserve"> </w:t>
      </w:r>
      <w:r>
        <w:rPr>
          <w:rFonts w:ascii="Times New Roman;sans-serif" w:hAnsi="Times New Roman;sans-serif"/>
          <w:b w:val="false"/>
          <w:color w:val="000000"/>
          <w:sz w:val="20"/>
        </w:rPr>
        <w:t>to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March 31, 2024 and December 31, 2023:</w:t>
      </w:r>
    </w:p>
    <w:p>
      <w:pPr>
        <w:pStyle w:val="TextBody"/>
        <w:bidi w:val="0"/>
        <w:spacing w:before="0" w:after="0"/>
        <w:ind w:left="0" w:right="0" w:firstLine="720"/>
        <w:jc w:val="both"/>
        <w:rPr/>
      </w:pPr>
      <w:r>
        <w:rPr/>
      </w:r>
    </w:p>
    <w:tbl>
      <w:tblPr>
        <w:tblW w:w="6655" w:type="dxa"/>
        <w:jc w:val="left"/>
        <w:tblInd w:w="0" w:type="dxa"/>
        <w:tblLayout w:type="fixed"/>
        <w:tblCellMar>
          <w:top w:w="28" w:type="dxa"/>
          <w:left w:w="28" w:type="dxa"/>
          <w:bottom w:w="28" w:type="dxa"/>
          <w:right w:w="28" w:type="dxa"/>
        </w:tblCellMar>
      </w:tblPr>
      <w:tblGrid>
        <w:gridCol w:w="1248"/>
        <w:gridCol w:w="1093"/>
        <w:gridCol w:w="1108"/>
        <w:gridCol w:w="360"/>
        <w:gridCol w:w="744"/>
        <w:gridCol w:w="186"/>
        <w:gridCol w:w="109"/>
        <w:gridCol w:w="109"/>
        <w:gridCol w:w="109"/>
        <w:gridCol w:w="451"/>
        <w:gridCol w:w="805"/>
        <w:gridCol w:w="333"/>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gain (loss) on derivative instruments for the first quarter of 2024 compared to the fourth quarter of 2023 primarily reflects a decrease in the value of interest rate swaps of $100 million due to an increase in SOFR rates, and a decrease in the value of our oil commodity contracts of $64 million due to increasing market prices for oil compared to our contract prices. Net cash paid on settlements of derivatives in the fourth quarter of 2023 includes $27 million for the semi-annual settlement of our interest rate swaps. See Note 12—</w:t>
      </w:r>
      <w:hyperlink w:anchor="if356e22aca5d43fda4d5672a01ecddc5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March 31, 2024 and December 31, 2023:</w:t>
      </w:r>
    </w:p>
    <w:p>
      <w:pPr>
        <w:pStyle w:val="TextBody"/>
        <w:bidi w:val="0"/>
        <w:spacing w:before="0" w:after="0"/>
        <w:ind w:left="0" w:right="0" w:firstLine="720"/>
        <w:jc w:val="both"/>
        <w:rPr/>
      </w:pPr>
      <w:r>
        <w:rPr/>
      </w:r>
    </w:p>
    <w:tbl>
      <w:tblPr>
        <w:tblW w:w="7197" w:type="dxa"/>
        <w:jc w:val="left"/>
        <w:tblInd w:w="0" w:type="dxa"/>
        <w:tblLayout w:type="fixed"/>
        <w:tblCellMar>
          <w:top w:w="28" w:type="dxa"/>
          <w:left w:w="28" w:type="dxa"/>
          <w:bottom w:w="28" w:type="dxa"/>
          <w:right w:w="28" w:type="dxa"/>
        </w:tblCellMar>
      </w:tblPr>
      <w:tblGrid>
        <w:gridCol w:w="1287"/>
        <w:gridCol w:w="1129"/>
        <w:gridCol w:w="1138"/>
        <w:gridCol w:w="360"/>
        <w:gridCol w:w="744"/>
        <w:gridCol w:w="186"/>
        <w:gridCol w:w="109"/>
        <w:gridCol w:w="109"/>
        <w:gridCol w:w="109"/>
        <w:gridCol w:w="449"/>
        <w:gridCol w:w="864"/>
        <w:gridCol w:w="232"/>
        <w:gridCol w:w="109"/>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interest expense for the first quarter of 2024 compared to the fourth quarter of 2023 primarily consists of an additional $10 million in amortization of debt issuance costs related primarily to our Bridge Facility and Term Loan Agreement.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8—</w:t>
      </w:r>
      <w:hyperlink w:anchor="if356e22aca5d43fda4d5672a01ecddc5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details regarding outstanding borrowings and gain (loss) on extinguishment of debt.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March 31, 2024 and December 31, 2023:</w:t>
      </w:r>
    </w:p>
    <w:p>
      <w:pPr>
        <w:pStyle w:val="TextBody"/>
        <w:bidi w:val="0"/>
        <w:spacing w:before="0" w:after="0"/>
        <w:ind w:left="0" w:right="0" w:firstLine="720"/>
        <w:jc w:val="both"/>
        <w:rPr/>
      </w:pPr>
      <w:r>
        <w:rPr/>
      </w:r>
    </w:p>
    <w:tbl>
      <w:tblPr>
        <w:tblW w:w="6642" w:type="dxa"/>
        <w:jc w:val="left"/>
        <w:tblInd w:w="0" w:type="dxa"/>
        <w:tblLayout w:type="fixed"/>
        <w:tblCellMar>
          <w:top w:w="28" w:type="dxa"/>
          <w:left w:w="28" w:type="dxa"/>
          <w:bottom w:w="28" w:type="dxa"/>
          <w:right w:w="28" w:type="dxa"/>
        </w:tblCellMar>
      </w:tblPr>
      <w:tblGrid>
        <w:gridCol w:w="1243"/>
        <w:gridCol w:w="1091"/>
        <w:gridCol w:w="1101"/>
        <w:gridCol w:w="346"/>
        <w:gridCol w:w="765"/>
        <w:gridCol w:w="179"/>
        <w:gridCol w:w="109"/>
        <w:gridCol w:w="109"/>
        <w:gridCol w:w="109"/>
        <w:gridCol w:w="402"/>
        <w:gridCol w:w="891"/>
        <w:gridCol w:w="297"/>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reduction in our income tax provision for the first quarter of 2024 compared to the fourth quarter of 2023 was primarily due to the decrease in pre-tax income between the periods which resulted largely from a decrease in the value of our derivative instruments as discussed above. See Note 11—</w:t>
      </w:r>
      <w:hyperlink w:anchor="if356e22aca5d43fda4d5672a01ecddc5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discussion of our income tax expense.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2024 and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March 31, 2024 and 2023:</w:t>
      </w:r>
    </w:p>
    <w:p>
      <w:pPr>
        <w:pStyle w:val="TextBody"/>
        <w:bidi w:val="0"/>
        <w:spacing w:before="0" w:after="0"/>
        <w:jc w:val="both"/>
        <w:rPr/>
      </w:pPr>
      <w:r>
        <w:rPr/>
      </w:r>
    </w:p>
    <w:tbl>
      <w:tblPr>
        <w:tblW w:w="7000" w:type="dxa"/>
        <w:jc w:val="left"/>
        <w:tblInd w:w="0" w:type="dxa"/>
        <w:tblLayout w:type="fixed"/>
        <w:tblCellMar>
          <w:top w:w="28" w:type="dxa"/>
          <w:left w:w="28" w:type="dxa"/>
          <w:bottom w:w="28" w:type="dxa"/>
          <w:right w:w="28" w:type="dxa"/>
        </w:tblCellMar>
      </w:tblPr>
      <w:tblGrid>
        <w:gridCol w:w="1587"/>
        <w:gridCol w:w="1391"/>
        <w:gridCol w:w="1402"/>
        <w:gridCol w:w="246"/>
        <w:gridCol w:w="720"/>
        <w:gridCol w:w="127"/>
        <w:gridCol w:w="127"/>
        <w:gridCol w:w="127"/>
        <w:gridCol w:w="127"/>
        <w:gridCol w:w="246"/>
        <w:gridCol w:w="720"/>
        <w:gridCol w:w="180"/>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set forth the mix of our production data by product and basin for the three months ended March 31, 2024 and 2023:</w:t>
      </w:r>
    </w:p>
    <w:p>
      <w:pPr>
        <w:pStyle w:val="TextBody"/>
        <w:bidi w:val="0"/>
        <w:spacing w:before="0" w:after="0"/>
        <w:ind w:left="0" w:right="0" w:firstLine="720"/>
        <w:jc w:val="both"/>
        <w:rPr/>
      </w:pPr>
      <w:r>
        <w:rPr/>
      </w:r>
    </w:p>
    <w:tbl>
      <w:tblPr>
        <w:tblW w:w="5117" w:type="dxa"/>
        <w:jc w:val="left"/>
        <w:tblInd w:w="0" w:type="dxa"/>
        <w:tblLayout w:type="fixed"/>
        <w:tblCellMar>
          <w:top w:w="28" w:type="dxa"/>
          <w:left w:w="28" w:type="dxa"/>
          <w:bottom w:w="28" w:type="dxa"/>
          <w:right w:w="28" w:type="dxa"/>
        </w:tblCellMar>
      </w:tblPr>
      <w:tblGrid>
        <w:gridCol w:w="857"/>
        <w:gridCol w:w="753"/>
        <w:gridCol w:w="760"/>
        <w:gridCol w:w="273"/>
        <w:gridCol w:w="212"/>
        <w:gridCol w:w="527"/>
        <w:gridCol w:w="212"/>
        <w:gridCol w:w="212"/>
        <w:gridCol w:w="212"/>
        <w:gridCol w:w="273"/>
        <w:gridCol w:w="212"/>
        <w:gridCol w:w="61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10326"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Rockies, High Plains, Eagle Ford Shale, Appalachia, Barnett, Denver-Julesburg, Mid-Con, and Williston.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the Rockies and High Plains.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 xml:space="preserve">Our revenues are a function of oil, natural gas and natural gas liquids production volumes sold and average sales prices received for those volumes.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three months ended March 31, 2024 increased by $199 million, or 10%, to $2.1 billion from the same period in 2023 primarily due to an increase of $191 million attributable to the 10% growth in our combined volumes. Approximately 19% of the increase in production is attributable to the GRP Acquisition and an additional 9% is attributable to including a full quarter of production from the Lario Acquisition. The remainder of the growth comes from new wells added between periods.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Beginning in the third quarter of 2023, we entered into purchase transactions and separate sale transactions with third parties to satisfy certain of our unused oil pipeline capacity commitments. The following table presents the net sales of purchased oil from third parties for the three months ended March 31, 2024 and 2023:</w:t>
      </w:r>
    </w:p>
    <w:p>
      <w:pPr>
        <w:pStyle w:val="TextBody"/>
        <w:bidi w:val="0"/>
        <w:spacing w:before="0" w:after="0"/>
        <w:ind w:left="0" w:right="0" w:firstLine="720"/>
        <w:jc w:val="both"/>
        <w:rPr/>
      </w:pPr>
      <w:r>
        <w:rPr/>
      </w:r>
    </w:p>
    <w:tbl>
      <w:tblPr>
        <w:tblW w:w="4810" w:type="dxa"/>
        <w:jc w:val="left"/>
        <w:tblInd w:w="0" w:type="dxa"/>
        <w:tblLayout w:type="fixed"/>
        <w:tblCellMar>
          <w:top w:w="28" w:type="dxa"/>
          <w:left w:w="28" w:type="dxa"/>
          <w:bottom w:w="28" w:type="dxa"/>
          <w:right w:w="28" w:type="dxa"/>
        </w:tblCellMar>
      </w:tblPr>
      <w:tblGrid>
        <w:gridCol w:w="793"/>
        <w:gridCol w:w="695"/>
        <w:gridCol w:w="702"/>
        <w:gridCol w:w="294"/>
        <w:gridCol w:w="649"/>
        <w:gridCol w:w="151"/>
        <w:gridCol w:w="151"/>
        <w:gridCol w:w="151"/>
        <w:gridCol w:w="151"/>
        <w:gridCol w:w="294"/>
        <w:gridCol w:w="565"/>
        <w:gridCol w:w="214"/>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insignificant revenues for the three months ended March 31, 2024 and 2023:</w:t>
      </w:r>
    </w:p>
    <w:p>
      <w:pPr>
        <w:pStyle w:val="TextBody"/>
        <w:bidi w:val="0"/>
        <w:spacing w:before="0" w:after="0"/>
        <w:ind w:left="0" w:right="0" w:firstLine="720"/>
        <w:jc w:val="both"/>
        <w:rPr/>
      </w:pPr>
      <w:r>
        <w:rPr/>
      </w:r>
    </w:p>
    <w:tbl>
      <w:tblPr>
        <w:tblW w:w="4663" w:type="dxa"/>
        <w:jc w:val="left"/>
        <w:tblInd w:w="0" w:type="dxa"/>
        <w:tblLayout w:type="fixed"/>
        <w:tblCellMar>
          <w:top w:w="28" w:type="dxa"/>
          <w:left w:w="28" w:type="dxa"/>
          <w:bottom w:w="28" w:type="dxa"/>
          <w:right w:w="28" w:type="dxa"/>
        </w:tblCellMar>
      </w:tblPr>
      <w:tblGrid>
        <w:gridCol w:w="738"/>
        <w:gridCol w:w="648"/>
        <w:gridCol w:w="654"/>
        <w:gridCol w:w="319"/>
        <w:gridCol w:w="546"/>
        <w:gridCol w:w="165"/>
        <w:gridCol w:w="165"/>
        <w:gridCol w:w="165"/>
        <w:gridCol w:w="165"/>
        <w:gridCol w:w="319"/>
        <w:gridCol w:w="546"/>
        <w:gridCol w:w="23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March 31, 2024 and 2023:</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increased by $63 million, or $1.06 per BOE for the three months ended March 31, 2024 compared to the same period in 2023. The increase primarily consists of (i) $26 million in additional costs incurred for water services as a result of divesting our Water Assets in the third quarter of 2023, (ii) approximately $19 million due to the increase in combined production volumes between the periods, and (iii) $16 million in increased spend on wellwork.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March 31, 2024 and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90"/>
        <w:gridCol w:w="455"/>
        <w:gridCol w:w="459"/>
        <w:gridCol w:w="211"/>
        <w:gridCol w:w="466"/>
        <w:gridCol w:w="109"/>
        <w:gridCol w:w="109"/>
        <w:gridCol w:w="109"/>
        <w:gridCol w:w="109"/>
        <w:gridCol w:w="211"/>
        <w:gridCol w:w="511"/>
        <w:gridCol w:w="109"/>
        <w:gridCol w:w="109"/>
        <w:gridCol w:w="109"/>
        <w:gridCol w:w="109"/>
        <w:gridCol w:w="409"/>
        <w:gridCol w:w="409"/>
        <w:gridCol w:w="1021"/>
        <w:gridCol w:w="109"/>
        <w:gridCol w:w="109"/>
        <w:gridCol w:w="109"/>
        <w:gridCol w:w="211"/>
        <w:gridCol w:w="466"/>
        <w:gridCol w:w="109"/>
        <w:gridCol w:w="109"/>
        <w:gridCol w:w="109"/>
        <w:gridCol w:w="109"/>
        <w:gridCol w:w="211"/>
        <w:gridCol w:w="511"/>
        <w:gridCol w:w="109"/>
        <w:gridCol w:w="109"/>
        <w:gridCol w:w="109"/>
        <w:gridCol w:w="109"/>
        <w:gridCol w:w="390"/>
        <w:gridCol w:w="384"/>
        <w:gridCol w:w="1119"/>
      </w:tblGrid>
      <w:tr>
        <w:trPr/>
        <w:tc>
          <w:tcPr>
            <w:tcW w:w="6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 oil, natural gas and natural gas liquids revenue</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for the 2024 period decreased compared to the same period in 2023, primarily due to a refund of $17 million received for settlement of an audit in the first quarter of 2024, which was partially offset by a $9 million increase in production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Ad valorem taxes for the three months ended March 31, 2024 as compared to the same period in 2023 decreased by $26 million, primarily due to a reduction in the expected ad valorem tax rates for 2024 compared to the expected rates in the first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and Transportation Expense.</w:t>
      </w:r>
      <w:r>
        <w:rPr>
          <w:color w:val="000000"/>
        </w:rPr>
        <w:t xml:space="preserve"> </w:t>
      </w:r>
      <w:r>
        <w:rPr>
          <w:rFonts w:ascii="Times New Roman;sans-serif" w:hAnsi="Times New Roman;sans-serif"/>
          <w:b w:val="false"/>
          <w:color w:val="000000"/>
          <w:sz w:val="20"/>
        </w:rPr>
        <w:t>The following table shows gathering and transportation expense for the three months ended March 31, 2024 and 2023:</w:t>
      </w:r>
    </w:p>
    <w:p>
      <w:pPr>
        <w:pStyle w:val="TextBody"/>
        <w:bidi w:val="0"/>
        <w:spacing w:before="0" w:after="0"/>
        <w:ind w:left="0" w:right="0" w:firstLine="720"/>
        <w:jc w:val="both"/>
        <w:rPr/>
      </w:pPr>
      <w:r>
        <w:rPr/>
      </w:r>
    </w:p>
    <w:tbl>
      <w:tblPr>
        <w:tblW w:w="7610" w:type="dxa"/>
        <w:jc w:val="left"/>
        <w:tblInd w:w="0" w:type="dxa"/>
        <w:tblLayout w:type="fixed"/>
        <w:tblCellMar>
          <w:top w:w="28" w:type="dxa"/>
          <w:left w:w="28" w:type="dxa"/>
          <w:bottom w:w="28" w:type="dxa"/>
          <w:right w:w="28" w:type="dxa"/>
        </w:tblCellMar>
      </w:tblPr>
      <w:tblGrid>
        <w:gridCol w:w="1237"/>
        <w:gridCol w:w="1087"/>
        <w:gridCol w:w="1096"/>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processing and transportation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and transportation expenses for the three months ended March 31, 2024 compared to the same period in 2023 is primarily attributable to the growth in production volumes discussed above. The rate increase is due to annual rate adjustments.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March 31, 2024 and 2023:</w:t>
      </w:r>
    </w:p>
    <w:p>
      <w:pPr>
        <w:pStyle w:val="TextBody"/>
        <w:bidi w:val="0"/>
        <w:spacing w:before="0" w:after="0"/>
        <w:ind w:left="0" w:right="0" w:firstLine="720"/>
        <w:jc w:val="both"/>
        <w:rPr/>
      </w:pPr>
      <w:r>
        <w:rPr/>
      </w:r>
    </w:p>
    <w:tbl>
      <w:tblPr>
        <w:tblW w:w="7885" w:type="dxa"/>
        <w:jc w:val="left"/>
        <w:tblInd w:w="0" w:type="dxa"/>
        <w:tblLayout w:type="fixed"/>
        <w:tblCellMar>
          <w:top w:w="28" w:type="dxa"/>
          <w:left w:w="28" w:type="dxa"/>
          <w:bottom w:w="28" w:type="dxa"/>
          <w:right w:w="28" w:type="dxa"/>
        </w:tblCellMar>
      </w:tblPr>
      <w:tblGrid>
        <w:gridCol w:w="1905"/>
        <w:gridCol w:w="1673"/>
        <w:gridCol w:w="1687"/>
        <w:gridCol w:w="246"/>
        <w:gridCol w:w="720"/>
        <w:gridCol w:w="127"/>
        <w:gridCol w:w="127"/>
        <w:gridCol w:w="127"/>
        <w:gridCol w:w="127"/>
        <w:gridCol w:w="246"/>
        <w:gridCol w:w="720"/>
        <w:gridCol w:w="180"/>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depletion of proved oil and natural gas properties of $71 million for the three months ended March 31, 2024 as compared to the same period in 2023 resulted primarily from (i) $37 million from the increase in production volumes and (i) $34 million due to an increase in the depletion rate resulting from the addition of leasehold costs and reserves from the GRP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March 31, 2024 and 2023:</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three months ended March 31, 2024 remained relatively flat in total and on a per BOE basis compared to the same period in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operating costs and expenses for the three months ended March 31, 2024 and 2023:</w:t>
      </w:r>
    </w:p>
    <w:p>
      <w:pPr>
        <w:pStyle w:val="TextBody"/>
        <w:bidi w:val="0"/>
        <w:spacing w:before="0" w:after="0"/>
        <w:ind w:left="0" w:right="0" w:firstLine="720"/>
        <w:jc w:val="both"/>
        <w:rPr/>
      </w:pPr>
      <w:r>
        <w:rPr/>
      </w:r>
    </w:p>
    <w:tbl>
      <w:tblPr>
        <w:tblW w:w="5397" w:type="dxa"/>
        <w:jc w:val="left"/>
        <w:tblInd w:w="0" w:type="dxa"/>
        <w:tblLayout w:type="fixed"/>
        <w:tblCellMar>
          <w:top w:w="28" w:type="dxa"/>
          <w:left w:w="28" w:type="dxa"/>
          <w:bottom w:w="28" w:type="dxa"/>
          <w:right w:w="28" w:type="dxa"/>
        </w:tblCellMar>
      </w:tblPr>
      <w:tblGrid>
        <w:gridCol w:w="1004"/>
        <w:gridCol w:w="881"/>
        <w:gridCol w:w="889"/>
        <w:gridCol w:w="319"/>
        <w:gridCol w:w="546"/>
        <w:gridCol w:w="165"/>
        <w:gridCol w:w="165"/>
        <w:gridCol w:w="165"/>
        <w:gridCol w:w="165"/>
        <w:gridCol w:w="319"/>
        <w:gridCol w:w="546"/>
        <w:gridCol w:w="233"/>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other operating expenses for the three months ended March 31, 2024 compared to the same period in 2023 primarily resulted from a decrease in midstream services due to the sale of our Water Assets in Q3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March 31, 2024 and 2023:</w:t>
      </w:r>
    </w:p>
    <w:p>
      <w:pPr>
        <w:pStyle w:val="TextBody"/>
        <w:bidi w:val="0"/>
        <w:spacing w:before="0" w:after="0"/>
        <w:ind w:left="0" w:right="0" w:firstLine="720"/>
        <w:jc w:val="both"/>
        <w:rPr/>
      </w:pPr>
      <w:r>
        <w:rPr/>
      </w:r>
    </w:p>
    <w:tbl>
      <w:tblPr>
        <w:tblW w:w="6069" w:type="dxa"/>
        <w:jc w:val="left"/>
        <w:tblInd w:w="0" w:type="dxa"/>
        <w:tblLayout w:type="fixed"/>
        <w:tblCellMar>
          <w:top w:w="28" w:type="dxa"/>
          <w:left w:w="28" w:type="dxa"/>
          <w:bottom w:w="28" w:type="dxa"/>
          <w:right w:w="28" w:type="dxa"/>
        </w:tblCellMar>
      </w:tblPr>
      <w:tblGrid>
        <w:gridCol w:w="1248"/>
        <w:gridCol w:w="1093"/>
        <w:gridCol w:w="1108"/>
        <w:gridCol w:w="294"/>
        <w:gridCol w:w="607"/>
        <w:gridCol w:w="151"/>
        <w:gridCol w:w="151"/>
        <w:gridCol w:w="151"/>
        <w:gridCol w:w="151"/>
        <w:gridCol w:w="294"/>
        <w:gridCol w:w="607"/>
        <w:gridCol w:w="21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12—</w:t>
      </w:r>
      <w:hyperlink w:anchor="if356e22aca5d43fda4d5672a01ecddc5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March 31, 2024 and 2023:</w:t>
      </w:r>
    </w:p>
    <w:p>
      <w:pPr>
        <w:pStyle w:val="TextBody"/>
        <w:bidi w:val="0"/>
        <w:spacing w:before="0" w:after="0"/>
        <w:ind w:left="0" w:right="0" w:firstLine="720"/>
        <w:jc w:val="both"/>
        <w:rPr/>
      </w:pPr>
      <w:r>
        <w:rPr/>
      </w:r>
    </w:p>
    <w:tbl>
      <w:tblPr>
        <w:tblW w:w="6174" w:type="dxa"/>
        <w:jc w:val="left"/>
        <w:tblInd w:w="0" w:type="dxa"/>
        <w:tblLayout w:type="fixed"/>
        <w:tblCellMar>
          <w:top w:w="28" w:type="dxa"/>
          <w:left w:w="28" w:type="dxa"/>
          <w:bottom w:w="28" w:type="dxa"/>
          <w:right w:w="28" w:type="dxa"/>
        </w:tblCellMar>
      </w:tblPr>
      <w:tblGrid>
        <w:gridCol w:w="1287"/>
        <w:gridCol w:w="1129"/>
        <w:gridCol w:w="1138"/>
        <w:gridCol w:w="294"/>
        <w:gridCol w:w="607"/>
        <w:gridCol w:w="151"/>
        <w:gridCol w:w="151"/>
        <w:gridCol w:w="151"/>
        <w:gridCol w:w="151"/>
        <w:gridCol w:w="294"/>
        <w:gridCol w:w="607"/>
        <w:gridCol w:w="214"/>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for the three months ended March 31, 2024 compared to the same period in 2023 remained flat compared to the same period in 2023. This was largely due to offsetting changes consisting of (i) an increase of $10 million in amortization of debt issuance costs primarily related to our Bridge Facility and Term Loan Agreement, (ii) an increase of $6 million in interest expense on senior notes primarily related to interest expense on Viper’s 7.375% Senior Notes due 2031 which were issued in the fourth quarter of 2023, (iii) a decrease of $11 million due to an increase in capitalized interest costs, which reduce interest expense, (iv) a decrease of $4 million in interest expense on our revolving credit facility due to lower average borrowings outstanding in the first quarter of 2024, and (v) other individually insignificant changes.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See Note 8—</w:t>
      </w:r>
      <w:hyperlink w:anchor="if356e22aca5d43fda4d5672a01ecddc5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Other income (expense), net for the three months ended March 31, 2023 includes a $53 million gain on the sale of equity method investment in Gray Oak as discussed further in Note 4—</w:t>
      </w:r>
      <w:hyperlink w:anchor="if356e22aca5d43fda4d5672a01ecddc5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to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March 31, 2024 and 2023:</w:t>
      </w:r>
    </w:p>
    <w:p>
      <w:pPr>
        <w:pStyle w:val="TextBody"/>
        <w:bidi w:val="0"/>
        <w:spacing w:before="0" w:after="0"/>
        <w:ind w:left="0" w:right="0" w:firstLine="720"/>
        <w:jc w:val="both"/>
        <w:rPr/>
      </w:pPr>
      <w:r>
        <w:rPr/>
      </w:r>
    </w:p>
    <w:tbl>
      <w:tblPr>
        <w:tblW w:w="6059" w:type="dxa"/>
        <w:jc w:val="left"/>
        <w:tblInd w:w="0" w:type="dxa"/>
        <w:tblLayout w:type="fixed"/>
        <w:tblCellMar>
          <w:top w:w="28" w:type="dxa"/>
          <w:left w:w="28" w:type="dxa"/>
          <w:bottom w:w="28" w:type="dxa"/>
          <w:right w:w="28" w:type="dxa"/>
        </w:tblCellMar>
      </w:tblPr>
      <w:tblGrid>
        <w:gridCol w:w="1243"/>
        <w:gridCol w:w="1091"/>
        <w:gridCol w:w="1101"/>
        <w:gridCol w:w="285"/>
        <w:gridCol w:w="629"/>
        <w:gridCol w:w="147"/>
        <w:gridCol w:w="147"/>
        <w:gridCol w:w="147"/>
        <w:gridCol w:w="147"/>
        <w:gridCol w:w="285"/>
        <w:gridCol w:w="629"/>
        <w:gridCol w:w="208"/>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The change in our income tax provision for the three months ended March 31, 2024 compared to the same period in 2023 was primarily due to the increase in pre-tax income resulting largely from the increase in revenues from oil, natural gas and natural gas liquids and changes in operating expenses and other income (expenses) as discussed above. See Note 11—</w:t>
      </w:r>
      <w:hyperlink w:anchor="if356e22aca5d43fda4d5672a01ecddc5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discussion of our income tax expense.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have included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repayment of debt and returning capital to stockholders. At March 31, 2024, we had approximately $2.5 billion of liquidity consisting of $876 million in standalone cash and cash equivalents and $1.6 billion available under our credit facility. Additionally, for purposes of funding the cash consideration for the pending Endeavor Acquisition, we currently have $1.5 billion and $1.0 billion available under the Term Loans and Bridge Facility, respectively, as well as the net proceeds of $5.5 billion from the April 2024 Notes. As discussed below, our capital budget for 2024 is $2.30 billion to $2.55 billion, which does not take into account the pending Endeavor Acquisition. As of March 31, 2024, we have no debt maturities until 2026.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Future cash flows are subject to a number of variables, including the level of oil and natural gas production and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as discussed further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12—</w:t>
      </w:r>
      <w:hyperlink w:anchor="if356e22aca5d43fda4d5672a01ecddc5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hyperlink w:anchor="if356e22aca5d43fda4d5672a01ecddc5_142">
        <w:r>
          <w:rPr>
            <w:rStyle w:val="InternetLink"/>
            <w:rFonts w:ascii="Times New Roman;sans-serif" w:hAnsi="Times New Roman;sans-serif"/>
            <w:b w:val="false"/>
            <w:color w:val="0000FF"/>
            <w:sz w:val="20"/>
            <w:u w:val="single"/>
          </w:rPr>
          <w:t>Item 3. Quantitative and Qualitative Disclosures About Market Risk—Commodity Price Risk</w:t>
        </w:r>
      </w:hyperlink>
      <w:r>
        <w:rPr>
          <w:rFonts w:ascii="Times New Roman;sans-serif" w:hAnsi="Times New Roman;sans-serif"/>
          <w:b w:val="false"/>
          <w:color w:val="000000"/>
          <w:sz w:val="20"/>
        </w:rPr>
        <w: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for the three months ended March 31, 2024 and 2023 are presented below: </w:t>
      </w:r>
    </w:p>
    <w:tbl>
      <w:tblPr>
        <w:tblW w:w="6834" w:type="dxa"/>
        <w:jc w:val="left"/>
        <w:tblInd w:w="0" w:type="dxa"/>
        <w:tblLayout w:type="fixed"/>
        <w:tblCellMar>
          <w:top w:w="28" w:type="dxa"/>
          <w:left w:w="28" w:type="dxa"/>
          <w:bottom w:w="28" w:type="dxa"/>
          <w:right w:w="28" w:type="dxa"/>
        </w:tblCellMar>
      </w:tblPr>
      <w:tblGrid>
        <w:gridCol w:w="1524"/>
        <w:gridCol w:w="1340"/>
        <w:gridCol w:w="1350"/>
        <w:gridCol w:w="246"/>
        <w:gridCol w:w="720"/>
        <w:gridCol w:w="127"/>
        <w:gridCol w:w="127"/>
        <w:gridCol w:w="127"/>
        <w:gridCol w:w="127"/>
        <w:gridCol w:w="246"/>
        <w:gridCol w:w="720"/>
        <w:gridCol w:w="180"/>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decrease in operating cash flows for the three months ended March 31, 2024 compared to the same period in 2023 primarily resulted from (i) an increase in our cash operating expenses of approximately $140 million and (ii) a reduction of approximately $188 million due to fluctuations in other working capital balances due primarily to the timing of when collections were made on accounts receivable and payments made on accounts payable. These were partially offset by an increase of $302 million in total revenue. See “</w:t>
      </w:r>
      <w:r>
        <w:rPr>
          <w:color w:val="000000"/>
        </w:rPr>
        <w:t>—</w:t>
      </w:r>
      <w:hyperlink w:anchor="if356e22aca5d43fda4d5672a01ecddc5_106">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net cash used for investing activities during the three months ended March 31, 2024 and 2023 was for drilling and completion costs incurred in conjunction with our development program as well as the purchase of oil and gas properties including the Lario Acquisition in the first quarter of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tbl>
      <w:tblPr>
        <w:tblW w:w="9538" w:type="dxa"/>
        <w:jc w:val="left"/>
        <w:tblInd w:w="0" w:type="dxa"/>
        <w:tblLayout w:type="fixed"/>
        <w:tblCellMar>
          <w:top w:w="28" w:type="dxa"/>
          <w:left w:w="28" w:type="dxa"/>
          <w:bottom w:w="28" w:type="dxa"/>
          <w:right w:w="28" w:type="dxa"/>
        </w:tblCellMar>
      </w:tblPr>
      <w:tblGrid>
        <w:gridCol w:w="2504"/>
        <w:gridCol w:w="2199"/>
        <w:gridCol w:w="2211"/>
        <w:gridCol w:w="285"/>
        <w:gridCol w:w="629"/>
        <w:gridCol w:w="147"/>
        <w:gridCol w:w="147"/>
        <w:gridCol w:w="147"/>
        <w:gridCol w:w="147"/>
        <w:gridCol w:w="285"/>
        <w:gridCol w:w="629"/>
        <w:gridCol w:w="208"/>
      </w:tblGrid>
      <w:tr>
        <w:trPr/>
        <w:tc>
          <w:tcPr>
            <w:tcW w:w="250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Drilling, completions and non-operated additions to oil and natural gas properties</w:t>
            </w:r>
            <w:r>
              <w:rPr>
                <w:rFonts w:ascii="Times New Roman;sans-serif" w:hAnsi="Times New Roman;sans-serif"/>
                <w:b w:val="false"/>
                <w:color w:val="000000"/>
                <w:sz w:val="13"/>
              </w:rPr>
              <w:t>(1)</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additions to oil and natural gas properties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midstream assets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(1) See “—</w:t>
      </w:r>
      <w:hyperlink w:anchor="if356e22aca5d43fda4d5672a01ecddc5_103">
        <w:r>
          <w:rPr>
            <w:rStyle w:val="InternetLink"/>
            <w:rFonts w:ascii="Times New Roman;sans-serif" w:hAnsi="Times New Roman;sans-serif"/>
            <w:b w:val="false"/>
            <w:i/>
            <w:color w:val="0000FF"/>
            <w:sz w:val="20"/>
            <w:u w:val="single"/>
          </w:rPr>
          <w:t>Transactions and Recent Developments - Upstream Operations</w:t>
        </w:r>
      </w:hyperlink>
      <w:r>
        <w:rPr>
          <w:color w:val="000000"/>
        </w:rPr>
        <w:t xml:space="preserve">” </w:t>
      </w:r>
      <w:r>
        <w:rPr>
          <w:rFonts w:ascii="Times New Roman;sans-serif" w:hAnsi="Times New Roman;sans-serif"/>
          <w:b w:val="false"/>
          <w:color w:val="000000"/>
          <w:sz w:val="20"/>
        </w:rPr>
        <w:t>above for additional detail on wells drilled and turned to production during the three and three months ended March 31,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net cash used in financing activities was primarily attributable to (i) $548 million of dividends paid to stockholders, (ii) $44 million in dividends to non-controlling interest, (iii) $42 million of repurchases as part of the share repurchase programs, (iv) $34 million in cash paid for tax withholdings on vested employee stock awards (v) $33 million of debt issuance costs primarily associated with the Term Loan Agreement and Bridge Facility, and (vi) $25 million paid for the retirement of principal outstanding on certain senior notes. These cash outflows were partially offset by $451 million in proceeds from the public offering of Viper’s Class A common stock and an additional $10 million in borrowings under credit facilities, net of repayments.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net cash used in financing activities was primarily attributable to (i) $542 million of dividends paid to stockholders, (iii) $366 million of repurchases as part of the share and unit repurchase programs, and (iv) $34 million in distributions to non-controlling interest. These reductions in cash flow were partially offset by $707 million in borrowings under credit facilities, net of repayments,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primarily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and to finance the pending Endeavor Acquisition. Further, the Term Loans, Bridge Facility and net proceeds from the April 2024 Notes, are also available to finance the cash portion of the pending Endeavor Acquisition.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Any prolonged volatility in the capital, financial and/or credit markets and/or adverse macroeconomic conditions may limit our access to, or increase our cost of, capital or make capital unavailable on terms acceptable to us or at all.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Revolving Credit Facilities and Other Debt Instruments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our debt, including the debt of Viper, consisted of approximately $6.5 billion in aggregate outstanding principal amount of senior notes, and $273 million in aggregate outstanding borrowings under revolving credit facilities.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maximum credit amount available under our credit agreement was $1.6 billion, with no outstanding borrowings and $1.6 billion available for future borrowings. Our credit agreement matures on June 2, 2028, and we may further extend it by one one-year extension pursuant to the terms set forth in the credit agreement. Upon consummation of the Endeavor Acquisition, the maximum credit amount available under our credit agreement will increase to $2.5 billion.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maximum credit amount available under the Term Loan Agreement was $1.5 billion, with no outstanding borrowings and $1.5 billion available for future borrowings. Our Term Loan Agreement matures on the anniversary of the Closing Date and the second anniversary of the Closing date for Tranche A and Tranche B,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maximum credit amount available under our Bridge Facility was $6.5 billion, with no outstanding borrowings and $6.5 billion available for future borrowings. The Bridge Facility matures 364 days after it has been drawn on. The Bridge Facility was further reduced on a dollar-for-dollar basis by the $5.5 billion principal amount of the April 2024 Notes, resulting in $1.0 billion currently available for future borrowings.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18, 2024, we issued $5.5 billion in aggregate principal amount of the April 2024 Notes for net proceeds of $5.5 billion, we intend to use the net proceeds to fund a portion of the cash consideration for the pending Endeavor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Viper’s Credit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Viper credit agreement, as amended, matures on </w:t>
      </w:r>
      <w:r>
        <w:rPr>
          <w:rFonts w:ascii="Times New Roman;sans-serif" w:hAnsi="Times New Roman;sans-serif"/>
          <w:b w:val="false"/>
          <w:color w:val="000000"/>
          <w:sz w:val="20"/>
          <w:shd w:fill="FFFFFF" w:val="clear"/>
        </w:rPr>
        <w:t>September 22, 2028</w:t>
      </w:r>
      <w:r>
        <w:rPr>
          <w:color w:val="000000"/>
        </w:rPr>
        <w:t xml:space="preserve"> </w:t>
      </w:r>
      <w:r>
        <w:rPr>
          <w:rFonts w:ascii="Times New Roman;sans-serif" w:hAnsi="Times New Roman;sans-serif"/>
          <w:b w:val="false"/>
          <w:color w:val="000000"/>
          <w:sz w:val="20"/>
        </w:rPr>
        <w:t xml:space="preserve">and provides for a revolving credit facility in the maximum credit amount of $2.0 billion, with a borrowing base of $1.3 billion and an elected commitment amount of $850 million, based on Viper LLC’s oil and natural gas reserves and other factors. As of March 31, 2024. the Viper credit agreement had $273 million of outstanding borrowings and $577 million available for future borrowings.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discussion of our outstanding debt as of March 31, 2024, see Note 8—</w:t>
      </w:r>
      <w:hyperlink w:anchor="if356e22aca5d43fda4d5672a01ecddc5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and for discussion of the April 2024 Notes see Note 17—</w:t>
      </w:r>
      <w:hyperlink w:anchor="if356e22aca5d43fda4d5672a01ecddc5_82">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future operating expenses and working capital commitments discussed in </w:t>
      </w:r>
      <w:r>
        <w:rPr>
          <w:color w:val="000000"/>
        </w:rPr>
        <w:t>—</w:t>
      </w:r>
      <w:hyperlink w:anchor="if356e22aca5d43fda4d5672a01ecddc5_103">
        <w:r>
          <w:rPr>
            <w:rStyle w:val="InternetLink"/>
            <w:rFonts w:ascii="Times New Roman;sans-serif" w:hAnsi="Times New Roman;sans-serif"/>
            <w:b w:val="false"/>
            <w:i/>
            <w:color w:val="0000FF"/>
            <w:sz w:val="20"/>
            <w:u w:val="single"/>
          </w:rPr>
          <w:t>Transactions and Recent Developments - Upstream Operations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our primary short and long-term liquidity requirements, excluding those of Viper, consist primarily of (i) capital expenditures, (ii) payments of principal and interest on our revolving credit agreements and senior notes, (iii) payments of other contractual obligations, (iv) cash used to pay for dividends and repurchases of securities, and (v) the cash portion of the consideration for the pending Endeavor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approved a 2024 capital budget for drilling, midstream, infrastructure and environmental of approximately $2.30 billion to $2.55 billion, which does not take into account the pending Endeavor Acquisition. We estimate that, of these expenditures, approximately: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$2.10 billion to $2.33 billion will be spent primarily on drilling 265 to 285 gross (244 to 263 net) horizontal wells and completing 300 to 320 gross (273 to 291 net) horizontal wells across our operated and non-operated leasehold acreage in the Northern Midland and Southern Delaware Basins, with an average lateral length of approximately 11,500+ feet;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$200 million to $220 million will be spent on infrastructure and midstream expenditures, excluding the cost of any leasehold and mineral interest acquisitions.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13 drilling rigs and four completion crews. We will continue monitoring commodity prices and overall market conditions and can adjust our rig cadence and our capital expenditure budget in response to changes in commodity prices and overall market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on April 2024 Notes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On April 18, 2024, we issued $5.5 billion in aggregate principal amount of the April 2024 Notes, as discussed further in Note 17— </w:t>
      </w:r>
      <w:hyperlink w:anchor="if356e22aca5d43fda4d5672a01ecddc5_82">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As a result, we expect to incur additional future cash interest costs on the April 2024 Notes of approximately $152 million in 2024, $607 million cumulatively in the years from 2025 through 2026, $541 million cumulatively in the years from 2027 and 2028, and $4.7 billion cumulatively between 2029 and 2064.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the first quarter of 2024, our board of directors has approved a return of capital commitment of at least 50% from 75% of free cash flow to our shareholders through repurchases under our share repurchase program, base dividends and variable dividends. The remainder of our free cash flow will be used primarily to reduce debt. On April 25, 2024, our board of directors declared a combined base and variable dividend for the first quarter of 2024 of $1.97 per share of common stock.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As of April 26, 2024, we have repurchased 19.3 million shares of our common stock for a total cost of $2.4 billion since the inception of the stock repurchase program, excluding excise tax.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See Note 9—</w:t>
      </w:r>
      <w:hyperlink w:anchor="if356e22aca5d43fda4d5672a01ecddc5_61">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expect our cash tax rate to be 15% to 18% of pre-tax income for the year ended December 31, 2024. See Note 11—</w:t>
      </w:r>
      <w:hyperlink w:anchor="if356e22aca5d43fda4d5672a01ecddc5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36" w:type="dxa"/>
        <w:jc w:val="center"/>
        <w:tblInd w:w="0" w:type="dxa"/>
        <w:tblLayout w:type="fixed"/>
        <w:tblCellMar>
          <w:top w:w="28" w:type="dxa"/>
          <w:left w:w="28" w:type="dxa"/>
          <w:bottom w:w="28" w:type="dxa"/>
          <w:right w:w="28" w:type="dxa"/>
        </w:tblCellMar>
      </w:tblPr>
      <w:tblGrid>
        <w:gridCol w:w="1749"/>
        <w:gridCol w:w="1538"/>
        <w:gridCol w:w="1542"/>
        <w:gridCol w:w="261"/>
        <w:gridCol w:w="894"/>
        <w:gridCol w:w="135"/>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04" w:type="dxa"/>
        <w:jc w:val="center"/>
        <w:tblInd w:w="0" w:type="dxa"/>
        <w:tblLayout w:type="fixed"/>
        <w:tblCellMar>
          <w:top w:w="28" w:type="dxa"/>
          <w:left w:w="28" w:type="dxa"/>
          <w:bottom w:w="28" w:type="dxa"/>
          <w:right w:w="28" w:type="dxa"/>
        </w:tblCellMar>
      </w:tblPr>
      <w:tblGrid>
        <w:gridCol w:w="1114"/>
        <w:gridCol w:w="979"/>
        <w:gridCol w:w="982"/>
        <w:gridCol w:w="651"/>
        <w:gridCol w:w="1903"/>
        <w:gridCol w:w="475"/>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have been no changes in our critical accounting estimates from those disclosed in our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"i0d77fdad85ad4c5b80695648ad1eb956_70"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f356e22aca5d43fda4d5672a01ecddc5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recent accounting pronouncements not yet adopted, if any.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Commodity Price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and Israel-Hamas war, rising interest rates, global supply chain disruptions, a potential economic downturn or recession that may lead to future price volatility and the near term energy outlook remains subject to heightened levels of uncertainty. Further, the prices we receive for production depend on many other factors outside of our control.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including swaps, basis swaps, roll swaps, costless collars, puts and basis puts, to reduce price volatility associated with certain of our oil and natural gas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March 31, 2024, we had a net liability derivative position of $37 million, related to our commodity price risk derivatives. Utilizing actual derivative contractual volumes under our commodity price derivatives as of March 31, 2024, a 10% increase in forward curves associated with the underlying commodity would have increased the net liability position by $8 million to $45 million, while a 10% decrease in forward curves associated with the underlying commodity would have decreased the net liability position by $14 million to $23 million. However, any cash derivative gain or loss would be substantially offset by a decrease or increase, respectively, in the actual sales value of production covered by the derivative instrument. For additional information on our open commodity derivative instruments at March 31, 2024, see Note 12—</w:t>
      </w:r>
      <w:hyperlink w:anchor="if356e22aca5d43fda4d5672a01ecddc5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Counterparty and Customer Credit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$734 million at March 31, 2024), and to a lesser extent, receivables resulting from joint interest and other receivables (approximately $119 million at March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March 31, 2024,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unsecured debt. We are obligated to pay a quarterly commitment fee ranging from 0.125% to 0.325% per year on the unused portion of the commitment. We believe significant interest rate changes would not have a material near-term impact on our future earnings or cash flows. For additional information on our variable interest rate debt at March 31, 2024, see Note 8—</w:t>
      </w:r>
      <w:hyperlink w:anchor="if356e22aca5d43fda4d5672a01ecddc5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at times used interest rates swaps to manage our exposure to (i) interest rate changes on our floating-rate date, and (ii) fair value changes on our fixed rate debt. At March 31, 2024,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March 31, 2024,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receive-fixed, pay-variable interest rate swaps were in a net liability position of $195 million, and the weighted average variable rate was 6.35%. For additional information on our interest rate swaps, see Note 12—</w:t>
      </w:r>
      <w:hyperlink w:anchor="if356e22aca5d43fda4d5672a01ecddc5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2024,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There have not been any changes in our internal control over financial reporting that occurred during the quarter ended March 31, 2024,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employment claims, claims alleging violations of antitrust laws,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15—</w:t>
      </w:r>
      <w:hyperlink w:anchor="if356e22aca5d43fda4d5672a01ecddc5_79">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in addition to the factors discussed elsewhere in this report, we continue to be subject to the risk factors previously disclosed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"https://www.sec.gov/ix?doc=/Archives/edgar/data/1539838/000153983824000019/fang-20231231.htm" \l "i0d77fdad85ad4c5b80695648ad1eb956_25"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2023, filed with the SEC on February 22, 2024 and in subsequent filings we make with the SEC. There have been no material changes in our risk factors from those described in our </w:t>
      </w:r>
      <w:hyperlink r:id="rId4">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March 31, 2024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73"/>
        <w:gridCol w:w="444"/>
        <w:gridCol w:w="449"/>
        <w:gridCol w:w="109"/>
        <w:gridCol w:w="109"/>
        <w:gridCol w:w="109"/>
        <w:gridCol w:w="479"/>
        <w:gridCol w:w="479"/>
        <w:gridCol w:w="480"/>
        <w:gridCol w:w="109"/>
        <w:gridCol w:w="109"/>
        <w:gridCol w:w="109"/>
        <w:gridCol w:w="288"/>
        <w:gridCol w:w="984"/>
        <w:gridCol w:w="148"/>
        <w:gridCol w:w="109"/>
        <w:gridCol w:w="109"/>
        <w:gridCol w:w="109"/>
        <w:gridCol w:w="698"/>
        <w:gridCol w:w="698"/>
        <w:gridCol w:w="700"/>
        <w:gridCol w:w="109"/>
        <w:gridCol w:w="109"/>
        <w:gridCol w:w="109"/>
        <w:gridCol w:w="529"/>
        <w:gridCol w:w="1550"/>
        <w:gridCol w:w="398"/>
      </w:tblGrid>
      <w:tr>
        <w:trPr/>
        <w:tc>
          <w:tcPr>
            <w:tcW w:w="57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(3)(4)</w:t>
            </w:r>
          </w:p>
        </w:tc>
      </w:tr>
      <w:tr>
        <w:trPr/>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186,241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(3)On July 28, 2022, our board of directors approved an increase in our common stock repurchase program from $2.0 billion to $4.0 billion,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(4)All dollar amounts presented exclude such excise taxes, as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the Company’s fiscal quarter ended March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ITEM 6.    EXHIBITS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EXHIBIT INDEX</w:t>
      </w:r>
    </w:p>
    <w:tbl>
      <w:tblPr>
        <w:tblW w:w="10205" w:type="dxa"/>
        <w:jc w:val="center"/>
        <w:tblInd w:w="0" w:type="dxa"/>
        <w:tblLayout w:type="fixed"/>
        <w:tblCellMar>
          <w:top w:w="28" w:type="dxa"/>
          <w:left w:w="28" w:type="dxa"/>
          <w:bottom w:w="28" w:type="dxa"/>
          <w:right w:w="28" w:type="dxa"/>
        </w:tblCellMar>
      </w:tblPr>
      <w:tblGrid>
        <w:gridCol w:w="345"/>
        <w:gridCol w:w="303"/>
        <w:gridCol w:w="304"/>
        <w:gridCol w:w="109"/>
        <w:gridCol w:w="109"/>
        <w:gridCol w:w="109"/>
        <w:gridCol w:w="2672"/>
        <w:gridCol w:w="2578"/>
        <w:gridCol w:w="3676"/>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Description</w:t>
            </w:r>
          </w:p>
        </w:tc>
      </w:tr>
      <w:tr>
        <w:trPr/>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ans-serif" w:hAnsi="Times New Roman;sans-serif"/>
                  <w:b w:val="false"/>
                  <w:color w:val="0000FF"/>
                  <w:sz w:val="19"/>
                  <w:u w:val="single"/>
                </w:rPr>
                <w:t>Agreement and Plan of Merger, dated as of May 15, 2022, by and among Diamondback Energy, Inc., Rattler Midstream GP LLC, Bacchus Merger Sub Company and Rattler Midstream LP (incorporated by reference to Exhibit 2.1 to the Form 8-K, File No. 001-38919, filed by the Company with the SEC on May 16, 2022</w:t>
              </w:r>
            </w:hyperlink>
            <w:r>
              <w:rPr>
                <w:rFonts w:ascii="Times New Roman;sans-serif" w:hAnsi="Times New Roman;sans-serif"/>
                <w:b w:val="false"/>
                <w:color w:val="000000"/>
                <w:sz w:val="19"/>
              </w:rPr>
              <w:t>).</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19"/>
                  <w:u w:val="single"/>
                </w:rPr>
                <w:t>Agreement and Plan of Merger, dated as of February 11, 2024, by and among the Company, Endeavor, Merger Sub I, Merger Sub II and the Company Representative (for purposes of certain sections set forth therein) (incorporated by reference to Exhibit 2.1 to the Form 8-K, File No 001-35700, filed by the Company with the SEC on February 12, 2024).</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19"/>
                  <w:u w:val="single"/>
                </w:rPr>
                <w:t>Letter Agreement, amending the Merger Agreement, by and among the Company, Endeavor, Merger Sub I, Merger Sub II and the Company Representative, dated March 18, 2024 (incorporated by reference to Exhibit 2.1 to the Form 8-K, File No 001-35700, filed by the Company with the SEC on March 18, 2024).</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19"/>
                  <w:u w:val="single"/>
                </w:rPr>
                <w:t>Second Amended and Restated Certificate of Incorporation of the Company (incorporated by reference to Exhibit 3.1 to the Form 8-K, File No. 001-35700, filed by the Company with the SEC on June 14, 2023).</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19"/>
                  <w:u w:val="single"/>
                </w:rPr>
                <w:t>Fourth Amended and Restated Bylaws of the Company, adopted as of June 8, 2023 (incorporated by reference to Exhibit 3.2 to the Form 8-K, File No. 001-35700, filed by the Company with the SEC on June 14, 2023).</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19"/>
                  <w:u w:val="single"/>
                </w:rPr>
                <w:t>Second Supplemental Indenture, dated as of April 18, 2024, between Diamondback Energy, Inc., Diamondback E&amp;P LLC and Computershare Trust Company, National Association, as Trustee (including the form of the Notes (incorporated by reference to Exhibit 4.2 to the Form 8-K, File No. 001-35700, filed by the Company with the SEC on April 18, 2024).</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ans-serif" w:hAnsi="Times New Roman;sans-serif"/>
                  <w:b w:val="false"/>
                  <w:color w:val="000080"/>
                  <w:sz w:val="19"/>
                  <w:u w:val="single"/>
                </w:rPr>
                <w:t xml:space="preserve">Term Loan Credit Agreement, dated as of February 29, 2024, by and among the Company, </w:t>
              </w:r>
            </w:hyperlink>
            <w:hyperlink r:id="rId13">
              <w:r>
                <w:rPr>
                  <w:rStyle w:val="InternetLink"/>
                  <w:rFonts w:ascii="Times New Roman;sans-serif" w:hAnsi="Times New Roman;sans-serif"/>
                  <w:b w:val="false"/>
                  <w:color w:val="000080"/>
                  <w:sz w:val="19"/>
                  <w:u w:val="single"/>
                </w:rPr>
                <w:t>as b</w:t>
              </w:r>
            </w:hyperlink>
            <w:hyperlink r:id="rId14">
              <w:r>
                <w:rPr>
                  <w:rStyle w:val="InternetLink"/>
                  <w:rFonts w:ascii="Times New Roman;sans-serif" w:hAnsi="Times New Roman;sans-serif"/>
                  <w:b w:val="false"/>
                  <w:color w:val="000080"/>
                  <w:sz w:val="19"/>
                  <w:u w:val="single"/>
                </w:rPr>
                <w:t xml:space="preserve">orrower, the lenders party thereto, and Citibank, N.A., as </w:t>
              </w:r>
            </w:hyperlink>
            <w:hyperlink r:id="rId15">
              <w:r>
                <w:rPr>
                  <w:rStyle w:val="InternetLink"/>
                  <w:rFonts w:ascii="Times New Roman;sans-serif" w:hAnsi="Times New Roman;sans-serif"/>
                  <w:b w:val="false"/>
                  <w:color w:val="000080"/>
                  <w:sz w:val="19"/>
                  <w:u w:val="single"/>
                </w:rPr>
                <w:t>a</w:t>
              </w:r>
            </w:hyperlink>
            <w:hyperlink r:id="rId16">
              <w:r>
                <w:rPr>
                  <w:rStyle w:val="InternetLink"/>
                  <w:rFonts w:ascii="Times New Roman;sans-serif" w:hAnsi="Times New Roman;sans-serif"/>
                  <w:b w:val="false"/>
                  <w:color w:val="000080"/>
                  <w:sz w:val="19"/>
                  <w:u w:val="single"/>
                </w:rPr>
                <w:t xml:space="preserve">dministrative </w:t>
              </w:r>
            </w:hyperlink>
            <w:hyperlink r:id="rId17">
              <w:r>
                <w:rPr>
                  <w:rStyle w:val="InternetLink"/>
                  <w:rFonts w:ascii="Times New Roman;sans-serif" w:hAnsi="Times New Roman;sans-serif"/>
                  <w:b w:val="false"/>
                  <w:color w:val="000080"/>
                  <w:sz w:val="19"/>
                  <w:u w:val="single"/>
                </w:rPr>
                <w:t>a</w:t>
              </w:r>
            </w:hyperlink>
            <w:hyperlink r:id="rId18">
              <w:r>
                <w:rPr>
                  <w:rStyle w:val="InternetLink"/>
                  <w:rFonts w:ascii="Times New Roman;sans-serif" w:hAnsi="Times New Roman;sans-serif"/>
                  <w:b w:val="false"/>
                  <w:color w:val="000080"/>
                  <w:sz w:val="19"/>
                  <w:u w:val="single"/>
                </w:rPr>
                <w:t>gent</w:t>
              </w:r>
            </w:hyperlink>
            <w:hyperlink r:id="rId19">
              <w:r>
                <w:rPr>
                  <w:rStyle w:val="InternetLink"/>
                  <w:rFonts w:ascii="Times New Roman;sans-serif" w:hAnsi="Times New Roman;sans-serif"/>
                  <w:b w:val="false"/>
                  <w:color w:val="000080"/>
                  <w:sz w:val="19"/>
                  <w:u w:val="single"/>
                </w:rPr>
                <w:t xml:space="preserve"> (incorporated by reference to Exhibit 10.1</w:t>
              </w:r>
            </w:hyperlink>
            <w:hyperlink r:id="rId20">
              <w:r>
                <w:rPr>
                  <w:rStyle w:val="InternetLink"/>
                  <w:rFonts w:ascii="Times New Roman;sans-serif" w:hAnsi="Times New Roman;sans-serif"/>
                  <w:b w:val="false"/>
                  <w:color w:val="000080"/>
                  <w:sz w:val="19"/>
                  <w:u w:val="single"/>
                </w:rPr>
                <w:t xml:space="preserve"> </w:t>
              </w:r>
            </w:hyperlink>
            <w:hyperlink r:id="rId21">
              <w:r>
                <w:rPr>
                  <w:rStyle w:val="InternetLink"/>
                  <w:rFonts w:ascii="Times New Roman;sans-serif" w:hAnsi="Times New Roman;sans-serif"/>
                  <w:b w:val="false"/>
                  <w:color w:val="000080"/>
                  <w:sz w:val="19"/>
                  <w:u w:val="single"/>
                </w:rPr>
                <w:t xml:space="preserve">to the Form 8-K, File No 001-35700, filed by the Company with the SEC on </w:t>
              </w:r>
            </w:hyperlink>
            <w:hyperlink r:id="rId22">
              <w:r>
                <w:rPr>
                  <w:rStyle w:val="InternetLink"/>
                  <w:rFonts w:ascii="Times New Roman;sans-serif" w:hAnsi="Times New Roman;sans-serif"/>
                  <w:b w:val="false"/>
                  <w:color w:val="000080"/>
                  <w:sz w:val="19"/>
                  <w:u w:val="single"/>
                </w:rPr>
                <w:t>March 6</w:t>
              </w:r>
            </w:hyperlink>
            <w:hyperlink r:id="rId23">
              <w:r>
                <w:rPr>
                  <w:rStyle w:val="InternetLink"/>
                  <w:rFonts w:ascii="Times New Roman;sans-serif" w:hAnsi="Times New Roman;sans-serif"/>
                  <w:b w:val="false"/>
                  <w:color w:val="000080"/>
                  <w:sz w:val="19"/>
                  <w:u w:val="single"/>
                </w:rPr>
                <w:t>, 2024).</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ans-serif" w:hAnsi="Times New Roman;sans-serif"/>
                  <w:b w:val="false"/>
                  <w:color w:val="0000FF"/>
                  <w:sz w:val="19"/>
                  <w:u w:val="single"/>
                </w:rPr>
                <w:t>Fourteenth Amendment to Second Amended and Restated Credit Agreement, dated as of March 6, 2024, by and among the Company, as borrower, the lenders and other parties party thereto, and Wells Fargo Bank, National Association, as administrative agent (incorporated by reference to Exhibit 10.2 to the Form 8-K, File No 001-35700, filed by the Company with the SEC on March 6, 2024).</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ans-serif" w:hAnsi="Times New Roman;sans-serif"/>
                  <w:b w:val="false"/>
                  <w:color w:val="0000FF"/>
                  <w:sz w:val="19"/>
                  <w:u w:val="single"/>
                </w:rPr>
                <w:t>List of Issuers and Guarantor Subsidiaries (incorporated by reference to Exhibit 22.1 to the Form 10-Q, File No. 001-35700, filed by the Company with the SEC on August 5, 2021).</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12024diamondback10-q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12024diamondback10-q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12024diamondback10-q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12024diamondback10-q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Quarterly Report on Form 10-Q for the quarter ended March 31, 2024,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356e22aca5d43fda4d5672a01ecddc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4588"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075"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075"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39838/000153983824000019/fang-20231231.htm" TargetMode="External"/><Relationship Id="rId3" Type="http://schemas.openxmlformats.org/officeDocument/2006/relationships/hyperlink" Target="https://www.sec.gov/ix?doc=/Archives/edgar/data/1539838/000153983824000019/fang-20231231.htm" TargetMode="External"/><Relationship Id="rId4" Type="http://schemas.openxmlformats.org/officeDocument/2006/relationships/hyperlink" Target="https://www.sec.gov/ix?doc=/Archives/edgar/data/1539838/000153983824000019/fang-20231231.htm" TargetMode="External"/><Relationship Id="rId5" Type="http://schemas.openxmlformats.org/officeDocument/2006/relationships/hyperlink" Target="https://www.sec.gov/Archives/edgar/data/1748773/000119312522151937/d360984dex21.htm" TargetMode="External"/><Relationship Id="rId6" Type="http://schemas.openxmlformats.org/officeDocument/2006/relationships/hyperlink" Target="https://www.sec.gov/Archives/edgar/data/1539838/000114036124006881/ny20021341x1_ex2-1.htm" TargetMode="External"/><Relationship Id="rId7" Type="http://schemas.openxmlformats.org/officeDocument/2006/relationships/hyperlink" Target="https://www.sec.gov/Archives/edgar/data/1539838/000114036124013891/ny20021341x11_ex2-1.htm" TargetMode="External"/><Relationship Id="rId8" Type="http://schemas.openxmlformats.org/officeDocument/2006/relationships/hyperlink" Target="https://www.sec.gov/Archives/edgar/data/1539838/000153983823000086/diamondbackex31-6x14x23.htm" TargetMode="External"/><Relationship Id="rId9" Type="http://schemas.openxmlformats.org/officeDocument/2006/relationships/hyperlink" Target="https://www.sec.gov/Archives/edgar/data/1539838/000153983823000086/diamondbackex32-6x14x23.htm" TargetMode="External"/><Relationship Id="rId10" Type="http://schemas.openxmlformats.org/officeDocument/2006/relationships/hyperlink" Target="https://www.sec.gov/Archives/edgar/data/1539838/000114036124020511/ef20027000_ex4-2.htm" TargetMode="External"/><Relationship Id="rId11" Type="http://schemas.openxmlformats.org/officeDocument/2006/relationships/hyperlink" Target="https://www.sec.gov/Archives/edgar/data/1539838/000119312512360997/d295327dex41.htm" TargetMode="External"/><Relationship Id="rId12" Type="http://schemas.openxmlformats.org/officeDocument/2006/relationships/hyperlink" Target="https://www.sec.gov/Archives/edgar/data/1539838/000114036124011751/ny20021341x9_ex10-1.htm" TargetMode="External"/><Relationship Id="rId13" Type="http://schemas.openxmlformats.org/officeDocument/2006/relationships/hyperlink" Target="https://www.sec.gov/Archives/edgar/data/1539838/000114036124011751/ny20021341x9_ex10-1.htm" TargetMode="External"/><Relationship Id="rId14" Type="http://schemas.openxmlformats.org/officeDocument/2006/relationships/hyperlink" Target="https://www.sec.gov/Archives/edgar/data/1539838/000114036124011751/ny20021341x9_ex10-1.htm" TargetMode="External"/><Relationship Id="rId15" Type="http://schemas.openxmlformats.org/officeDocument/2006/relationships/hyperlink" Target="https://www.sec.gov/Archives/edgar/data/1539838/000114036124011751/ny20021341x9_ex10-1.htm" TargetMode="External"/><Relationship Id="rId16" Type="http://schemas.openxmlformats.org/officeDocument/2006/relationships/hyperlink" Target="https://www.sec.gov/Archives/edgar/data/1539838/000114036124011751/ny20021341x9_ex10-1.htm" TargetMode="External"/><Relationship Id="rId17" Type="http://schemas.openxmlformats.org/officeDocument/2006/relationships/hyperlink" Target="https://www.sec.gov/Archives/edgar/data/1539838/000114036124011751/ny20021341x9_ex10-1.htm" TargetMode="External"/><Relationship Id="rId18" Type="http://schemas.openxmlformats.org/officeDocument/2006/relationships/hyperlink" Target="https://www.sec.gov/Archives/edgar/data/1539838/000114036124011751/ny20021341x9_ex10-1.htm" TargetMode="External"/><Relationship Id="rId19" Type="http://schemas.openxmlformats.org/officeDocument/2006/relationships/hyperlink" Target="https://www.sec.gov/Archives/edgar/data/1539838/000114036124011751/ny20021341x9_ex10-1.htm" TargetMode="External"/><Relationship Id="rId20" Type="http://schemas.openxmlformats.org/officeDocument/2006/relationships/hyperlink" Target="https://www.sec.gov/Archives/edgar/data/1539838/000114036124011751/ny20021341x9_ex10-1.htm" TargetMode="External"/><Relationship Id="rId21" Type="http://schemas.openxmlformats.org/officeDocument/2006/relationships/hyperlink" Target="https://www.sec.gov/Archives/edgar/data/1539838/000114036124011751/ny20021341x9_ex10-1.htm" TargetMode="External"/><Relationship Id="rId22" Type="http://schemas.openxmlformats.org/officeDocument/2006/relationships/hyperlink" Target="https://www.sec.gov/Archives/edgar/data/1539838/000114036124011751/ny20021341x9_ex10-1.htm" TargetMode="External"/><Relationship Id="rId23" Type="http://schemas.openxmlformats.org/officeDocument/2006/relationships/hyperlink" Target="https://www.sec.gov/Archives/edgar/data/1539838/000114036124011751/ny20021341x9_ex10-1.htm" TargetMode="External"/><Relationship Id="rId24" Type="http://schemas.openxmlformats.org/officeDocument/2006/relationships/hyperlink" Target="https://www.sec.gov/Archives/edgar/data/1539838/000114036124011751/ny20021341x9_ex10-2.htm" TargetMode="External"/><Relationship Id="rId25" Type="http://schemas.openxmlformats.org/officeDocument/2006/relationships/hyperlink" Target="https://www.sec.gov/Archives/edgar/data/1539838/000153983821000117/diamondback-ex211x82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25706</Words>
  <Characters>138894</Characters>
  <CharactersWithSpaces>162553</CharactersWithSpaces>
  <Paragraphs>3555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