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 Securities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Exchange Act of 1934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right"/>
        <w:ind w:right="99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79705" cy="1625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6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Filed by Registrant           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179705" cy="162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6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-45085</wp:posOffset>
            </wp:positionH>
            <wp:positionV relativeFrom="paragraph">
              <wp:posOffset>120015</wp:posOffset>
            </wp:positionV>
            <wp:extent cx="7132320" cy="1414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96C12"/>
        </w:rPr>
        <w:t>DIAMONDBACK ENERGY,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2526030</wp:posOffset>
            </wp:positionH>
            <wp:positionV relativeFrom="paragraph">
              <wp:posOffset>146685</wp:posOffset>
            </wp:positionV>
            <wp:extent cx="1954530" cy="720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Registrant as Specified In Its Charter)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-45085</wp:posOffset>
            </wp:positionH>
            <wp:positionV relativeFrom="paragraph">
              <wp:posOffset>71120</wp:posOffset>
            </wp:positionV>
            <wp:extent cx="7132320" cy="934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 fee required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Fee paid previously with written preliminary materials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-45085</wp:posOffset>
            </wp:positionH>
            <wp:positionV relativeFrom="paragraph">
              <wp:posOffset>209550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59"/>
          </w:cols>
          <w:pgMar w:left="400" w:top="2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9018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1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85210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2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2026-04-09T15:18:03Z</dcterms:created>
  <dcterms:modified xsi:type="dcterms:W3CDTF">2026-04-09T15:18:03Z</dcterms:modified>
</cp:coreProperties>
</file>