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7, 2025</w:t>
      </w:r>
    </w:p>
    <w:p>
      <w:pPr>
        <w:spacing w:after="0" w:line="19"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2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-4445</wp:posOffset>
            </wp:positionV>
            <wp:extent cx="481266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41910</wp:posOffset>
            </wp:positionV>
            <wp:extent cx="4812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DIAMONDBACK ENERGY,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55"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Delaware</w:t>
            </w:r>
          </w:p>
        </w:tc>
        <w:tc>
          <w:tcPr>
            <w:tcW w:w="104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 ​</w:t>
            </w:r>
          </w:p>
        </w:tc>
        <w:tc>
          <w:tcPr>
            <w:tcW w:w="220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45-4502447</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420" w:type="dxa"/>
            <w:vAlign w:val="bottom"/>
          </w:tcPr>
          <w:p>
            <w:pPr>
              <w:spacing w:after="0"/>
              <w:rPr>
                <w:sz w:val="11"/>
                <w:szCs w:val="11"/>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(State or other jurisdiction of incorporation</w:t>
            </w:r>
          </w:p>
        </w:tc>
        <w:tc>
          <w:tcPr>
            <w:tcW w:w="1040" w:type="dxa"/>
            <w:vAlign w:val="bottom"/>
          </w:tcPr>
          <w:p>
            <w:pPr>
              <w:spacing w:after="0"/>
              <w:rPr>
                <w:sz w:val="11"/>
                <w:szCs w:val="1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(I.R.S. Employer Identification No.</w:t>
            </w:r>
          </w:p>
        </w:tc>
        <w:tc>
          <w:tcPr>
            <w:tcW w:w="1080" w:type="dxa"/>
            <w:vAlign w:val="bottom"/>
          </w:tcPr>
          <w:p>
            <w:pPr>
              <w:jc w:val="right"/>
              <w:ind w:right="944"/>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42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or organization)</w:t>
            </w:r>
          </w:p>
        </w:tc>
        <w:tc>
          <w:tcPr>
            <w:tcW w:w="10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9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3"/>
          <w:szCs w:val="13"/>
          <w:b w:val="1"/>
          <w:bCs w:val="1"/>
          <w:color w:val="auto"/>
        </w:rPr>
        <w:t>500 West Texas Ave., Suite 100</w:t>
      </w:r>
    </w:p>
    <w:p>
      <w:pPr>
        <w:spacing w:after="0" w:line="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Midland, Texas 79701</w:t>
      </w:r>
    </w:p>
    <w:p>
      <w:pPr>
        <w:spacing w:after="0" w:line="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(432) 221-7400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3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Jere W. Thompson III</w:t>
      </w:r>
    </w:p>
    <w:p>
      <w:pPr>
        <w:spacing w:after="0" w:line="1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Chief Financial Officer, Executive Vice President</w:t>
      </w:r>
    </w:p>
    <w:p>
      <w:pPr>
        <w:spacing w:after="0" w:line="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500 West Texas Ave. Suite 100</w:t>
      </w:r>
    </w:p>
    <w:p>
      <w:pPr>
        <w:spacing w:after="0" w:line="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Midland, Texas 79701</w:t>
      </w:r>
    </w:p>
    <w:p>
      <w:pPr>
        <w:spacing w:after="0" w:line="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(432) 221-7400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Sean T. Wheeler, P.C.</w:t>
      </w:r>
    </w:p>
    <w:p>
      <w:pPr>
        <w:spacing w:after="0" w:line="1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b w:val="1"/>
          <w:bCs w:val="1"/>
          <w:color w:val="auto"/>
        </w:rPr>
        <w:t>Michael W. Rigdon, P.C.</w:t>
      </w:r>
    </w:p>
    <w:p>
      <w:pPr>
        <w:spacing w:after="0" w:line="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Kirkland &amp; Ellis LLP</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609 Main Street</w:t>
      </w:r>
    </w:p>
    <w:p>
      <w:pPr>
        <w:spacing w:after="0" w:line="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Houston, Texas 77002</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(713) 836-3600</w:t>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 From time to time after this Registration Statement becomes effective.</w:t>
      </w:r>
    </w:p>
    <w:p>
      <w:pPr>
        <w:spacing w:after="0" w:line="85" w:lineRule="exact"/>
        <w:rPr>
          <w:sz w:val="24"/>
          <w:szCs w:val="24"/>
          <w:color w:val="auto"/>
        </w:rPr>
      </w:pPr>
    </w:p>
    <w:p>
      <w:pPr>
        <w:ind w:left="720" w:right="779" w:firstLine="280"/>
        <w:spacing w:after="0" w:line="171"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left="720" w:right="939" w:firstLine="280"/>
        <w:spacing w:after="0" w:line="163"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48" w:lineRule="exact"/>
        <w:rPr>
          <w:sz w:val="24"/>
          <w:szCs w:val="24"/>
          <w:color w:val="auto"/>
        </w:rPr>
      </w:pPr>
    </w:p>
    <w:p>
      <w:pPr>
        <w:ind w:left="720" w:right="83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7" w:lineRule="exact"/>
        <w:rPr>
          <w:sz w:val="24"/>
          <w:szCs w:val="24"/>
          <w:color w:val="auto"/>
        </w:rPr>
      </w:pPr>
    </w:p>
    <w:p>
      <w:pPr>
        <w:ind w:left="720" w:right="95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7" w:lineRule="exact"/>
        <w:rPr>
          <w:sz w:val="24"/>
          <w:szCs w:val="24"/>
          <w:color w:val="auto"/>
        </w:rPr>
      </w:pPr>
    </w:p>
    <w:p>
      <w:pPr>
        <w:ind w:left="720" w:right="109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47" w:lineRule="exact"/>
        <w:rPr>
          <w:sz w:val="24"/>
          <w:szCs w:val="24"/>
          <w:color w:val="auto"/>
        </w:rPr>
      </w:pPr>
    </w:p>
    <w:p>
      <w:pPr>
        <w:ind w:left="720" w:right="75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47" w:lineRule="exact"/>
        <w:rPr>
          <w:sz w:val="24"/>
          <w:szCs w:val="24"/>
          <w:color w:val="auto"/>
        </w:rPr>
      </w:pPr>
    </w:p>
    <w:p>
      <w:pPr>
        <w:ind w:left="720" w:right="819" w:firstLine="280"/>
        <w:spacing w:after="0" w:line="25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5"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10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 ​</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102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
        </w:trPr>
        <w:tc>
          <w:tcPr>
            <w:tcW w:w="130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160" w:type="dxa"/>
            <w:vAlign w:val="bottom"/>
            <w:vMerge w:val="continue"/>
          </w:tcPr>
          <w:p>
            <w:pPr>
              <w:spacing w:after="0" w:line="20" w:lineRule="exact"/>
              <w:rPr>
                <w:sz w:val="1"/>
                <w:szCs w:val="1"/>
                <w:color w:val="auto"/>
              </w:rPr>
            </w:pPr>
          </w:p>
        </w:tc>
        <w:tc>
          <w:tcPr>
            <w:tcW w:w="1100" w:type="dxa"/>
            <w:vAlign w:val="bottom"/>
            <w:vMerge w:val="restart"/>
          </w:tcPr>
          <w:p>
            <w:pPr>
              <w:ind w:left="960"/>
              <w:spacing w:after="0" w:line="126" w:lineRule="exact"/>
              <w:rPr>
                <w:sz w:val="20"/>
                <w:szCs w:val="20"/>
                <w:color w:val="auto"/>
              </w:rPr>
            </w:pPr>
            <w:r>
              <w:rPr>
                <w:rFonts w:ascii="Times New Roman" w:cs="Times New Roman" w:eastAsia="Times New Roman" w:hAnsi="Times New Roman"/>
                <w:sz w:val="13"/>
                <w:szCs w:val="13"/>
                <w:color w:val="auto"/>
              </w:rPr>
              <w:t>​ ​</w:t>
            </w:r>
          </w:p>
        </w:tc>
        <w:tc>
          <w:tcPr>
            <w:tcW w:w="16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840" w:type="dxa"/>
            <w:vAlign w:val="bottom"/>
            <w:vMerge w:val="restart"/>
          </w:tcPr>
          <w:p>
            <w:pPr>
              <w:ind w:left="8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6"/>
        </w:trPr>
        <w:tc>
          <w:tcPr>
            <w:tcW w:w="13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100" w:type="dxa"/>
            <w:vAlign w:val="bottom"/>
            <w:vMerge w:val="continue"/>
          </w:tcPr>
          <w:p>
            <w:pPr>
              <w:spacing w:after="0"/>
              <w:rPr>
                <w:sz w:val="10"/>
                <w:szCs w:val="10"/>
                <w:color w:val="auto"/>
              </w:rPr>
            </w:pP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2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30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Non-accelerated filer</w:t>
            </w:r>
          </w:p>
        </w:tc>
        <w:tc>
          <w:tcPr>
            <w:tcW w:w="11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3"/>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24"/>
                <w:szCs w:val="24"/>
                <w:color w:val="auto"/>
              </w:rPr>
            </w:pPr>
          </w:p>
        </w:tc>
        <w:tc>
          <w:tcPr>
            <w:tcW w:w="2720" w:type="dxa"/>
            <w:vAlign w:val="bottom"/>
            <w:gridSpan w:val="2"/>
          </w:tcPr>
          <w:p>
            <w:pPr>
              <w:ind w:left="96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102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720" w:right="1219" w:firstLine="280"/>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17145</wp:posOffset>
            </wp:positionV>
            <wp:extent cx="48126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33"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1905</wp:posOffset>
            </wp:positionV>
            <wp:extent cx="481266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196215</wp:posOffset>
            </wp:positionV>
            <wp:extent cx="531876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6,842,625 Shares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14"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This prospectus relates to the proposed resale from time to time of up to 6,842,625 shares of common stock, par value $0.01 per share (the “common stock”) of Diamondback Energy, Inc. (the “Company,” “Diamondback,” “our,” “we,” or “us”) by the securityholders named in this prospectus or certain transferees (as described in this prospectus) (the “selling stockholder”).</w:t>
      </w:r>
    </w:p>
    <w:p>
      <w:pPr>
        <w:spacing w:after="0" w:line="78" w:lineRule="exact"/>
        <w:rPr>
          <w:sz w:val="20"/>
          <w:szCs w:val="20"/>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The shares of our common stock covered by this prospectus were acquired from us on April 1, 2025, pursuant to that certain securities purchase agreement (the “Purchase Agreement”) with Double Eagle IV Midco, LLC (the “selling stockholder”), dated February 14, 2025, in connection with our acquisition of all of the issued and outstanding interests of DE Permian, LLC, a Texas limited liability company (“DE Permian”), DE IV Combo, LLC, a Delaware limited liability company (“DE Combo”), and DE IV Operating, LLC, a Texas limited liability company (together with DE Permian and DE Combo, the “DE Interests”).</w:t>
      </w:r>
    </w:p>
    <w:p>
      <w:pPr>
        <w:spacing w:after="0" w:line="263" w:lineRule="exact"/>
        <w:rPr>
          <w:sz w:val="20"/>
          <w:szCs w:val="20"/>
          <w:color w:val="auto"/>
        </w:rPr>
      </w:pPr>
    </w:p>
    <w:p>
      <w:pPr>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The selling stockholder may offer and sell or otherwise dispose of their shares of our common stock described in this prospectus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 may sell or dispose of their shares of common stock.</w:t>
      </w:r>
    </w:p>
    <w:p>
      <w:pPr>
        <w:spacing w:after="0" w:line="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will not receive any proceeds from the sale of the shares by the selling stockholder.</w:t>
      </w:r>
    </w:p>
    <w:p>
      <w:pPr>
        <w:spacing w:after="0" w:line="112" w:lineRule="exact"/>
        <w:rPr>
          <w:sz w:val="20"/>
          <w:szCs w:val="20"/>
          <w:color w:val="auto"/>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“FANG.” On April 4, 2025, the closing sale price for our common stock was $123.37 per share. Our principal executive offices are located at 500 West Texas Ave., Suite 100, Midland, Texas 79701, and our telephone number is (432) 221-7400.</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Investing in our common stock involves risks. See “Risk Factors” beginning on page </w:t>
      </w:r>
      <w:r>
        <w:rPr>
          <w:rFonts w:ascii="Times New Roman" w:cs="Times New Roman" w:eastAsia="Times New Roman" w:hAnsi="Times New Roman"/>
          <w:sz w:val="14"/>
          <w:szCs w:val="14"/>
          <w:b w:val="1"/>
          <w:bCs w:val="1"/>
          <w:i w:val="1"/>
          <w:iCs w:val="1"/>
          <w:u w:val="single" w:color="auto"/>
          <w:color w:val="0000EE"/>
        </w:rPr>
        <w:t>2</w:t>
      </w:r>
      <w:r>
        <w:rPr>
          <w:rFonts w:ascii="Times New Roman" w:cs="Times New Roman" w:eastAsia="Times New Roman" w:hAnsi="Times New Roman"/>
          <w:sz w:val="14"/>
          <w:szCs w:val="14"/>
          <w:b w:val="1"/>
          <w:bCs w:val="1"/>
          <w:i w:val="1"/>
          <w:iCs w:val="1"/>
          <w:color w:val="auto"/>
        </w:rPr>
        <w:t>.</w:t>
      </w:r>
    </w:p>
    <w:p>
      <w:pPr>
        <w:spacing w:after="0" w:line="123" w:lineRule="exact"/>
        <w:rPr>
          <w:sz w:val="20"/>
          <w:szCs w:val="20"/>
          <w:color w:val="auto"/>
        </w:rPr>
      </w:pPr>
    </w:p>
    <w:p>
      <w:pPr>
        <w:ind w:left="1300" w:right="149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2058670</wp:posOffset>
            </wp:positionV>
            <wp:extent cx="531876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OUR</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INFORMATION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w:t>
      </w:r>
    </w:p>
    <w:p>
      <w:pPr>
        <w:sectPr>
          <w:pgSz w:w="11900" w:h="16838" w:orient="portrait"/>
          <w:cols w:equalWidth="0" w:num="2">
            <w:col w:w="6700" w:space="720"/>
            <w:col w:w="159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419" w:firstLine="280"/>
        <w:spacing w:after="0" w:line="253"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U.S. Securities and Exchange Commission (the “SEC”), as a “well-known seasoned issuer” (as​ defined in Rule 405 of the Securities Act of 1933, as amended (the “Securities Act”)), using a “shelf” registration process. Using this process, the selling stockholder may offer the securities described in this prospectus in one or more offerings. This prospectus provides you with a general description of us and the securities that may be offered by the selling stockholder. Because the selling stockholder may be deemed to be an “underwriter” within the meaning of the Securities Act, each time securities are offered by the selling stockholder pursuant to this prospectus, the selling stockholder may be required to provide you with this prospectus and, in certain cases, a prospectus supplement that will contain specific information about the selling stockholder and the terms of the securities being offered. The prospectus supplement may also add to, update or change the information contained in this prospectus. If there is any inconsistency between the information in this prospectus and any prospectus supplement, you should rely on the information in the prospectus supplement. Please carefully read this prospectus and any prospectus supplement, in addition to the information contained in the documents we refer to under the heading “Where You Can Find More Information” and “Information Incorporated by Reference.”</w:t>
      </w:r>
    </w:p>
    <w:p>
      <w:pPr>
        <w:spacing w:after="0" w:line="263"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Neither we nor the selling stockholder have authorized any other person to provide you with different information. If anyone provides you with different or inconsistent information, you should not rely on it. We and the selling stockholder take no responsibility for, and can provide no assurance as to the reliability of, any other information that others may give you.</w:t>
      </w:r>
    </w:p>
    <w:p>
      <w:pPr>
        <w:spacing w:after="0" w:line="78" w:lineRule="exact"/>
        <w:rPr>
          <w:sz w:val="20"/>
          <w:szCs w:val="20"/>
          <w:color w:val="auto"/>
        </w:rPr>
      </w:pPr>
    </w:p>
    <w:p>
      <w:pPr>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88" w:lineRule="exact"/>
        <w:rPr>
          <w:sz w:val="20"/>
          <w:szCs w:val="20"/>
          <w:color w:val="auto"/>
        </w:rPr>
      </w:pPr>
    </w:p>
    <w:p>
      <w:pPr>
        <w:ind w:left="1300" w:right="1399" w:firstLine="280"/>
        <w:spacing w:after="0" w:line="258" w:lineRule="auto"/>
        <w:rPr>
          <w:sz w:val="20"/>
          <w:szCs w:val="20"/>
          <w:color w:val="auto"/>
        </w:rPr>
      </w:pPr>
      <w:r>
        <w:rPr>
          <w:rFonts w:ascii="Times New Roman" w:cs="Times New Roman" w:eastAsia="Times New Roman" w:hAnsi="Times New Roman"/>
          <w:sz w:val="14"/>
          <w:szCs w:val="14"/>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91" w:lineRule="exact"/>
        <w:rPr>
          <w:sz w:val="20"/>
          <w:szCs w:val="20"/>
          <w:color w:val="auto"/>
        </w:rPr>
      </w:pPr>
    </w:p>
    <w:p>
      <w:pPr>
        <w:ind w:left="1300" w:right="1519" w:firstLine="280"/>
        <w:spacing w:after="0" w:line="267" w:lineRule="auto"/>
        <w:rPr>
          <w:sz w:val="20"/>
          <w:szCs w:val="20"/>
          <w:color w:val="auto"/>
        </w:rPr>
      </w:pPr>
      <w:r>
        <w:rPr>
          <w:rFonts w:ascii="Times New Roman" w:cs="Times New Roman" w:eastAsia="Times New Roman" w:hAnsi="Times New Roman"/>
          <w:sz w:val="14"/>
          <w:szCs w:val="14"/>
          <w:color w:val="auto"/>
        </w:rPr>
        <w:t>When used in this prospectus or in any supplement to this prospectus, the terms “Diamondback,” the “Company,” “our,” “we,” or “us” refer to Diamondback Energy, Inc. and its consolidated subsidiaries, unless otherwise indicated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including documents incorporated by reference herein and therein, may contain “forward-looking statements” within the meaning of Section 27A of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prospectus or in documents incorporated by reference 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Factors that could cause our outcomes to differ materially include (but are limited to) the following:</w:t>
      </w:r>
    </w:p>
    <w:p>
      <w:pPr>
        <w:spacing w:after="0" w:line="91" w:lineRule="exact"/>
        <w:rPr>
          <w:sz w:val="20"/>
          <w:szCs w:val="20"/>
          <w:color w:val="auto"/>
        </w:rPr>
      </w:pPr>
    </w:p>
    <w:p>
      <w:pPr>
        <w:ind w:left="1720" w:right="155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supply and demand levels for oil, natural gas and natural gas liquids, and the resulting impact on the price for those commodities;</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public health crises, including epidemic or pandemic diseases and any related company or government policies or actions;</w:t>
      </w:r>
    </w:p>
    <w:p>
      <w:pPr>
        <w:spacing w:after="0" w:line="4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the members of OPEC and Russia affecting the production and pricing of oil, as well as other domestic and global political, economic or diplomatic developments;</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or industry conditions, including changes in foreign currency exchange rates, interest rates and inflation rates, instability in the financial sector;</w:t>
      </w:r>
    </w:p>
    <w:p>
      <w:pPr>
        <w:spacing w:after="0" w:line="40" w:lineRule="exact"/>
        <w:rPr>
          <w:rFonts w:ascii="Times New Roman" w:cs="Times New Roman" w:eastAsia="Times New Roman" w:hAnsi="Times New Roman"/>
          <w:sz w:val="14"/>
          <w:szCs w:val="14"/>
          <w:color w:val="auto"/>
        </w:rPr>
      </w:pPr>
    </w:p>
    <w:p>
      <w:pPr>
        <w:ind w:left="1720" w:right="187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supply and demand factors, including delays, curtailment delays or interruptions of production, or governmental orders, rules or regulations that impose production limits;</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legislative and regulatory initiatives relating to hydraulic fracturing, including the effect of existing and future laws and governmental regulations;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and transition risks relating to climate change;</w:t>
      </w:r>
    </w:p>
    <w:p>
      <w:pPr>
        <w:spacing w:after="0" w:line="91" w:lineRule="exact"/>
        <w:rPr>
          <w:rFonts w:ascii="Times New Roman" w:cs="Times New Roman" w:eastAsia="Times New Roman" w:hAnsi="Times New Roman"/>
          <w:sz w:val="14"/>
          <w:szCs w:val="14"/>
          <w:color w:val="auto"/>
        </w:rPr>
      </w:pPr>
    </w:p>
    <w:p>
      <w:pPr>
        <w:ind w:left="1720" w:right="1359" w:hanging="131"/>
        <w:spacing w:after="0" w:line="267"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51" w:lineRule="exact"/>
        <w:rPr>
          <w:rFonts w:ascii="Times New Roman" w:cs="Times New Roman" w:eastAsia="Times New Roman" w:hAnsi="Times New Roman"/>
          <w:sz w:val="14"/>
          <w:szCs w:val="14"/>
          <w:color w:val="auto"/>
        </w:rPr>
      </w:pPr>
    </w:p>
    <w:p>
      <w:pPr>
        <w:ind w:left="1720" w:right="191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declines in prices for oil, natural gas, or natural gas liquids, which could require recognition of significant impairment charges;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energy, environmental, monetary and trade policies;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capital, financial and credit markets, including the availability and pricing of capital for drilling and development operations and our environmental and social responsibility projects;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with employee retention and an increasingly competitive labor market;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availability or cost of rigs, equipment, raw materials, supplies and oilfield services;</w:t>
      </w:r>
    </w:p>
    <w:p>
      <w:pPr>
        <w:spacing w:after="0" w:line="91"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safety, health, environmental, tax and other regulations or requirements (including those addressing air emissions, water management or the impact of global climate change);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19" w:hanging="131"/>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5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or disruption in, access to adequate and reliable transportation, processing, storage and other facilities for our oil, natural gas and natural gas liquids;</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obtaining necessary approvals and permits;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conditions and natural disasters;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war or terrorist acts and the governmental or military response thereto;</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strength of counterparties to our credit agreement and hedging contracts;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credit rating;</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acquisition of Endeavor Parent, LLC (“Endeavor”) and the DE Interests;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 factors discussed in the section of this prospectus entitled “Risk Factors”; and</w:t>
      </w:r>
    </w:p>
    <w:p>
      <w:pPr>
        <w:spacing w:after="0" w:line="91"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under in our Annual Report on Form 10-K, any of our Quarterly Reports on Form 10-Q or any of our current reports on Form 8-K.</w:t>
      </w:r>
    </w:p>
    <w:p>
      <w:pPr>
        <w:spacing w:after="0" w:line="72"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 this prospectus. All forward-looking statements speak only as of the date of this prospectus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25"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We are an independent oil and natural gas company focused on the acquisition, development, exploration and exploitation of unconventional, onshore oil and natural gas reserves primarily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spacing w:after="0" w:line="90"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500 West Texas Ave., Suite 100, Midland, TX 79701 and our telephone number is (432) 221-7400. Our common stock is listed on Nasdaq under the trading symbol “FANG.” Our website address is </w:t>
      </w:r>
      <w:r>
        <w:rPr>
          <w:rFonts w:ascii="Times New Roman" w:cs="Times New Roman" w:eastAsia="Times New Roman" w:hAnsi="Times New Roman"/>
          <w:sz w:val="14"/>
          <w:szCs w:val="14"/>
          <w:i w:val="1"/>
          <w:iCs w:val="1"/>
          <w:color w:val="auto"/>
        </w:rPr>
        <w:t>www.diamondbackenergy.com</w:t>
      </w:r>
      <w:r>
        <w:rPr>
          <w:rFonts w:ascii="Times New Roman" w:cs="Times New Roman" w:eastAsia="Times New Roman" w:hAnsi="Times New Roman"/>
          <w:sz w:val="14"/>
          <w:szCs w:val="14"/>
          <w:color w:val="auto"/>
        </w:rPr>
        <w:t>. Information contained on our website does not constitute part of this prospectus.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Double Eagle Acquisition</w:t>
      </w:r>
    </w:p>
    <w:p>
      <w:pPr>
        <w:spacing w:after="0" w:line="114" w:lineRule="exact"/>
        <w:rPr>
          <w:sz w:val="20"/>
          <w:szCs w:val="20"/>
          <w:color w:val="auto"/>
        </w:rPr>
      </w:pPr>
    </w:p>
    <w:p>
      <w:pPr>
        <w:jc w:val="both"/>
        <w:ind w:left="1300" w:right="1899" w:firstLine="280"/>
        <w:spacing w:after="0" w:line="258" w:lineRule="auto"/>
        <w:rPr>
          <w:sz w:val="20"/>
          <w:szCs w:val="20"/>
          <w:color w:val="auto"/>
        </w:rPr>
      </w:pPr>
      <w:r>
        <w:rPr>
          <w:rFonts w:ascii="Times New Roman" w:cs="Times New Roman" w:eastAsia="Times New Roman" w:hAnsi="Times New Roman"/>
          <w:sz w:val="14"/>
          <w:szCs w:val="14"/>
          <w:color w:val="auto"/>
        </w:rPr>
        <w:t>On April 1, 2025, we acquired the DE Interests (the “Acquisition”). The consideration for the Acquisition consisted of, in the aggregate, (i) approximately $2.8 billion in cash (subject to certain customary post-closing adjustments in accordance with the terms of the Purchase Agreement) and</w:t>
      </w:r>
    </w:p>
    <w:p>
      <w:pPr>
        <w:ind w:left="1300" w:right="1519" w:firstLine="8"/>
        <w:spacing w:after="0" w:line="252" w:lineRule="auto"/>
        <w:tabs>
          <w:tab w:leader="none" w:pos="1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6,842,625 shares of our common stock. We funded the cash portion for the Acquisition with a combination of cash on hand, borrowings under our revolving credit facility, $1.5 billion in borrowings under a term loan agreement and the net proceeds from our previously reported $1.2 billion senior notes offering completed on March 20, 2025. The shares of our common stock were issued in reliance upon the exemption from the registration requirements of the Securities Act, provided by Section 4(a)(2) of the Securities Act as sales by an issuer not involving any public offering.</w:t>
      </w:r>
    </w:p>
    <w:p>
      <w:pPr>
        <w:spacing w:after="0" w:line="96"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At the closing of the Acquisition, we entered into a registration rights agreement with the selling stockholder, dated as of April 1, 2025 (the “Registration Rights Agreement”), pursuant to which we agreed to use our reasonable best efforts to cause to be filed a shelf registration statement registering for resale the shares of common stock issued in the Acquisition within five business days following the closing of the Acquisition, and use reasonable best efforts to cause such shelf registration statement to become effective promptly thereafter. See “Selling Stockholder”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19" w:firstLine="280"/>
        <w:spacing w:after="0" w:line="254"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Investment in our common stock involves certain risks. You should carefully consider the factors </w:t>
      </w:r>
      <w:hyperlink r:id="rId25">
        <w:r>
          <w:rPr>
            <w:rFonts w:ascii="Times New Roman" w:cs="Times New Roman" w:eastAsia="Times New Roman" w:hAnsi="Times New Roman"/>
            <w:sz w:val="14"/>
            <w:szCs w:val="14"/>
            <w:i w:val="1"/>
            <w:iCs w:val="1"/>
            <w:color w:val="auto"/>
          </w:rPr>
          <w:t xml:space="preserve">described in Part I, Item 1A. Risk Factors in our </w:t>
        </w:r>
        <w:r>
          <w:rPr>
            <w:rFonts w:ascii="Times New Roman" w:cs="Times New Roman" w:eastAsia="Times New Roman" w:hAnsi="Times New Roman"/>
            <w:sz w:val="14"/>
            <w:szCs w:val="14"/>
            <w:i w:val="1"/>
            <w:iCs w:val="1"/>
            <w:u w:val="single" w:color="auto"/>
            <w:color w:val="0000EE"/>
          </w:rPr>
          <w:t>Annual Report on Form 10-K for the year ended</w:t>
        </w:r>
      </w:hyperlink>
      <w:r>
        <w:rPr>
          <w:rFonts w:ascii="Times New Roman" w:cs="Times New Roman" w:eastAsia="Times New Roman" w:hAnsi="Times New Roman"/>
          <w:sz w:val="14"/>
          <w:szCs w:val="14"/>
          <w:i w:val="1"/>
          <w:iCs w:val="1"/>
          <w:color w:val="auto"/>
        </w:rPr>
        <w:t xml:space="preserve"> </w:t>
      </w:r>
      <w:hyperlink r:id="rId25">
        <w:r>
          <w:rPr>
            <w:rFonts w:ascii="Times New Roman" w:cs="Times New Roman" w:eastAsia="Times New Roman" w:hAnsi="Times New Roman"/>
            <w:sz w:val="14"/>
            <w:szCs w:val="14"/>
            <w:i w:val="1"/>
            <w:iCs w:val="1"/>
            <w:u w:val="single" w:color="auto"/>
            <w:color w:val="0000EE"/>
          </w:rPr>
          <w:t>December 31, 2024, filed with the SEC on February 26,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 xml:space="preserve">and in subsequent filings we make </w:t>
        </w:r>
      </w:hyperlink>
      <w:r>
        <w:rPr>
          <w:rFonts w:ascii="Times New Roman" w:cs="Times New Roman" w:eastAsia="Times New Roman" w:hAnsi="Times New Roman"/>
          <w:sz w:val="14"/>
          <w:szCs w:val="14"/>
          <w:i w:val="1"/>
          <w:iCs w:val="1"/>
          <w:color w:val="0000EE"/>
        </w:rPr>
        <w:t xml:space="preserve">with </w:t>
      </w:r>
      <w:r>
        <w:rPr>
          <w:rFonts w:ascii="Times New Roman" w:cs="Times New Roman" w:eastAsia="Times New Roman" w:hAnsi="Times New Roman"/>
          <w:sz w:val="14"/>
          <w:szCs w:val="14"/>
          <w:i w:val="1"/>
          <w:iCs w:val="1"/>
          <w:color w:val="000000"/>
        </w:rPr>
        <w:t>the</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SEC, including those incorporated by reference into this prospectus, before investing in our common stock. We will also include in any prospectus supplement a description of any other risk factors applicable to an offering contemplated by such prospectus supplement. Additional risks and uncertainties not known to us or that we view as immaterial may also impair our business operations. Any of these risks could materially and adversely affect our business, financial condition, results of operations and cash flows and could result in a loss of all or part of your investment. Please read “Cautionary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99" w:firstLine="280"/>
        <w:spacing w:after="0" w:line="264" w:lineRule="auto"/>
        <w:rPr>
          <w:sz w:val="20"/>
          <w:szCs w:val="20"/>
          <w:color w:val="auto"/>
        </w:rPr>
      </w:pPr>
      <w:r>
        <w:rPr>
          <w:rFonts w:ascii="Times New Roman" w:cs="Times New Roman" w:eastAsia="Times New Roman" w:hAnsi="Times New Roman"/>
          <w:sz w:val="14"/>
          <w:szCs w:val="14"/>
          <w:color w:val="auto"/>
        </w:rPr>
        <w:t>All of the shares of common stock covered by this prospectus are being offered and sold by the selling stockholder identified in this prospectus. We will not receive any proceeds from the sale of the common stock by the selling stockholder. See “Selling Stockholder” and “Plan of Distribution”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25"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We have prepared this prospectus to allow the selling stockholder to offer and sell from time to time, in one or more offerings, up to an aggregate of 6,842,625 shares of our common stock for their own account. In connection with the Acquisition, (i) 6,547,446 shares of our common stock were issued to directly to the selling stockholder and (ii) 295,179 shares of our common stock were issued to the selling stockholder in escrow, subject to the terms and conditions of an escrow agreement.</w:t>
      </w:r>
    </w:p>
    <w:p>
      <w:pPr>
        <w:spacing w:after="0" w:line="86" w:lineRule="exact"/>
        <w:rPr>
          <w:sz w:val="20"/>
          <w:szCs w:val="20"/>
          <w:color w:val="auto"/>
        </w:rPr>
      </w:pPr>
    </w:p>
    <w:p>
      <w:pPr>
        <w:ind w:left="1300" w:right="1439" w:firstLine="280"/>
        <w:spacing w:after="0" w:line="242" w:lineRule="auto"/>
        <w:rPr>
          <w:sz w:val="20"/>
          <w:szCs w:val="20"/>
          <w:color w:val="auto"/>
        </w:rPr>
      </w:pPr>
      <w:r>
        <w:rPr>
          <w:rFonts w:ascii="Times New Roman" w:cs="Times New Roman" w:eastAsia="Times New Roman" w:hAnsi="Times New Roman"/>
          <w:sz w:val="14"/>
          <w:szCs w:val="14"/>
          <w:color w:val="auto"/>
        </w:rPr>
        <w:t>At the closing of the Acquisition, we entered into the Registration Rights Agreement, pursuant to which we agreed, within five business days following the closing of the Acquisition, to use our reasonable best efforts to file with the SEC, and, shortly thereafter, to use our reasonable best efforts to cause to become effective, a shelf registration statement registering for resale the shares issued in the Acquisition. We also agreed, subject to the termination provisions discussed below, to use our reasonable best efforts to keep such registration statement current and effective (or file a new shelf registration statement, if applicable, upon expiration of the preceding shelf registration statement) until such time as all of the Registrable Securities (as such term is defined in the Registration Rights Agreement) (i) have been distributed to the public pursuant to an offering registered under the Securities Act, (ii) have been distributed, or may legally be distributed to the public without volume or manner-of-sale restrictions and without the requirement for the Company to be in compliance with the current public information requirement under Rule 144 (or any successor provision) under the Securities Act or (iii) have been transferred or sold to any person to whom the rights under the Registration Rights Agreement are not assigned in accordance with the Registration Rights Agreement. The registration statement and our obligations to keep the shelf registration statement effective will terminate upon the date when there shall no longer be any such Registrable Securities outstanding.</w:t>
      </w:r>
    </w:p>
    <w:p>
      <w:pPr>
        <w:spacing w:after="0" w:line="256"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We have prepared this prospectus and the registration statement of which it is a part to fulfill our registration requirements under the Purchase Agreement and Registration Rights Agreement with respect to an aggregate of 6,842,625 shares of our common stock that were issued on April 1, 2025 in connection with the closing of the Acquisition.</w:t>
      </w:r>
    </w:p>
    <w:p>
      <w:pPr>
        <w:spacing w:after="0" w:line="83"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Pursuant to the terms of the Registration Rights Agreement, we will generally pay all expenses relating to the registration, offering and listing of these shares, except that the selling stockholder will pay any underwriting fees, discounts and commissions, placement fees of underwriter, broker commissions, transfer taxes and certain attorney’s fees. We have also agreed to indemnify the selling stockholder against certain liabilities, including liabilities under the Securities Act, based upon, arising out of, related to or resulting from any untrue or alleged untrue statement of a material fact contained in any registration statement or prospectus filed by us.</w:t>
      </w:r>
    </w:p>
    <w:p>
      <w:pPr>
        <w:spacing w:after="0" w:line="254" w:lineRule="exact"/>
        <w:rPr>
          <w:sz w:val="20"/>
          <w:szCs w:val="20"/>
          <w:color w:val="auto"/>
        </w:rPr>
      </w:pPr>
    </w:p>
    <w:p>
      <w:pPr>
        <w:ind w:left="1300" w:right="1519" w:firstLine="280"/>
        <w:spacing w:after="0" w:line="260" w:lineRule="auto"/>
        <w:rPr>
          <w:sz w:val="20"/>
          <w:szCs w:val="20"/>
          <w:color w:val="auto"/>
        </w:rPr>
      </w:pPr>
      <w:r>
        <w:rPr>
          <w:rFonts w:ascii="Times New Roman" w:cs="Times New Roman" w:eastAsia="Times New Roman" w:hAnsi="Times New Roman"/>
          <w:sz w:val="14"/>
          <w:szCs w:val="14"/>
          <w:color w:val="auto"/>
        </w:rPr>
        <w:t>As used herein, the term “selling stockholder” includes the stockholder listed in the table below and certain affiliates and permitted transferees having registration rights under the terms of the Registration Rights Agreement. This prospectus does not cover subsequent sales of common stock purchased from the selling stockholder or by any person who does not have registration rights under the Registration Rights Agreement.</w:t>
      </w:r>
    </w:p>
    <w:p>
      <w:pPr>
        <w:spacing w:after="0" w:line="259"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following table sets forth the maximum number of shares of our common stock that may be sold by the selling stockholder under the registration statement of which this prospectus forms a part. For purposes of the table below, we assume that the selling stockholder will sell all of their shares of common stock covered by this prospectus. We cannot predict when or in what amount the selling stockholder may sell any of the shares offered by the selling stockholder in this prospectus, if at all. The table also sets forth the name of the selling stockholder, the nature of any position, office or other material relationship which such selling stockholder has had, within the past three years, with us or with any of our predecessors or affiliates, and the number of shares of our common stock to be owned by such selling stockholder after completion of the offering.</w:t>
      </w:r>
    </w:p>
    <w:p>
      <w:pPr>
        <w:spacing w:after="0" w:line="251"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We prepared the table based on information provided to us by the selling stockholder. We have not sought to verify such information. Additionally, the selling stockholder may have sold or transferred some or all of their shares of our common stock in transactions exempt from the registration requirements of the Securities Act since the date on which the information in the table was provided to us. Other information about the selling stockholder may also change over time.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739" w:firstLine="280"/>
        <w:spacing w:after="0" w:line="283" w:lineRule="auto"/>
        <w:rPr>
          <w:sz w:val="20"/>
          <w:szCs w:val="20"/>
          <w:color w:val="auto"/>
        </w:rPr>
      </w:pPr>
      <w:r>
        <w:rPr>
          <w:rFonts w:ascii="Times New Roman" w:cs="Times New Roman" w:eastAsia="Times New Roman" w:hAnsi="Times New Roman"/>
          <w:sz w:val="14"/>
          <w:szCs w:val="14"/>
          <w:color w:val="auto"/>
        </w:rPr>
        <w:t>Except as otherwise indicated, the selling stockholder has sole voting and dispositive power with respect to such shares.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b w:val="1"/>
          <w:bCs w:val="1"/>
          <w:color w:val="auto"/>
        </w:rPr>
        <w:t>Name of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32385</wp:posOffset>
            </wp:positionV>
            <wp:extent cx="18961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896110" cy="6985"/>
                    </a:xfrm>
                    <a:prstGeom prst="rect">
                      <a:avLst/>
                    </a:prstGeom>
                    <a:noFill/>
                  </pic:spPr>
                </pic:pic>
              </a:graphicData>
            </a:graphic>
          </wp:anchor>
        </w:drawing>
      </w:r>
    </w:p>
    <w:p>
      <w:pPr>
        <w:spacing w:after="0" w:line="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of</w:t>
            </w:r>
          </w:p>
        </w:tc>
      </w:tr>
      <w:tr>
        <w:trPr>
          <w:trHeight w:val="126"/>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of Common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r>
      <w:tr>
        <w:trPr>
          <w:trHeight w:val="126"/>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Stock Beneficially</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r>
      <w:tr>
        <w:trPr>
          <w:trHeight w:val="117"/>
        </w:trPr>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Owned Prior to the</w:t>
            </w:r>
          </w:p>
        </w:tc>
        <w:tc>
          <w:tcPr>
            <w:tcW w:w="16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Being Offered</w:t>
            </w:r>
          </w:p>
        </w:tc>
      </w:tr>
      <w:tr>
        <w:trPr>
          <w:trHeight w:val="176"/>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Offering</w:t>
            </w:r>
            <w:r>
              <w:rPr>
                <w:rFonts w:ascii="Times New Roman" w:cs="Times New Roman" w:eastAsia="Times New Roman" w:hAnsi="Times New Roman"/>
                <w:sz w:val="14"/>
                <w:szCs w:val="14"/>
                <w:b w:val="1"/>
                <w:bCs w:val="1"/>
                <w:color w:val="auto"/>
                <w:w w:val="93"/>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Hereby</w:t>
            </w:r>
          </w:p>
        </w:tc>
      </w:tr>
      <w:tr>
        <w:trPr>
          <w:trHeight w:val="204"/>
        </w:trPr>
        <w:tc>
          <w:tcPr>
            <w:tcW w:w="1200" w:type="dxa"/>
            <w:vAlign w:val="bottom"/>
          </w:tcPr>
          <w:p>
            <w:pPr>
              <w:ind w:left="100"/>
              <w:spacing w:after="0" w:line="204"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Percent</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-14605</wp:posOffset>
            </wp:positionV>
            <wp:extent cx="4058920"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4058920" cy="153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11"/>
          <w:szCs w:val="11"/>
          <w:b w:val="1"/>
          <w:bCs w:val="1"/>
          <w:color w:val="auto"/>
        </w:rPr>
        <w:t>Shares of</w:t>
      </w:r>
    </w:p>
    <w:p>
      <w:pPr>
        <w:spacing w:after="0" w:line="13"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11"/>
          <w:szCs w:val="11"/>
          <w:b w:val="1"/>
          <w:bCs w:val="1"/>
          <w:color w:val="auto"/>
        </w:rPr>
        <w:t>Common Stock</w:t>
      </w:r>
    </w:p>
    <w:p>
      <w:pPr>
        <w:jc w:val="center"/>
        <w:ind w:right="1219"/>
        <w:spacing w:after="0"/>
        <w:rPr>
          <w:sz w:val="20"/>
          <w:szCs w:val="20"/>
          <w:color w:val="auto"/>
        </w:rPr>
      </w:pPr>
      <w:r>
        <w:rPr>
          <w:rFonts w:ascii="Times New Roman" w:cs="Times New Roman" w:eastAsia="Times New Roman" w:hAnsi="Times New Roman"/>
          <w:sz w:val="11"/>
          <w:szCs w:val="11"/>
          <w:b w:val="1"/>
          <w:bCs w:val="1"/>
          <w:color w:val="auto"/>
        </w:rPr>
        <w:t>Beneficially Owned</w:t>
      </w:r>
    </w:p>
    <w:p>
      <w:pPr>
        <w:jc w:val="center"/>
        <w:ind w:right="1219"/>
        <w:spacing w:after="0" w:line="210" w:lineRule="auto"/>
        <w:rPr>
          <w:sz w:val="20"/>
          <w:szCs w:val="20"/>
          <w:color w:val="auto"/>
        </w:rPr>
      </w:pPr>
      <w:r>
        <w:rPr>
          <w:rFonts w:ascii="Times New Roman" w:cs="Times New Roman" w:eastAsia="Times New Roman" w:hAnsi="Times New Roman"/>
          <w:sz w:val="11"/>
          <w:szCs w:val="11"/>
          <w:b w:val="1"/>
          <w:bCs w:val="1"/>
          <w:color w:val="auto"/>
        </w:rPr>
        <w:t>After Completion</w:t>
      </w:r>
    </w:p>
    <w:p>
      <w:pPr>
        <w:spacing w:after="0" w:line="187" w:lineRule="auto"/>
        <w:tabs>
          <w:tab w:leader="none" w:pos="240" w:val="left"/>
          <w:tab w:leader="none" w:pos="1140" w:val="left"/>
        </w:tabs>
        <w:rPr>
          <w:sz w:val="20"/>
          <w:szCs w:val="20"/>
          <w:color w:val="auto"/>
        </w:rPr>
      </w:pP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of the Offering</w:t>
      </w:r>
      <w:r>
        <w:rPr>
          <w:rFonts w:ascii="Times New Roman" w:cs="Times New Roman" w:eastAsia="Times New Roman" w:hAnsi="Times New Roman"/>
          <w:sz w:val="14"/>
          <w:szCs w:val="14"/>
          <w:b w:val="1"/>
          <w:bCs w:val="1"/>
          <w:color w:val="auto"/>
          <w:vertAlign w:val="superscript"/>
        </w:rPr>
        <w:t>(2)</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-635</wp:posOffset>
            </wp:positionV>
            <wp:extent cx="6540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54050" cy="6985"/>
                    </a:xfrm>
                    <a:prstGeom prst="rect">
                      <a:avLst/>
                    </a:prstGeom>
                    <a:noFill/>
                  </pic:spPr>
                </pic:pic>
              </a:graphicData>
            </a:graphic>
          </wp:anchor>
        </w:drawing>
      </w:r>
    </w:p>
    <w:p>
      <w:pPr>
        <w:spacing w:after="0" w:line="189" w:lineRule="auto"/>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Number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Percent</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p>
      <w:pPr>
        <w:spacing w:after="0" w:line="23" w:lineRule="exact"/>
        <w:rPr>
          <w:sz w:val="20"/>
          <w:szCs w:val="20"/>
          <w:color w:val="auto"/>
        </w:rPr>
      </w:pPr>
    </w:p>
    <w:p>
      <w:pPr>
        <w:sectPr>
          <w:pgSz w:w="11900" w:h="16838" w:orient="portrait"/>
          <w:cols w:equalWidth="0" w:num="4">
            <w:col w:w="3620" w:space="720"/>
            <w:col w:w="100" w:space="20"/>
            <w:col w:w="2040" w:space="40"/>
            <w:col w:w="2479"/>
          </w:cols>
          <w:pgMar w:left="1440" w:top="107" w:right="1440" w:bottom="1440" w:gutter="0" w:footer="0" w:header="0"/>
          <w:type w:val="continuous"/>
        </w:sectPr>
      </w:pPr>
    </w:p>
    <w:p>
      <w:pPr>
        <w:ind w:left="1300"/>
        <w:spacing w:after="0" w:line="184" w:lineRule="auto"/>
        <w:tabs>
          <w:tab w:leader="none" w:pos="4320" w:val="left"/>
        </w:tabs>
        <w:rPr>
          <w:sz w:val="20"/>
          <w:szCs w:val="20"/>
          <w:color w:val="auto"/>
        </w:rPr>
      </w:pPr>
      <w:r>
        <w:rPr>
          <w:rFonts w:ascii="Times New Roman" w:cs="Times New Roman" w:eastAsia="Times New Roman" w:hAnsi="Times New Roman"/>
          <w:sz w:val="14"/>
          <w:szCs w:val="14"/>
          <w:color w:val="auto"/>
        </w:rPr>
        <w:t>Double Eagle IV Midco, LLC</w:t>
      </w:r>
      <w:r>
        <w:rPr>
          <w:rFonts w:ascii="Times New Roman" w:cs="Times New Roman" w:eastAsia="Times New Roman" w:hAnsi="Times New Roman"/>
          <w:sz w:val="18"/>
          <w:szCs w:val="18"/>
          <w:color w:val="auto"/>
          <w:vertAlign w:val="superscript"/>
        </w:rPr>
        <w:t>(4)</w:t>
      </w:r>
      <w:r>
        <w:rPr>
          <w:sz w:val="20"/>
          <w:szCs w:val="20"/>
          <w:color w:val="auto"/>
        </w:rPr>
        <w:tab/>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color w:val="auto"/>
        </w:rPr>
        <w:t>​6,842,625</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2.3%</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6,842,625</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100330</wp:posOffset>
            </wp:positionV>
            <wp:extent cx="96139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39" w:lineRule="exact"/>
        <w:rPr>
          <w:sz w:val="20"/>
          <w:szCs w:val="20"/>
          <w:color w:val="auto"/>
        </w:rPr>
      </w:pPr>
    </w:p>
    <w:p>
      <w:pPr>
        <w:ind w:left="1580" w:right="1399" w:hanging="272"/>
        <w:spacing w:after="0" w:line="255" w:lineRule="auto"/>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211" w:lineRule="exact"/>
        <w:rPr>
          <w:rFonts w:ascii="Times New Roman" w:cs="Times New Roman" w:eastAsia="Times New Roman" w:hAnsi="Times New Roman"/>
          <w:sz w:val="14"/>
          <w:szCs w:val="14"/>
          <w:color w:val="auto"/>
        </w:rPr>
      </w:pPr>
    </w:p>
    <w:p>
      <w:pPr>
        <w:ind w:left="1580" w:right="1519" w:hanging="272"/>
        <w:spacing w:after="0" w:line="283" w:lineRule="auto"/>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 disposes of all of the shares of common stock covered by this prospectus and does not acquire beneficial ownership of any additional shares of our common stock.</w:t>
      </w:r>
    </w:p>
    <w:p>
      <w:pPr>
        <w:spacing w:after="0" w:line="9" w:lineRule="exact"/>
        <w:rPr>
          <w:rFonts w:ascii="Times New Roman" w:cs="Times New Roman" w:eastAsia="Times New Roman" w:hAnsi="Times New Roman"/>
          <w:sz w:val="14"/>
          <w:szCs w:val="14"/>
          <w:color w:val="auto"/>
        </w:rPr>
      </w:pPr>
    </w:p>
    <w:p>
      <w:pPr>
        <w:ind w:left="1580" w:right="1319" w:hanging="272"/>
        <w:spacing w:after="0" w:line="257" w:lineRule="auto"/>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beneficial ownership is based upon 294,082,951 shares of common stock outstanding as of April 1, 2025. Because the selling stockholder is not obligated to sell any portion of the shares of our common stock shown as offered by it, we cannot estimate the actual number or percentage of shares of our common stock that will be held by the selling stockholder upon completion of this offering. However, for purposes of this table, we have assumed that, after completion of the offering, none of the shares covered by this prospectus will be held by the selling stockholder.</w:t>
      </w:r>
    </w:p>
    <w:p>
      <w:pPr>
        <w:spacing w:after="0" w:line="27" w:lineRule="exact"/>
        <w:rPr>
          <w:rFonts w:ascii="Times New Roman" w:cs="Times New Roman" w:eastAsia="Times New Roman" w:hAnsi="Times New Roman"/>
          <w:sz w:val="14"/>
          <w:szCs w:val="14"/>
          <w:color w:val="auto"/>
        </w:rPr>
      </w:pPr>
    </w:p>
    <w:p>
      <w:pPr>
        <w:ind w:left="1580" w:right="1379" w:hanging="272"/>
        <w:spacing w:after="0" w:line="252" w:lineRule="auto"/>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295,179 shares subject to a contractual holdback pursuant to the Purchase Agreement. Double Eagle IV Midco, LLC is controlled by its sole member Double Eagle IV Pledgeco, LLC, a Delaware limited liability company, which is controlled by its sole member, Double Eagle Energy Holdings IV, LLC, a Delaware limited liability company, which is in turn controlled by EnCap Energy Capital Fund XI, L.P., a Texas limited partnership (“EnCap Fund XI”). EnCap Fund XI is controlled by its general partner, EnCap Equity Fund XI GP, L.P., a Texas limited partnership (“EnCap Fund XI GP LP”), which is controlled by its general partner, EnCap Equity Fund XI GP, LLC, a Delaware limited liability company (“EnCap Fund XI GP LLC”), which is controlled by its sole member, EnCap Investments L.P., a Delaware limited partnership (“EnCap Investments LP”), which is controlled by its general partner, EnCap Investments GP, L.L.C., a Delaware limited liability company (“EnCap Investments GP”), which is controlled by its sole member, EnCap Investments Holdings, LLC, a Delaware limited liability company (“EnCap Investments Holdings”), which is controlled by its managing member, EnCap Partners, LP, a Delaware limited partnership (“EnCap Partners LP”), which is controlled by its general partner, EnCap Partners GP, LLC, a Delaware limited liability company (“EnCap Partners GP,” together with EnCap Partners LP, EnCap Investments Holdings, EnCap Investments GP, EnCap Investments LP, EnCap Fund XI GP LLC, and EnCap Fund XI GP LP, the “EnCap Entities”). Therefore, EnCap Partners GP may be deemed to beneficially own the listed securities. The address for the EnCap Entities is 9651 Katy Freeway, Suite 600, Houston, Texas 77024. The address of Double Eagle IV Midco, LLC is 3724 Hulen St, Fort Worth, Texas 76107.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5" w:lineRule="exact"/>
        <w:rPr>
          <w:sz w:val="20"/>
          <w:szCs w:val="20"/>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The following description of our common stock, our certificate of incorporation and our bylaws are summaries thereof and are qualified by reference to our Second Amended and Restated Certificate of Incorporation (as amended, our “certificate of incorporation”) and our Fifth Amended and Restated Bylaws (our “bylaws”), copies of which have been filed with the SEC.</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25" w:lineRule="exact"/>
        <w:rPr>
          <w:sz w:val="20"/>
          <w:szCs w:val="20"/>
          <w:color w:val="auto"/>
        </w:rPr>
      </w:pPr>
    </w:p>
    <w:p>
      <w:pPr>
        <w:ind w:left="1300" w:right="1619" w:firstLine="280"/>
        <w:spacing w:after="0" w:line="259" w:lineRule="auto"/>
        <w:rPr>
          <w:sz w:val="20"/>
          <w:szCs w:val="20"/>
          <w:color w:val="auto"/>
        </w:rPr>
      </w:pPr>
      <w:r>
        <w:rPr>
          <w:rFonts w:ascii="Times New Roman" w:cs="Times New Roman" w:eastAsia="Times New Roman" w:hAnsi="Times New Roman"/>
          <w:sz w:val="14"/>
          <w:szCs w:val="14"/>
          <w:color w:val="auto"/>
        </w:rPr>
        <w:t>As of the date of this prospectus, our authorized capital stock consists of 800,000,000 shares of common stock, par value $0.01 per share, and 10,000,000 shares of preferred stock, par value $0.01 per share.</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5"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Holders of shares of our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89"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86" w:lineRule="exact"/>
        <w:rPr>
          <w:sz w:val="20"/>
          <w:szCs w:val="20"/>
          <w:color w:val="auto"/>
        </w:rPr>
      </w:pPr>
    </w:p>
    <w:p>
      <w:pPr>
        <w:ind w:left="1300" w:right="1419" w:firstLine="280"/>
        <w:spacing w:after="0" w:line="247" w:lineRule="auto"/>
        <w:rPr>
          <w:sz w:val="20"/>
          <w:szCs w:val="20"/>
          <w:color w:val="auto"/>
        </w:rPr>
      </w:pPr>
      <w:r>
        <w:rPr>
          <w:rFonts w:ascii="Times New Roman" w:cs="Times New Roman" w:eastAsia="Times New Roman" w:hAnsi="Times New Roman"/>
          <w:sz w:val="14"/>
          <w:szCs w:val="14"/>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As of April 1, 2025, there were 294,082,951 shares of our common stock outstanding.</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4"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Our board of directors is authorized to issue up to 10,000,000 shares of preferred stock in one or more series. The board of directors may fix for each series:</w:t>
      </w:r>
    </w:p>
    <w:p>
      <w:pPr>
        <w:spacing w:after="0" w:line="30" w:lineRule="exact"/>
        <w:rPr>
          <w:sz w:val="20"/>
          <w:szCs w:val="20"/>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distinctive serial designation and number of shares of the series;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and the right, if any, to elect a director or directors;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office of any directors the holders of preferred shares are entitled to elect;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if any;</w:t>
      </w:r>
    </w:p>
    <w:p>
      <w:pPr>
        <w:spacing w:after="0" w:line="91"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redemption, and the amount of and provisions regarding any sinking fund for the purchase or redemption thereof;</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preferences and the amounts payable on dissolution or liquidation;</w:t>
      </w:r>
    </w:p>
    <w:p>
      <w:pPr>
        <w:spacing w:after="0" w:line="91"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under which shares of the series may or shall be converted into any other series or class of stock or debt of the Company;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or provisions which the board of directors is legally authorized to fix or alter.</w:t>
      </w:r>
    </w:p>
    <w:p>
      <w:pPr>
        <w:spacing w:after="0" w:line="112"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79"/>
        <w:spacing w:after="0" w:line="251" w:lineRule="auto"/>
        <w:rPr>
          <w:sz w:val="20"/>
          <w:szCs w:val="20"/>
          <w:color w:val="auto"/>
        </w:rPr>
      </w:pPr>
      <w:r>
        <w:rPr>
          <w:rFonts w:ascii="Times New Roman" w:cs="Times New Roman" w:eastAsia="Times New Roman" w:hAnsi="Times New Roman"/>
          <w:sz w:val="14"/>
          <w:szCs w:val="14"/>
          <w:color w:val="auto"/>
        </w:rPr>
        <w:t>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Related Party Transactions and Corporate Opportunities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Subject to the limitations of applicable law and our certificate of incorporation, among other things:</w:t>
      </w:r>
    </w:p>
    <w:p>
      <w:pPr>
        <w:spacing w:after="0" w:line="81" w:lineRule="exact"/>
        <w:rPr>
          <w:sz w:val="20"/>
          <w:szCs w:val="20"/>
          <w:color w:val="auto"/>
        </w:rPr>
      </w:pPr>
    </w:p>
    <w:p>
      <w:pPr>
        <w:ind w:left="1720" w:right="1319" w:hanging="131"/>
        <w:spacing w:after="0" w:line="26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permits us to enter into transactions with entities in which one or more of our officers or directors are financially or otherwise interested so long as it has been approved by our board of directors in accordance with the General Corporation Law of the State of Delaware (the “DGCL”);</w:t>
      </w:r>
    </w:p>
    <w:p>
      <w:pPr>
        <w:spacing w:after="0" w:line="5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permits our non-employee directors and their affiliates to conduct business that competes with us and to make investments in any kind of property in which we may make investments; and</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55"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that if any of our non-employee directors or their affiliates become aware of a potential business opportunity, transaction or other matter (other than one expressly offered to that director or his or her affiliate solely in his or her capacity as our director), that director will have no duty to communicate or offer that opportunity to us, and will be permitted to communicate or offer that opportunity to any other entity or individual and that director or officer will not be deemed to have</w:t>
      </w:r>
    </w:p>
    <w:p>
      <w:pPr>
        <w:ind w:left="1720" w:right="14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acted in a manner inconsistent with his or her fiduciary duty to us or our stockholders regarding the opportunity or (ii) acted in bad faith or in a manner inconsistent with our best interests.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Certificate of Incorporation and Our Bylaws</w:t>
      </w:r>
    </w:p>
    <w:p>
      <w:pPr>
        <w:spacing w:after="0" w:line="125"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87" w:lineRule="exact"/>
        <w:rPr>
          <w:sz w:val="20"/>
          <w:szCs w:val="20"/>
          <w:color w:val="auto"/>
        </w:rPr>
      </w:pPr>
    </w:p>
    <w:p>
      <w:pPr>
        <w:ind w:left="1300" w:right="1379" w:firstLine="280"/>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Undesignated preferred stock. </w:t>
      </w:r>
      <w:r>
        <w:rPr>
          <w:rFonts w:ascii="Times New Roman" w:cs="Times New Roman" w:eastAsia="Times New Roman" w:hAnsi="Times New Roman"/>
          <w:sz w:val="14"/>
          <w:szCs w:val="14"/>
          <w:color w:val="auto"/>
        </w:rPr>
        <w:t>The ability to authorize and issue undesignated preferred stock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8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Stockholder meetings. </w:t>
      </w:r>
      <w:r>
        <w:rPr>
          <w:rFonts w:ascii="Times New Roman" w:cs="Times New Roman" w:eastAsia="Times New Roman" w:hAnsi="Times New Roman"/>
          <w:sz w:val="14"/>
          <w:szCs w:val="14"/>
          <w:color w:val="auto"/>
        </w:rPr>
        <w:t>Our certificate of incorporation and bylaws provide that a special meeting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stockholders may be called by (i) our Chairman of the Board, our Chief Executive Officer, or our board of directors pursuant to a resolution adopted by a majority of our board of directors, assuming there are no vacancies; or (ii) by our Chairman of the Board or our board following receipt by our Secretary of the written request (which request must comply with the requirements and procedures set forth in our bylaws) of one or more of our stockholders (acting on their own behalf and not by assigning or delegating their rights to any other person or entity) that together have continuously held, for their own accounts, beneficial ownership of at least 25% aggregate “net long position” (as​ such term is defined therein) in our issued and outstanding voting stock entitled to vote generally in the election of directors for at least one year prior to the date such request is delivered to us and at the special meeting date. Special meetings of our stockholders may not be called by any other person or persons.</w:t>
      </w:r>
    </w:p>
    <w:p>
      <w:pPr>
        <w:spacing w:after="0" w:line="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Requirements for advance notification of stockholder nominations and proposals.  </w:t>
      </w:r>
      <w:r>
        <w:rPr>
          <w:rFonts w:ascii="Times New Roman" w:cs="Times New Roman" w:eastAsia="Times New Roman" w:hAnsi="Times New Roman"/>
          <w:sz w:val="14"/>
          <w:szCs w:val="14"/>
          <w:color w:val="auto"/>
        </w:rPr>
        <w:t>Our bylaws establish</w:t>
      </w:r>
    </w:p>
    <w:p>
      <w:pPr>
        <w:spacing w:after="0" w:line="24" w:lineRule="exact"/>
        <w:rPr>
          <w:sz w:val="20"/>
          <w:szCs w:val="20"/>
          <w:color w:val="auto"/>
        </w:rPr>
      </w:pPr>
    </w:p>
    <w:p>
      <w:pPr>
        <w:ind w:left="1300" w:right="1739"/>
        <w:spacing w:after="0" w:line="245" w:lineRule="auto"/>
        <w:rPr>
          <w:sz w:val="20"/>
          <w:szCs w:val="20"/>
          <w:color w:val="auto"/>
        </w:rPr>
      </w:pPr>
      <w:r>
        <w:rPr>
          <w:rFonts w:ascii="Times New Roman" w:cs="Times New Roman" w:eastAsia="Times New Roman" w:hAnsi="Times New Roman"/>
          <w:sz w:val="14"/>
          <w:szCs w:val="14"/>
          <w:color w:val="auto"/>
        </w:rPr>
        <w:t>advance notice procedures with respect to stockholder proposals and the nomination of candidates for election as directors, other than nominations made by or at the direction of the board of directors.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Stockholder action by written consent. </w:t>
      </w:r>
      <w:r>
        <w:rPr>
          <w:rFonts w:ascii="Times New Roman" w:cs="Times New Roman" w:eastAsia="Times New Roman" w:hAnsi="Times New Roman"/>
          <w:sz w:val="14"/>
          <w:szCs w:val="14"/>
          <w:color w:val="auto"/>
        </w:rPr>
        <w:t>Our certificate of incorporation provides that, except as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w:t>
      </w:r>
    </w:p>
    <w:p>
      <w:pPr>
        <w:spacing w:after="0" w:line="90"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Amendment of the bylaws. </w:t>
      </w:r>
      <w:r>
        <w:rPr>
          <w:rFonts w:ascii="Times New Roman" w:cs="Times New Roman" w:eastAsia="Times New Roman" w:hAnsi="Times New Roman"/>
          <w:sz w:val="14"/>
          <w:szCs w:val="14"/>
          <w:color w:val="auto"/>
        </w:rPr>
        <w:t>Under Delaware law, the power to adopt, amend or repeal bylaws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spacing w:after="0" w:line="263" w:lineRule="exact"/>
        <w:rPr>
          <w:sz w:val="20"/>
          <w:szCs w:val="20"/>
          <w:color w:val="auto"/>
        </w:rPr>
      </w:pPr>
    </w:p>
    <w:p>
      <w:pPr>
        <w:jc w:val="center"/>
        <w:ind w:left="2740"/>
        <w:spacing w:after="0" w:line="267" w:lineRule="auto"/>
        <w:rPr>
          <w:sz w:val="20"/>
          <w:szCs w:val="20"/>
          <w:color w:val="auto"/>
        </w:rPr>
      </w:pPr>
      <w:r>
        <w:rPr>
          <w:rFonts w:ascii="Times New Roman" w:cs="Times New Roman" w:eastAsia="Times New Roman" w:hAnsi="Times New Roman"/>
          <w:sz w:val="14"/>
          <w:szCs w:val="14"/>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w:t>
      </w:r>
    </w:p>
    <w:p>
      <w:pPr>
        <w:spacing w:after="0" w:line="72"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125"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provides that unless we consent in writing to the selection of an alternative forum, the Court of Chancery of the State of Delaware will be the sole and exclusive forum for:</w:t>
      </w:r>
    </w:p>
    <w:p>
      <w:pPr>
        <w:spacing w:after="0" w:line="1" w:lineRule="exact"/>
        <w:rPr>
          <w:sz w:val="20"/>
          <w:szCs w:val="20"/>
          <w:color w:val="auto"/>
        </w:rPr>
      </w:pPr>
    </w:p>
    <w:p>
      <w:pPr>
        <w:ind w:left="1300" w:right="1359" w:firstLine="8"/>
        <w:spacing w:after="0" w:line="252" w:lineRule="auto"/>
        <w:tabs>
          <w:tab w:leader="none" w:pos="147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“FANG.”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Computershare Trust Company, N.A. is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The selling stockholder, which term as used in this prospectus includes the selling stockholder listed in the table under the heading “Selling Stockholder” and permitted transferees, successors and assigns of the selling stockholder having registration rights pursuant to the Registration Rights Agreement, may, from time to time, sell, transfer or otherwise dispose of any or all of the common stock offered by this prospectus or any applicable prospectus supplement on any stock exchange, market or trading facility on which such common stock is traded or in private transactions, subject, in each case, to the terms of the Registration Rights Agreement. These dispositions may be at fixed prices, at prevailing market prices at the time of sale, at prices related to the prevailing market price, at varying prices determined at the time of sale or at negotiated prices. These prices will be determined by the selling stockholder or by agreement between the selling stockholder and underwriters, broker-dealers or agents who may receive fees or commissions in connection with any such sale.</w:t>
      </w:r>
    </w:p>
    <w:p>
      <w:pPr>
        <w:spacing w:after="0" w:line="262"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Subject to the terms of the Registration Rights Agreement, the selling stockholder may offer and sell shares of common stock in any one or more of the following ways:</w:t>
      </w:r>
    </w:p>
    <w:p>
      <w:pPr>
        <w:spacing w:after="0" w:line="41" w:lineRule="exact"/>
        <w:rPr>
          <w:sz w:val="20"/>
          <w:szCs w:val="20"/>
          <w:color w:val="auto"/>
        </w:rPr>
      </w:pPr>
    </w:p>
    <w:p>
      <w:pPr>
        <w:ind w:left="1720" w:right="149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on the Nasdaq Stock Market LLC or any national securities exchange or quotation service on which our common stock may be listed or quoted at the time of sale;</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over-the-counter sales or distributions;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or dealers for resale to the public or to institutional investors;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4"/>
          <w:szCs w:val="14"/>
          <w:color w:val="auto"/>
        </w:rPr>
      </w:pPr>
    </w:p>
    <w:p>
      <w:pPr>
        <w:ind w:left="1720" w:right="1359" w:hanging="131"/>
        <w:spacing w:after="0" w:line="276"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(which may involve crosses) in which the broker-dealer will attempt to sell the common stock as agent, but may position and resell a portion of the block as principal to facilitate the transaction;</w:t>
      </w:r>
    </w:p>
    <w:p>
      <w:pPr>
        <w:spacing w:after="0" w:line="218"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1"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and/or secondary distribution in accordance with the rules of the applicable exchange;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of this prospectus;</w:t>
      </w:r>
    </w:p>
    <w:p>
      <w:pPr>
        <w:spacing w:after="0" w:line="101" w:lineRule="exact"/>
        <w:rPr>
          <w:rFonts w:ascii="Times New Roman" w:cs="Times New Roman" w:eastAsia="Times New Roman" w:hAnsi="Times New Roman"/>
          <w:sz w:val="14"/>
          <w:szCs w:val="14"/>
          <w:color w:val="auto"/>
        </w:rPr>
      </w:pPr>
    </w:p>
    <w:p>
      <w:pPr>
        <w:ind w:left="1720" w:right="175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to sell a specified number of such common stock at a stipulated price per share;</w:t>
      </w:r>
    </w:p>
    <w:p>
      <w:pPr>
        <w:spacing w:after="0" w:line="51"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distributions of the shares by any selling stockholder to its general or limited partners, members, managers, affiliates, employees, directors or stockholders;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 transactions;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to the public or to institutional investors;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institutional investors;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23" w:lineRule="exact"/>
        <w:rPr>
          <w:sz w:val="20"/>
          <w:szCs w:val="20"/>
          <w:color w:val="auto"/>
        </w:rPr>
      </w:pPr>
    </w:p>
    <w:p>
      <w:pPr>
        <w:jc w:val="both"/>
        <w:ind w:left="1300" w:right="1479" w:firstLine="280"/>
        <w:spacing w:after="0" w:line="261" w:lineRule="auto"/>
        <w:rPr>
          <w:sz w:val="20"/>
          <w:szCs w:val="20"/>
          <w:color w:val="auto"/>
        </w:rPr>
      </w:pPr>
      <w:r>
        <w:rPr>
          <w:rFonts w:ascii="Times New Roman" w:cs="Times New Roman" w:eastAsia="Times New Roman" w:hAnsi="Times New Roman"/>
          <w:sz w:val="14"/>
          <w:szCs w:val="14"/>
          <w:color w:val="auto"/>
        </w:rPr>
        <w:t>The selling stockholder may elect to make an in-kind distribution of their shares of common stock to their members, partners or stockholders. To the extent that such members, partners or stockholders are not affiliates of ours, such members, partners or stockholders would thereby receive freely tradeable shares of our common stock pursuant to the distribution through this registration statement.</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firstLine="280"/>
        <w:spacing w:after="0" w:line="259" w:lineRule="auto"/>
        <w:rPr>
          <w:sz w:val="20"/>
          <w:szCs w:val="20"/>
          <w:color w:val="auto"/>
        </w:rPr>
      </w:pPr>
      <w:r>
        <w:rPr>
          <w:rFonts w:ascii="Times New Roman" w:cs="Times New Roman" w:eastAsia="Times New Roman" w:hAnsi="Times New Roman"/>
          <w:sz w:val="14"/>
          <w:szCs w:val="14"/>
          <w:color w:val="auto"/>
        </w:rPr>
        <w:t>The selling stockholder may also sell the shares of common stock under Rule 144 or any other exemption from registration under the Securities Act, if, when and to the extent such exemption is available to them at the time of such sale, rather than under this prospectus.</w:t>
      </w:r>
    </w:p>
    <w:p>
      <w:pPr>
        <w:spacing w:after="0" w:line="78" w:lineRule="exact"/>
        <w:rPr>
          <w:sz w:val="20"/>
          <w:szCs w:val="20"/>
          <w:color w:val="auto"/>
        </w:rPr>
      </w:pPr>
    </w:p>
    <w:p>
      <w:pPr>
        <w:jc w:val="both"/>
        <w:ind w:left="1300" w:right="1419" w:firstLine="280"/>
        <w:spacing w:after="0" w:line="259" w:lineRule="auto"/>
        <w:rPr>
          <w:sz w:val="20"/>
          <w:szCs w:val="20"/>
          <w:color w:val="auto"/>
        </w:rPr>
      </w:pPr>
      <w:r>
        <w:rPr>
          <w:rFonts w:ascii="Times New Roman" w:cs="Times New Roman" w:eastAsia="Times New Roman" w:hAnsi="Times New Roman"/>
          <w:sz w:val="14"/>
          <w:szCs w:val="14"/>
          <w:color w:val="auto"/>
        </w:rPr>
        <w:t>The selling stockholder also may transfer its shares of common stock in other circumstances, in which case the transferees or other successors in interest will be the selling beneficial owners for purposes of this prospectus.</w:t>
      </w:r>
    </w:p>
    <w:p>
      <w:pPr>
        <w:spacing w:after="0" w:line="78" w:lineRule="exact"/>
        <w:rPr>
          <w:sz w:val="20"/>
          <w:szCs w:val="20"/>
          <w:color w:val="auto"/>
        </w:rPr>
      </w:pPr>
    </w:p>
    <w:p>
      <w:pPr>
        <w:ind w:left="1300" w:right="1419" w:firstLine="280"/>
        <w:spacing w:after="0" w:line="245" w:lineRule="auto"/>
        <w:rPr>
          <w:sz w:val="20"/>
          <w:szCs w:val="20"/>
          <w:color w:val="auto"/>
        </w:rPr>
      </w:pPr>
      <w:r>
        <w:rPr>
          <w:rFonts w:ascii="Times New Roman" w:cs="Times New Roman" w:eastAsia="Times New Roman" w:hAnsi="Times New Roman"/>
          <w:sz w:val="14"/>
          <w:szCs w:val="14"/>
          <w:color w:val="auto"/>
        </w:rPr>
        <w:t>Broker-dealers engaged by the selling stockholder may arrange for other brokers-dealers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Financial Industry Regulatory Authority, or FINRA, Rule 5110; and in the case of a principal transaction a markup or markdown in compliance with FINRA Rule 2121.</w:t>
      </w:r>
    </w:p>
    <w:p>
      <w:pPr>
        <w:spacing w:after="0" w:line="254"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In connection with the sale of the common stock, the selling stockholder may enter into option, share lending or other types of hedging transactions with broker-dealers or other financial institutions, which may in turn engage in short sales of the common stock in the course of hedging the positions they assume. The selling stockholder may also sell common stock short and deliver these shares to close out their short positions, or loan or pledge the securities to broker-dealers that in turn may sell these shares.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47" w:lineRule="exact"/>
        <w:rPr>
          <w:sz w:val="20"/>
          <w:szCs w:val="20"/>
          <w:color w:val="auto"/>
        </w:rPr>
      </w:pPr>
    </w:p>
    <w:p>
      <w:pPr>
        <w:ind w:left="1300" w:right="1399" w:firstLine="280"/>
        <w:spacing w:after="0" w:line="283" w:lineRule="auto"/>
        <w:rPr>
          <w:sz w:val="20"/>
          <w:szCs w:val="20"/>
          <w:color w:val="auto"/>
        </w:rPr>
      </w:pPr>
      <w:r>
        <w:rPr>
          <w:rFonts w:ascii="Times New Roman" w:cs="Times New Roman" w:eastAsia="Times New Roman" w:hAnsi="Times New Roman"/>
          <w:sz w:val="14"/>
          <w:szCs w:val="14"/>
          <w:color w:val="auto"/>
        </w:rPr>
        <w:t>The selling stockholder will act independently of the Company in making decisions with respect to the timing manner and size of each sale of shares of common stock covered by this prospectus.</w:t>
      </w:r>
    </w:p>
    <w:p>
      <w:pPr>
        <w:spacing w:after="0" w:line="62" w:lineRule="exact"/>
        <w:rPr>
          <w:sz w:val="20"/>
          <w:szCs w:val="20"/>
          <w:color w:val="auto"/>
        </w:rPr>
      </w:pPr>
    </w:p>
    <w:p>
      <w:pPr>
        <w:ind w:left="1300" w:right="1399" w:firstLine="280"/>
        <w:spacing w:after="0" w:line="242" w:lineRule="auto"/>
        <w:rPr>
          <w:sz w:val="20"/>
          <w:szCs w:val="20"/>
          <w:color w:val="auto"/>
        </w:rPr>
      </w:pPr>
      <w:r>
        <w:rPr>
          <w:rFonts w:ascii="Times New Roman" w:cs="Times New Roman" w:eastAsia="Times New Roman" w:hAnsi="Times New Roman"/>
          <w:sz w:val="14"/>
          <w:szCs w:val="14"/>
          <w:color w:val="auto"/>
        </w:rPr>
        <w:t>The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shares of common stock covered by this prospectus and the applicable prospectus supplement, including in short sale transactions. If so, the third party may use shares of common stock pledged by such selling stockholder or borrowed from such selling stockholder or others to settle those sales or to close out any related open borrowings of stock, and may use shares of common stock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 -effective amendment). In addition, the selling stockholder may otherwise loan or pledge shares of common stock to a financial institution or other third party that in turn may sell the shares of common stock short using this prospectus. Such financial institution or other third party may transfer its economic short position to investors in the securities of such selling stockholder or in connection with a concurrent offering of other securities.</w:t>
      </w:r>
    </w:p>
    <w:p>
      <w:pPr>
        <w:spacing w:after="0" w:line="255"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Shares of common stock may also be exchanged for satisfaction of the selling stockholder’s obligations or other liabilities to their creditors. Such transactions may or may not involve brokers or dealers.</w:t>
      </w:r>
    </w:p>
    <w:p>
      <w:pPr>
        <w:spacing w:after="0" w:line="73"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The selling stockholder may from time to time pledge or grant a security interest in some or all of the shares of common stock owned by them and, if they default in the performance of their secured obligations, the pledgees or secured parties may offer and sell common stock from time to time under this prospectus, or, to the extent required under the applicable securities laws, under an amendment to this prospectus under Rule 424 or other applicable provision of the Securities Act.</w:t>
      </w:r>
    </w:p>
    <w:p>
      <w:pPr>
        <w:spacing w:after="0" w:line="83" w:lineRule="exact"/>
        <w:rPr>
          <w:sz w:val="20"/>
          <w:szCs w:val="20"/>
          <w:color w:val="auto"/>
        </w:rPr>
      </w:pPr>
    </w:p>
    <w:p>
      <w:pPr>
        <w:ind w:left="1300" w:right="1539" w:firstLine="280"/>
        <w:spacing w:after="0" w:line="244" w:lineRule="auto"/>
        <w:rPr>
          <w:sz w:val="20"/>
          <w:szCs w:val="20"/>
          <w:color w:val="auto"/>
        </w:rPr>
      </w:pPr>
      <w:r>
        <w:rPr>
          <w:rFonts w:ascii="Times New Roman" w:cs="Times New Roman" w:eastAsia="Times New Roman" w:hAnsi="Times New Roman"/>
          <w:sz w:val="14"/>
          <w:szCs w:val="14"/>
          <w:color w:val="auto"/>
        </w:rPr>
        <w:t>If the selling stockholder use one or more underwriters in the sale, the underwriters will acquire the securities for their own account, and they may resell these securities from time to time in one or more transactions, including negotiated transactions, at a fixed public offering price or at varying prices determined at the time of sale. The securities may be offered and sold to the public either through underwriting syndicates represented by one or more managing underwriters or directly by one or more of such firms. The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56" w:lineRule="auto"/>
        <w:rPr>
          <w:sz w:val="20"/>
          <w:szCs w:val="20"/>
          <w:color w:val="auto"/>
        </w:rPr>
      </w:pPr>
      <w:r>
        <w:rPr>
          <w:rFonts w:ascii="Times New Roman" w:cs="Times New Roman" w:eastAsia="Times New Roman" w:hAnsi="Times New Roman"/>
          <w:sz w:val="14"/>
          <w:szCs w:val="14"/>
          <w:color w:val="auto"/>
        </w:rPr>
        <w:t>selling stockholder and any underwriters, broker-dealers or agents that are involved in selling the securities may be deemed to be “underwriters” within the meaning of the Securities Act in connection with such sales. The securities may be offered and sold to the public either through underwriting syndicates represented by one or more managing underwriters or directly by one or more of such firms. In such event, any commissions received by such underwriters, broker-dealers or agents and any profit on the resale of the shares of common stock purchased by them may be deemed to be underwriting commissions or discounts under the Securities Act.</w:t>
      </w:r>
    </w:p>
    <w:p>
      <w:pPr>
        <w:spacing w:after="0" w:line="263"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Underwriters may resell the shares to or through dealers, and those dealers may receive compensation in the form of one or more discounts, concessions or commissions from the underwriters and commissions from purchasers for which they may act as agents. The selling stockholder has informed us that it does not have any written or oral agreement or understanding, directly or indirectly, with any person to distribute the shares of common stock.</w:t>
      </w:r>
    </w:p>
    <w:p>
      <w:pPr>
        <w:spacing w:after="0" w:line="91"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The shares of common stock may be sold directly by the selling stockholder, or through agents designated by such selling stockholder from time to time. Any agent involved in the offer or sale of the shares of common stock in respect of which this prospectus is delivered will be named, and any commissions payable by such selling stockholder to such agent will be set forth in, the applicable prospectus supplement. Unless otherwise indicated in the applicable prospectus supplement, any such agent will be acting on a best efforts basis for the period of its appointment.</w:t>
      </w:r>
    </w:p>
    <w:p>
      <w:pPr>
        <w:spacing w:after="0" w:line="80"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Offers to purchase the shares of common stock offered by this prospectus may be solicited, and sales of the shares of common stock may be made, by the selling stockholder directly to institutional investors or others, who may be deemed to be underwriters within the meaning of the Securities Act with respect to any resale of the shares of common stock. The terms of any offer made in this manner will be included in the prospectus supplement relating to the offer.</w:t>
      </w:r>
    </w:p>
    <w:p>
      <w:pPr>
        <w:spacing w:after="0" w:line="91"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If indicated in the applicable prospectus supplement, underwriters, dealers or agents will be authorized to solicit offers by certain institutional investors to purchase shares of common stock from the selling stockholder pursuant to contracts providing for payment and delivery at a future date. Institutional investors with which these contracts may be made include, among others:</w:t>
      </w:r>
    </w:p>
    <w:p>
      <w:pPr>
        <w:spacing w:after="0" w:line="57" w:lineRule="exact"/>
        <w:rPr>
          <w:sz w:val="20"/>
          <w:szCs w:val="20"/>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and savings banks;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companies;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educational and charitable institutions.</w:t>
      </w:r>
    </w:p>
    <w:p>
      <w:pPr>
        <w:spacing w:after="0" w:line="123" w:lineRule="exact"/>
        <w:rPr>
          <w:sz w:val="20"/>
          <w:szCs w:val="20"/>
          <w:color w:val="auto"/>
        </w:rPr>
      </w:pPr>
    </w:p>
    <w:p>
      <w:pPr>
        <w:jc w:val="both"/>
        <w:ind w:left="1300" w:right="1419" w:firstLine="280"/>
        <w:spacing w:after="0" w:line="256" w:lineRule="auto"/>
        <w:rPr>
          <w:sz w:val="20"/>
          <w:szCs w:val="20"/>
          <w:color w:val="auto"/>
        </w:rPr>
      </w:pPr>
      <w:r>
        <w:rPr>
          <w:rFonts w:ascii="Times New Roman" w:cs="Times New Roman" w:eastAsia="Times New Roman" w:hAnsi="Times New Roman"/>
          <w:sz w:val="14"/>
          <w:szCs w:val="14"/>
          <w:color w:val="auto"/>
        </w:rPr>
        <w:t>In all cases, these purchasers must be approved by such selling stockholder. Unless otherwise set forth in the applicable prospectus supplement, the obligations of any purchaser under any of these contracts will not be subject to any conditions except that (a) the purchase of the shares of common stock must not at the time of delivery be prohibited under the laws of any jurisdiction to which that purchaser is subject, and</w:t>
      </w:r>
    </w:p>
    <w:p>
      <w:pPr>
        <w:spacing w:after="0" w:line="1" w:lineRule="exact"/>
        <w:rPr>
          <w:sz w:val="20"/>
          <w:szCs w:val="20"/>
          <w:color w:val="auto"/>
        </w:rPr>
      </w:pPr>
    </w:p>
    <w:p>
      <w:pPr>
        <w:ind w:left="1300" w:right="1339" w:firstLine="8"/>
        <w:spacing w:after="0" w:line="256" w:lineRule="auto"/>
        <w:tabs>
          <w:tab w:leader="none" w:pos="151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shares of common stock are also being sold to underwriters, the selling stockholder must have sold to these underwriters the shares of common stock not subject to delayed delivery. Underwriters and other agents will not have any responsibility in respect of the validity or performance of these contracts.</w:t>
      </w:r>
    </w:p>
    <w:p>
      <w:pPr>
        <w:spacing w:after="0" w:line="90"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Some of the underwriters, dealers or agents used by the selling stockholder in any offering of shares of common stock under this prospectus may be customers of, engage in transactions with, and perform services for us and/or such selling stockholder, as applicable, or affiliates of ours and/or such selling stockholder, as applicable, in the ordinary course of business. Underwriters, dealers, agents and other persons may be entitled under agreements which may be entered into with us and/or the selling stockholder to indemnification against and contribution toward certain civil liabilities, including liabilities under the Securities Act, and to be reimbursed by us and/or such selling stockholder for certain expenses.</w:t>
      </w:r>
    </w:p>
    <w:p>
      <w:pPr>
        <w:spacing w:after="0" w:line="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selling stockholder may be deemed to be an “underwriter” within the meaning of Section 2(a)(11)</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of the Securities Act.</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firstLine="280"/>
        <w:spacing w:after="0" w:line="283" w:lineRule="auto"/>
        <w:rPr>
          <w:sz w:val="20"/>
          <w:szCs w:val="20"/>
          <w:color w:val="auto"/>
        </w:rPr>
      </w:pPr>
      <w:r>
        <w:rPr>
          <w:rFonts w:ascii="Times New Roman" w:cs="Times New Roman" w:eastAsia="Times New Roman" w:hAnsi="Times New Roman"/>
          <w:sz w:val="14"/>
          <w:szCs w:val="14"/>
          <w:color w:val="auto"/>
        </w:rPr>
        <w:t>Any shares of common stock initially sold outside the United States may be resold in the United States through underwriters, dealers or otherwise.</w:t>
      </w:r>
    </w:p>
    <w:p>
      <w:pPr>
        <w:spacing w:after="0" w:line="72"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Any underwriters to which offered shares of common stock are sold by a selling stockholder for public offering and sale may make a market in such shares of common stock, but those underwriters will not be obligated to do so and may discontinue any market making at any time.</w:t>
      </w:r>
    </w:p>
    <w:p>
      <w:pPr>
        <w:spacing w:after="0" w:line="83" w:lineRule="exact"/>
        <w:rPr>
          <w:sz w:val="20"/>
          <w:szCs w:val="20"/>
          <w:color w:val="auto"/>
        </w:rPr>
      </w:pPr>
    </w:p>
    <w:p>
      <w:pPr>
        <w:ind w:left="1300" w:right="1719" w:firstLine="280"/>
        <w:spacing w:after="0" w:line="283" w:lineRule="auto"/>
        <w:rPr>
          <w:sz w:val="20"/>
          <w:szCs w:val="20"/>
          <w:color w:val="auto"/>
        </w:rPr>
      </w:pPr>
      <w:r>
        <w:rPr>
          <w:rFonts w:ascii="Times New Roman" w:cs="Times New Roman" w:eastAsia="Times New Roman" w:hAnsi="Times New Roman"/>
          <w:sz w:val="14"/>
          <w:szCs w:val="14"/>
          <w:color w:val="auto"/>
        </w:rPr>
        <w:t>The anticipated date of delivery of the shares of common stock offered by this prospectus will be described in the applicable prospectus supplement relating to the offering.</w:t>
      </w:r>
    </w:p>
    <w:p>
      <w:pPr>
        <w:spacing w:after="0" w:line="62"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To comply with the securities laws of some states, if applicable, the shares of common stock may be sold in these jurisdictions only through registered or licensed brokers or dealers. In addition, in some states the shares of common stock may not be sold unless they have been registered or qualified for sale or an exemption from registration or qualification requirements is available and is complied with.</w:t>
      </w:r>
    </w:p>
    <w:p>
      <w:pPr>
        <w:spacing w:after="0" w:line="88" w:lineRule="exact"/>
        <w:rPr>
          <w:sz w:val="20"/>
          <w:szCs w:val="20"/>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Pursuant to the Registration Rights Agreement, we will generally pay all expenses relating to the registration, offering and listing of these shares, except that the selling stockholder will pay any underwriting fees, discounts and commissions, placement fees of underwriters, broker commissions, transfer taxes and certain attorney’s fees. We have also agreed to indemnify the selling stockholder against certain liabilities, including liabilities under the Securities Act, based upon, arising out of, related to or resulting from any untrue or alleged untrue statement of a material fact contained in any registration statement or prospectus filed by us.</w:t>
      </w:r>
    </w:p>
    <w:p>
      <w:pPr>
        <w:spacing w:after="0" w:line="263"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shares of common stock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86" w:lineRule="exact"/>
        <w:rPr>
          <w:sz w:val="20"/>
          <w:szCs w:val="20"/>
          <w:color w:val="auto"/>
        </w:rPr>
      </w:pPr>
    </w:p>
    <w:p>
      <w:pPr>
        <w:ind w:left="1300" w:right="1379" w:firstLine="280"/>
        <w:spacing w:after="0" w:line="283" w:lineRule="auto"/>
        <w:rPr>
          <w:sz w:val="20"/>
          <w:szCs w:val="20"/>
          <w:color w:val="auto"/>
        </w:rPr>
      </w:pPr>
      <w:r>
        <w:rPr>
          <w:rFonts w:ascii="Times New Roman" w:cs="Times New Roman" w:eastAsia="Times New Roman" w:hAnsi="Times New Roman"/>
          <w:sz w:val="14"/>
          <w:szCs w:val="14"/>
          <w:color w:val="auto"/>
        </w:rPr>
        <w:t>There can be no assurances that the selling stockholder will sell, nor is the selling stockholder required to sell, any or all of the securities offered under this prospectus.</w:t>
      </w:r>
    </w:p>
    <w:p>
      <w:pPr>
        <w:spacing w:after="0" w:line="72"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To the extent required pursuant to the Registration Rights Agreement, this prospectus may be amended and/or supplemented from time to time to describe a specific plan of distribution. If required by the Registration Rights Agreement, we may add permitted transferees, successors and assigns by prospectus supplement in instances where the permitted transferee, successor or assign has acquired its shares from holders named in this prospectus after the effective date of this prospectus. Permitted transferees, successors and assigns of the selling stockholder may not be able to use this prospectus for resales until they are named in the selling stockholder table by prospectus supplement or post-effective amendment. See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399" w:firstLine="280"/>
        <w:spacing w:after="0" w:line="253"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S-3 under the Securities Act covering the common stock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common stock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The registration statement, including all exhibits thereto and amendments thereof,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filed electronically with the SEC.</w:t>
      </w:r>
    </w:p>
    <w:p>
      <w:pPr>
        <w:spacing w:after="0" w:line="264" w:lineRule="exact"/>
        <w:rPr>
          <w:sz w:val="20"/>
          <w:szCs w:val="20"/>
          <w:color w:val="auto"/>
        </w:rPr>
      </w:pPr>
    </w:p>
    <w:p>
      <w:pPr>
        <w:ind w:left="1300" w:right="1359" w:firstLine="280"/>
        <w:spacing w:after="0" w:line="268" w:lineRule="auto"/>
        <w:rPr>
          <w:sz w:val="20"/>
          <w:szCs w:val="20"/>
          <w:color w:val="auto"/>
        </w:rPr>
      </w:pPr>
      <w:r>
        <w:rPr>
          <w:rFonts w:ascii="Times New Roman" w:cs="Times New Roman" w:eastAsia="Times New Roman" w:hAnsi="Times New Roman"/>
          <w:sz w:val="14"/>
          <w:szCs w:val="14"/>
          <w:color w:val="auto"/>
        </w:rPr>
        <w:t xml:space="preserve">You can also find our SEC filings on our website at </w:t>
      </w:r>
      <w:r>
        <w:rPr>
          <w:rFonts w:ascii="Times New Roman" w:cs="Times New Roman" w:eastAsia="Times New Roman" w:hAnsi="Times New Roman"/>
          <w:sz w:val="14"/>
          <w:szCs w:val="14"/>
          <w:i w:val="1"/>
          <w:iCs w:val="1"/>
          <w:color w:val="auto"/>
        </w:rPr>
        <w:t>www.diamondbackenergy.com</w:t>
      </w:r>
      <w:r>
        <w:rPr>
          <w:rFonts w:ascii="Times New Roman" w:cs="Times New Roman" w:eastAsia="Times New Roman" w:hAnsi="Times New Roman"/>
          <w:sz w:val="14"/>
          <w:szCs w:val="14"/>
          <w:color w:val="auto"/>
        </w:rPr>
        <w:t>. The information contained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25"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and on the investor relations page of our website at </w:t>
      </w:r>
      <w:r>
        <w:rPr>
          <w:rFonts w:ascii="Times New Roman" w:cs="Times New Roman" w:eastAsia="Times New Roman" w:hAnsi="Times New Roman"/>
          <w:sz w:val="14"/>
          <w:szCs w:val="14"/>
          <w:i w:val="1"/>
          <w:iCs w:val="1"/>
          <w:color w:val="auto"/>
        </w:rPr>
        <w:t>www.diamondbackenergy.com</w:t>
      </w:r>
      <w:r>
        <w:rPr>
          <w:rFonts w:ascii="Times New Roman" w:cs="Times New Roman" w:eastAsia="Times New Roman" w:hAnsi="Times New Roman"/>
          <w:sz w:val="14"/>
          <w:szCs w:val="14"/>
          <w:color w:val="auto"/>
        </w:rPr>
        <w:t>. The information contained on our website or any other website is not incorporated by reference into this prospectus and does not constitute a part of this prospectus.</w:t>
      </w:r>
    </w:p>
    <w:p>
      <w:pPr>
        <w:spacing w:after="0" w:line="91"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the documents listed below that we have filed with the SEC:</w:t>
      </w:r>
    </w:p>
    <w:p>
      <w:pPr>
        <w:spacing w:after="0" w:line="59" w:lineRule="exact"/>
        <w:rPr>
          <w:sz w:val="20"/>
          <w:szCs w:val="20"/>
          <w:color w:val="auto"/>
        </w:rPr>
      </w:pPr>
    </w:p>
    <w:p>
      <w:pPr>
        <w:ind w:left="1720" w:right="1679" w:hanging="131"/>
        <w:spacing w:after="0" w:line="283" w:lineRule="auto"/>
        <w:tabs>
          <w:tab w:leader="none" w:pos="1720" w:val="left"/>
        </w:tabs>
        <w:numPr>
          <w:ilvl w:val="0"/>
          <w:numId w:val="11"/>
        </w:numPr>
        <w:rPr>
          <w:rFonts w:ascii="Times New Roman" w:cs="Times New Roman" w:eastAsia="Times New Roman" w:hAnsi="Times New Roman"/>
          <w:sz w:val="14"/>
          <w:szCs w:val="14"/>
          <w:u w:val="single" w:color="auto"/>
          <w:color w:val="0000EE"/>
        </w:rPr>
      </w:pPr>
      <w:hyperlink r:id="rId25">
        <w:r>
          <w:rPr>
            <w:rFonts w:ascii="Times New Roman" w:cs="Times New Roman" w:eastAsia="Times New Roman" w:hAnsi="Times New Roman"/>
            <w:sz w:val="14"/>
            <w:szCs w:val="14"/>
            <w:u w:val="single" w:color="auto"/>
            <w:color w:val="0000EE"/>
          </w:rPr>
          <w:t>our Annual Report on Form 10-K for the year ended December 31, 2024, filed with the SEC on</w:t>
        </w:r>
      </w:hyperlink>
      <w:r>
        <w:rPr>
          <w:rFonts w:ascii="Times New Roman" w:cs="Times New Roman" w:eastAsia="Times New Roman" w:hAnsi="Times New Roman"/>
          <w:sz w:val="14"/>
          <w:szCs w:val="14"/>
          <w:u w:val="single" w:color="auto"/>
          <w:color w:val="0000EE"/>
        </w:rPr>
        <w:t xml:space="preserve"> </w:t>
      </w:r>
      <w:hyperlink r:id="rId25">
        <w:r>
          <w:rPr>
            <w:rFonts w:ascii="Times New Roman" w:cs="Times New Roman" w:eastAsia="Times New Roman" w:hAnsi="Times New Roman"/>
            <w:sz w:val="14"/>
            <w:szCs w:val="14"/>
            <w:u w:val="single" w:color="auto"/>
            <w:color w:val="0000EE"/>
          </w:rPr>
          <w:t>February 26, 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19" w:hanging="131"/>
        <w:spacing w:after="0" w:line="267" w:lineRule="auto"/>
        <w:tabs>
          <w:tab w:leader="none" w:pos="1720" w:val="left"/>
        </w:tabs>
        <w:numPr>
          <w:ilvl w:val="0"/>
          <w:numId w:val="1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42">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February 18, 2025</w:t>
        </w:r>
      </w:hyperlink>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u w:val="single" w:color="auto"/>
            <w:color w:val="0000EE"/>
          </w:rPr>
          <w:t>February 20,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5">
        <w:r>
          <w:rPr>
            <w:rFonts w:ascii="Times New Roman" w:cs="Times New Roman" w:eastAsia="Times New Roman" w:hAnsi="Times New Roman"/>
            <w:sz w:val="14"/>
            <w:szCs w:val="14"/>
            <w:u w:val="single" w:color="auto"/>
            <w:color w:val="0000EE"/>
          </w:rPr>
          <w:t>March 10,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6">
        <w:r>
          <w:rPr>
            <w:rFonts w:ascii="Times New Roman" w:cs="Times New Roman" w:eastAsia="Times New Roman" w:hAnsi="Times New Roman"/>
            <w:sz w:val="14"/>
            <w:szCs w:val="14"/>
            <w:u w:val="single" w:color="auto"/>
            <w:color w:val="0000EE"/>
          </w:rPr>
          <w:t>March 20,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7">
        <w:r>
          <w:rPr>
            <w:rFonts w:ascii="Times New Roman" w:cs="Times New Roman" w:eastAsia="Times New Roman" w:hAnsi="Times New Roman"/>
            <w:sz w:val="14"/>
            <w:szCs w:val="14"/>
            <w:u w:val="single" w:color="auto"/>
            <w:color w:val="0000EE"/>
          </w:rPr>
          <w:t xml:space="preserve">March 21,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48">
        <w:r>
          <w:rPr>
            <w:rFonts w:ascii="Times New Roman" w:cs="Times New Roman" w:eastAsia="Times New Roman" w:hAnsi="Times New Roman"/>
            <w:sz w:val="14"/>
            <w:szCs w:val="14"/>
            <w:u w:val="single" w:color="auto"/>
            <w:color w:val="0000EE"/>
          </w:rPr>
          <w:t xml:space="preserve">April 7, 2025 </w:t>
        </w:r>
      </w:hyperlink>
      <w:r>
        <w:rPr>
          <w:rFonts w:ascii="Times New Roman" w:cs="Times New Roman" w:eastAsia="Times New Roman" w:hAnsi="Times New Roman"/>
          <w:sz w:val="14"/>
          <w:szCs w:val="14"/>
          <w:color w:val="000000"/>
        </w:rPr>
        <w:t>(in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each case</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than documents or portions of those documents deemed to be furnished but not filed); and</w:t>
      </w:r>
    </w:p>
    <w:p>
      <w:pPr>
        <w:spacing w:after="0" w:line="51" w:lineRule="exact"/>
        <w:rPr>
          <w:rFonts w:ascii="Times New Roman" w:cs="Times New Roman" w:eastAsia="Times New Roman" w:hAnsi="Times New Roman"/>
          <w:sz w:val="14"/>
          <w:szCs w:val="14"/>
          <w:color w:val="0000EE"/>
        </w:rPr>
      </w:pPr>
    </w:p>
    <w:p>
      <w:pPr>
        <w:ind w:left="1720" w:right="1499" w:hanging="131"/>
        <w:spacing w:after="0" w:line="283" w:lineRule="auto"/>
        <w:tabs>
          <w:tab w:leader="none" w:pos="1720" w:val="left"/>
        </w:tabs>
        <w:numPr>
          <w:ilvl w:val="0"/>
          <w:numId w:val="11"/>
        </w:numPr>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auto"/>
          </w:rPr>
          <w:t xml:space="preserve">the description of our common stock contained in our </w:t>
        </w:r>
        <w:r>
          <w:rPr>
            <w:rFonts w:ascii="Times New Roman" w:cs="Times New Roman" w:eastAsia="Times New Roman" w:hAnsi="Times New Roman"/>
            <w:sz w:val="14"/>
            <w:szCs w:val="14"/>
            <w:u w:val="single" w:color="auto"/>
            <w:color w:val="0000EE"/>
          </w:rPr>
          <w:t>Form 8-A filed with the SEC on October 11,</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2012</w:t>
        </w:r>
        <w:r>
          <w:rPr>
            <w:rFonts w:ascii="Times New Roman" w:cs="Times New Roman" w:eastAsia="Times New Roman" w:hAnsi="Times New Roman"/>
            <w:sz w:val="14"/>
            <w:szCs w:val="14"/>
            <w:color w:val="000000"/>
          </w:rPr>
          <w:t>, including any amendment or reports filed for the purpose of updating such description.</w:t>
        </w:r>
      </w:hyperlink>
    </w:p>
    <w:p>
      <w:pPr>
        <w:spacing w:after="0" w:line="62" w:lineRule="exact"/>
        <w:rPr>
          <w:rFonts w:ascii="Times New Roman" w:cs="Times New Roman" w:eastAsia="Times New Roman" w:hAnsi="Times New Roman"/>
          <w:sz w:val="14"/>
          <w:szCs w:val="14"/>
          <w:color w:val="auto"/>
        </w:rPr>
      </w:pPr>
    </w:p>
    <w:p>
      <w:pPr>
        <w:ind w:left="1580"/>
        <w:spacing w:after="0"/>
        <w:rPr>
          <w:sz w:val="20"/>
          <w:szCs w:val="20"/>
          <w:color w:val="auto"/>
        </w:rPr>
      </w:pPr>
      <w:r>
        <w:rPr>
          <w:rFonts w:ascii="Times New Roman" w:cs="Times New Roman" w:eastAsia="Times New Roman" w:hAnsi="Times New Roman"/>
          <w:sz w:val="14"/>
          <w:szCs w:val="14"/>
          <w:color w:val="auto"/>
        </w:rPr>
        <w:t>In addition, we incorporate by reference into this prospectus (i) the audited consolidated financial</w:t>
      </w:r>
    </w:p>
    <w:p>
      <w:pPr>
        <w:spacing w:after="0" w:line="22" w:lineRule="exact"/>
        <w:rPr>
          <w:rFonts w:ascii="Times New Roman" w:cs="Times New Roman" w:eastAsia="Times New Roman" w:hAnsi="Times New Roman"/>
          <w:sz w:val="14"/>
          <w:szCs w:val="14"/>
          <w:color w:val="auto"/>
        </w:rPr>
      </w:pPr>
    </w:p>
    <w:p>
      <w:pPr>
        <w:ind w:left="1300"/>
        <w:spacing w:after="0"/>
        <w:rPr>
          <w:sz w:val="20"/>
          <w:szCs w:val="20"/>
          <w:color w:val="auto"/>
        </w:rPr>
      </w:pPr>
      <w:r>
        <w:rPr>
          <w:rFonts w:ascii="Times New Roman" w:cs="Times New Roman" w:eastAsia="Times New Roman" w:hAnsi="Times New Roman"/>
          <w:sz w:val="14"/>
          <w:szCs w:val="14"/>
          <w:color w:val="auto"/>
        </w:rPr>
        <w:t>statements of Endeavor as of December 31, 2023 and 2022 and for each of the fiscal years ended</w:t>
      </w:r>
    </w:p>
    <w:p>
      <w:pPr>
        <w:spacing w:after="0" w:line="7"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December 31, 2023, 2022 and 2021 included as </w:t>
      </w:r>
      <w:hyperlink r:id="rId50">
        <w:r>
          <w:rPr>
            <w:rFonts w:ascii="Times New Roman" w:cs="Times New Roman" w:eastAsia="Times New Roman" w:hAnsi="Times New Roman"/>
            <w:sz w:val="14"/>
            <w:szCs w:val="14"/>
            <w:u w:val="single" w:color="auto"/>
            <w:color w:val="0000EE"/>
          </w:rPr>
          <w:t>Exhibit 99.1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Company’s Current Report on Form 8-K,</w:t>
      </w:r>
    </w:p>
    <w:p>
      <w:pPr>
        <w:spacing w:after="0" w:line="7" w:lineRule="exact"/>
        <w:rPr>
          <w:rFonts w:ascii="Times New Roman" w:cs="Times New Roman" w:eastAsia="Times New Roman" w:hAnsi="Times New Roman"/>
          <w:sz w:val="14"/>
          <w:szCs w:val="14"/>
          <w:color w:val="auto"/>
        </w:rPr>
      </w:pPr>
    </w:p>
    <w:p>
      <w:pPr>
        <w:ind w:left="1300"/>
        <w:spacing w:after="0"/>
        <w:rPr>
          <w:sz w:val="20"/>
          <w:szCs w:val="20"/>
          <w:color w:val="auto"/>
        </w:rPr>
      </w:pPr>
      <w:r>
        <w:rPr>
          <w:rFonts w:ascii="Times New Roman" w:cs="Times New Roman" w:eastAsia="Times New Roman" w:hAnsi="Times New Roman"/>
          <w:sz w:val="14"/>
          <w:szCs w:val="14"/>
          <w:color w:val="auto"/>
        </w:rPr>
        <w:t>filed with the SEC on April 8, 2024 and (ii) the unaudited consolidated financial statements of Endeavor as</w:t>
      </w:r>
    </w:p>
    <w:p>
      <w:pPr>
        <w:spacing w:after="0" w:line="7"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June 30, 2024 and for the six month periods ended June 30, 2024 and 2023 included as </w:t>
      </w:r>
      <w:hyperlink r:id="rId51">
        <w:r>
          <w:rPr>
            <w:rFonts w:ascii="Times New Roman" w:cs="Times New Roman" w:eastAsia="Times New Roman" w:hAnsi="Times New Roman"/>
            <w:sz w:val="14"/>
            <w:szCs w:val="14"/>
            <w:u w:val="single" w:color="auto"/>
            <w:color w:val="0000EE"/>
          </w:rPr>
          <w:t>Exhibit 99.1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w:t>
      </w:r>
    </w:p>
    <w:p>
      <w:pPr>
        <w:spacing w:after="0" w:line="7" w:lineRule="exact"/>
        <w:rPr>
          <w:rFonts w:ascii="Times New Roman" w:cs="Times New Roman" w:eastAsia="Times New Roman" w:hAnsi="Times New Roman"/>
          <w:sz w:val="14"/>
          <w:szCs w:val="14"/>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Company’s Current Report on Form 8-K/A, filed with the SEC on September 19, 2024.</w:t>
      </w:r>
    </w:p>
    <w:p>
      <w:pPr>
        <w:spacing w:after="0" w:line="108" w:lineRule="exact"/>
        <w:rPr>
          <w:rFonts w:ascii="Times New Roman" w:cs="Times New Roman" w:eastAsia="Times New Roman" w:hAnsi="Times New Roman"/>
          <w:sz w:val="14"/>
          <w:szCs w:val="14"/>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In addition, all documents filed by us with the SEC under Sections 13(a), 13(c), 14 or 15(d) of the Exchange Act (other than those furnished pursuant to Item 2.02 or Item 7.01 of Form 8-K, unless otherwise stated therein)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or any prospectus supplement, unless otherwise indicated on such Form 8-K.</w:t>
      </w:r>
    </w:p>
    <w:p>
      <w:pPr>
        <w:spacing w:after="0" w:line="266" w:lineRule="exact"/>
        <w:rPr>
          <w:rFonts w:ascii="Times New Roman" w:cs="Times New Roman" w:eastAsia="Times New Roman" w:hAnsi="Times New Roman"/>
          <w:sz w:val="14"/>
          <w:szCs w:val="14"/>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Copies of any of the documents we file with the SEC may be obtained free of charge on the SEC’s website, our website, by contacting Corporate Secretary, Diamondback Energy, Inc., 500 West Texas Ave., Suite 100, Midland, TX 79701 or by calling (432) 221-7400.</w:t>
      </w:r>
    </w:p>
    <w:p>
      <w:pPr>
        <w:spacing w:after="0" w:line="72" w:lineRule="exact"/>
        <w:rPr>
          <w:rFonts w:ascii="Times New Roman" w:cs="Times New Roman" w:eastAsia="Times New Roman" w:hAnsi="Times New Roman"/>
          <w:sz w:val="14"/>
          <w:szCs w:val="14"/>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2"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The validity of the common stock being offered by the selling stockholder pursuant to this prospectus will be passed upon by Kirkland &amp; Ellis LLP. In connection with particular offerings of the common stock in the future, and if stated in the applicable prospectus supplement, the validity of those the common stock may be passed upon for us by Kirkland &amp; Ellis LLP, and for any underwriters or agents by counsel named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The audited financial statements of Diamondback Energy,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81"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The audited financial statements of Endeavor Parent, LLC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88"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Information incorporated by reference in this prospectus regarding estimated quantities of proved reserves, future production and income attributable to certain leasehold and royalty interests of Diamondback Energy, Inc. is based upon estimates of such reserves, future production and income audited by Ryder Scott Company, L.P., an independent petroleum engineering firm, as of December 31, 2024. This information is incorporated by reference in this prospectus in reliance upon the authority of such firm as experts in these matters.</w:t>
      </w:r>
    </w:p>
    <w:p>
      <w:pPr>
        <w:spacing w:after="0" w:line="263"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Information incorporated by reference in this prospectus regarding estimated quantities of proved reserves, future production and income attributable to certain royalty interests of Viper Energy Partners LP, a subsidiary of Diamondback Energy, Inc., is based upon estimates of such reserves, future production and income audited by Ryder Scott Company, L.P., an independent petroleum engineering firm, as of December 31, 2024. This information is incorporated by reference in this prospectus in reliance upon the authority of such firm as experts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486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48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8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​SEC registration fee</w:t>
            </w:r>
          </w:p>
        </w:tc>
        <w:tc>
          <w:tcPr>
            <w:tcW w:w="980" w:type="dxa"/>
            <w:vAlign w:val="bottom"/>
            <w:gridSpan w:val="2"/>
            <w:shd w:val="clear" w:color="auto" w:fill="CCEEFF"/>
          </w:tcPr>
          <w:p>
            <w:pPr>
              <w:ind w:left="320"/>
              <w:spacing w:after="0" w:line="147" w:lineRule="exact"/>
              <w:rPr>
                <w:sz w:val="20"/>
                <w:szCs w:val="20"/>
                <w:color w:val="auto"/>
              </w:rPr>
            </w:pPr>
            <w:r>
              <w:rPr>
                <w:rFonts w:ascii="Times New Roman" w:cs="Times New Roman" w:eastAsia="Times New Roman" w:hAnsi="Times New Roman"/>
                <w:sz w:val="14"/>
                <w:szCs w:val="14"/>
                <w:color w:val="auto"/>
              </w:rPr>
              <w:t>​ ​​$129,002</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48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Legal fees and expenses</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8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5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5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86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500" w:type="dxa"/>
            <w:vAlign w:val="bottom"/>
            <w:vMerge w:val="continue"/>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10,000*</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8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5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5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25,000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86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500" w:type="dxa"/>
            <w:vAlign w:val="bottom"/>
            <w:vMerge w:val="continue"/>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4"/>
        </w:trPr>
        <w:tc>
          <w:tcPr>
            <w:tcW w:w="280" w:type="dxa"/>
            <w:vAlign w:val="bottom"/>
          </w:tcPr>
          <w:p>
            <w:pPr>
              <w:spacing w:after="0"/>
              <w:rPr>
                <w:sz w:val="7"/>
                <w:szCs w:val="7"/>
                <w:color w:val="auto"/>
              </w:rPr>
            </w:pPr>
          </w:p>
        </w:tc>
        <w:tc>
          <w:tcPr>
            <w:tcW w:w="4860" w:type="dxa"/>
            <w:vAlign w:val="bottom"/>
            <w:vMerge w:val="restart"/>
          </w:tcPr>
          <w:p>
            <w:pPr>
              <w:spacing w:after="0" w:line="121" w:lineRule="exact"/>
              <w:rPr>
                <w:sz w:val="20"/>
                <w:szCs w:val="20"/>
                <w:color w:val="auto"/>
              </w:rPr>
            </w:pPr>
            <w:r>
              <w:rPr>
                <w:rFonts w:ascii="Times New Roman" w:cs="Times New Roman" w:eastAsia="Times New Roman" w:hAnsi="Times New Roman"/>
                <w:sz w:val="14"/>
                <w:szCs w:val="14"/>
                <w:color w:val="auto"/>
              </w:rPr>
              <w:t>FINRA filing fee</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48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vMerge w:val="restart"/>
          </w:tcPr>
          <w:p>
            <w:pPr>
              <w:ind w:left="20"/>
              <w:spacing w:after="0" w:line="10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68"/>
        </w:trPr>
        <w:tc>
          <w:tcPr>
            <w:tcW w:w="280" w:type="dxa"/>
            <w:vAlign w:val="bottom"/>
          </w:tcPr>
          <w:p>
            <w:pPr>
              <w:spacing w:after="0"/>
              <w:rPr>
                <w:sz w:val="5"/>
                <w:szCs w:val="5"/>
                <w:color w:val="auto"/>
              </w:rPr>
            </w:pPr>
          </w:p>
        </w:tc>
        <w:tc>
          <w:tcPr>
            <w:tcW w:w="4860" w:type="dxa"/>
            <w:vAlign w:val="bottom"/>
            <w:vMerge w:val="restart"/>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ind w:left="320"/>
              <w:spacing w:after="0" w:line="90"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8"/>
              </w:rPr>
              <w:t>$314,002</w:t>
            </w:r>
          </w:p>
        </w:tc>
        <w:tc>
          <w:tcPr>
            <w:tcW w:w="16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w w:val="96"/>
                <w:vertAlign w:val="subscript"/>
              </w:rPr>
              <w:t>*</w:t>
            </w:r>
            <w:r>
              <w:rPr>
                <w:rFonts w:ascii="Times New Roman" w:cs="Times New Roman" w:eastAsia="Times New Roman" w:hAnsi="Times New Roman"/>
                <w:sz w:val="7"/>
                <w:szCs w:val="7"/>
                <w:color w:val="auto"/>
                <w:w w:val="96"/>
              </w:rPr>
              <w:t>(1)</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86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CCEEFF"/>
          </w:tcPr>
          <w:p>
            <w:pPr>
              <w:ind w:left="320"/>
              <w:spacing w:after="0" w:line="42" w:lineRule="exact"/>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CCEEFF"/>
          </w:tcPr>
          <w:p>
            <w:pPr>
              <w:spacing w:after="0"/>
              <w:rPr>
                <w:sz w:val="3"/>
                <w:szCs w:val="3"/>
                <w:color w:val="auto"/>
              </w:rPr>
            </w:pPr>
          </w:p>
        </w:tc>
        <w:tc>
          <w:tcPr>
            <w:tcW w:w="1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113665</wp:posOffset>
            </wp:positionV>
            <wp:extent cx="9613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81" w:lineRule="exact"/>
        <w:rPr>
          <w:sz w:val="20"/>
          <w:szCs w:val="20"/>
          <w:color w:val="auto"/>
        </w:rPr>
      </w:pPr>
    </w:p>
    <w:p>
      <w:pPr>
        <w:ind w:left="1580" w:right="1379" w:hanging="272"/>
        <w:spacing w:after="0" w:line="255"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all amounts listed in the tables relate to the estimated expenses of registering the shares of common stock for resale by the selling stockholder under the registration statement of which this prospectus forms a part. The estimated expenses of any offerings under this registration statement are not presently known, but the foregoing represents the general categories of expenses (other than underwriting discounts and commissions) that we anticipate we will incur in connection with any offering of securities under the registration statement. To the extent required, any applicable prospectus supplement will set forth the estimated aggregate amount of expenses payable in respect of any offering of securities under the registration statement.</w:t>
      </w:r>
    </w:p>
    <w:p>
      <w:pPr>
        <w:spacing w:after="0" w:line="51" w:lineRule="exact"/>
        <w:rPr>
          <w:sz w:val="20"/>
          <w:szCs w:val="20"/>
          <w:color w:val="auto"/>
        </w:rPr>
      </w:pPr>
    </w:p>
    <w:p>
      <w:pPr>
        <w:jc w:val="both"/>
        <w:ind w:left="1580" w:right="1519" w:hanging="272"/>
        <w:spacing w:after="0" w:line="267" w:lineRule="auto"/>
        <w:tabs>
          <w:tab w:leader="none" w:pos="1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estimated amounts, if any, of fees and expenses to be incurred in connection with any offering of the securities pursuant to this registration statement will be determined from time to time and reflected in the applicable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w:t>
      </w:r>
    </w:p>
    <w:p>
      <w:pPr>
        <w:spacing w:after="0" w:line="114"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Section 102(b)(7) of the DGCL, permits a corporation, in its certificate of incorporation, to limit or eliminate, subject to certain statutory limitations, the liability of directors or officer to the corporation or its stockholders for monetary damages for breaches of fiduciary duty, except for liability:</w:t>
      </w:r>
    </w:p>
    <w:p>
      <w:pPr>
        <w:spacing w:after="0" w:line="51" w:lineRule="exact"/>
        <w:rPr>
          <w:sz w:val="20"/>
          <w:szCs w:val="20"/>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or officer’s duty of loyalty to the company or its stockholders;</w:t>
      </w:r>
    </w:p>
    <w:p>
      <w:pPr>
        <w:spacing w:after="0" w:line="10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by a director or officer not in good faith or that involve intentional misconduct or a knowing violation of law;</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in respect of certain unlawful dividend payments or stock redemptions or repurchases;</w:t>
      </w:r>
    </w:p>
    <w:p>
      <w:pPr>
        <w:spacing w:after="0" w:line="91" w:lineRule="exact"/>
        <w:rPr>
          <w:rFonts w:ascii="Times New Roman" w:cs="Times New Roman" w:eastAsia="Times New Roman" w:hAnsi="Times New Roman"/>
          <w:sz w:val="14"/>
          <w:szCs w:val="14"/>
          <w:color w:val="auto"/>
        </w:rPr>
      </w:pPr>
    </w:p>
    <w:p>
      <w:pPr>
        <w:ind w:left="1720" w:right="177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 director or officer derives an improper personal benefit; and</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corporation.</w:t>
      </w:r>
    </w:p>
    <w:p>
      <w:pPr>
        <w:spacing w:after="0" w:line="123"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In accordance with Section 102(b)(7) of the DGCL, Section 9.1 of our certificate of incorporation, as amended by subsequent amendments and collectively referred to herein as our certificate of incorporation, provides that, to the fullest extent that the DGCL or any other law of the State of Delaware allows, no director or officer shall be personally liable to us for any of our stockholders for monetary damages resulting from breaches of their fiduciary duty as director or officer.</w:t>
      </w:r>
    </w:p>
    <w:p>
      <w:pPr>
        <w:spacing w:after="0" w:line="81"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The effect of this provision of our certificate of incorporation is to eliminate our rights and those of our stockholders (through stockholders’ derivative suits on our behalf) to recover monetary damages against a director or officer for breach of the fiduciary duty of care as a director, including breaches resulting from negligent or grossly negligent behavior, except, as restricted by Section 102(b)(7) of the DGCL.</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459"/>
        <w:spacing w:after="0" w:line="259" w:lineRule="auto"/>
        <w:rPr>
          <w:sz w:val="20"/>
          <w:szCs w:val="20"/>
          <w:color w:val="auto"/>
        </w:rPr>
      </w:pPr>
      <w:r>
        <w:rPr>
          <w:rFonts w:ascii="Times New Roman" w:cs="Times New Roman" w:eastAsia="Times New Roman" w:hAnsi="Times New Roman"/>
          <w:sz w:val="14"/>
          <w:szCs w:val="14"/>
          <w:color w:val="auto"/>
        </w:rPr>
        <w:t>However, this provision does not limit or eliminate our rights or the rights of any stockholder to seek non-monetary relief, such as an injunction or rescission, in the event of a breach of a director’s duty of care, or against any officer in any action by or in the right of the corporation.</w:t>
      </w:r>
    </w:p>
    <w:p>
      <w:pPr>
        <w:spacing w:after="0" w:line="78"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liability of directors and officers, then, in accordance with our certificate of incorporation, the liability of our directors and officers to us or our stockholders will be eliminated or limited to the fullest extent authorized by the DGCL, as so amended. Any repeal or amendment of provisions of our certificate of incorporation limiting or eliminating the liability of directors or officers,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retrospective basis.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under Certificate of Incorporation and Bylaws</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Section 145 of the DGCL permits a corporation, under specified circumstances, to indemnify its</w:t>
      </w:r>
    </w:p>
    <w:p>
      <w:pPr>
        <w:spacing w:after="0" w:line="22" w:lineRule="exact"/>
        <w:rPr>
          <w:sz w:val="20"/>
          <w:szCs w:val="20"/>
          <w:color w:val="auto"/>
        </w:rPr>
      </w:pPr>
    </w:p>
    <w:p>
      <w:pPr>
        <w:ind w:left="1300" w:right="1339"/>
        <w:spacing w:after="0"/>
        <w:rPr>
          <w:sz w:val="20"/>
          <w:szCs w:val="20"/>
          <w:color w:val="auto"/>
        </w:rPr>
      </w:pPr>
      <w:r>
        <w:rPr>
          <w:rFonts w:ascii="Times New Roman" w:cs="Times New Roman" w:eastAsia="Times New Roman" w:hAnsi="Times New Roman"/>
          <w:sz w:val="14"/>
          <w:szCs w:val="14"/>
          <w:color w:val="auto"/>
        </w:rPr>
        <w:t>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reasonable cause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97"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Our certificate of incorporation provides that we will, to the fullest extent authorized or permitted by applicable law, indemnify our current and former directors and officers,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 and advancement of expenses.</w:t>
      </w:r>
    </w:p>
    <w:p>
      <w:pPr>
        <w:spacing w:after="0" w:line="89" w:lineRule="exact"/>
        <w:rPr>
          <w:sz w:val="20"/>
          <w:szCs w:val="20"/>
          <w:color w:val="auto"/>
        </w:rPr>
      </w:pPr>
    </w:p>
    <w:p>
      <w:pPr>
        <w:ind w:left="1300" w:right="1559" w:firstLine="280"/>
        <w:spacing w:after="0" w:line="247" w:lineRule="auto"/>
        <w:rPr>
          <w:sz w:val="20"/>
          <w:szCs w:val="20"/>
          <w:color w:val="auto"/>
        </w:rPr>
      </w:pPr>
      <w:r>
        <w:rPr>
          <w:rFonts w:ascii="Times New Roman" w:cs="Times New Roman" w:eastAsia="Times New Roman" w:hAnsi="Times New Roman"/>
          <w:sz w:val="14"/>
          <w:szCs w:val="14"/>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indemnitee, to repay all amounts so advanced if it is ultimately determined by final judicial decision that such person is not entitled to be indemnified for such expenses under our certificate of incorporation or otherwise.</w:t>
      </w:r>
    </w:p>
    <w:p>
      <w:pPr>
        <w:spacing w:after="0" w:line="89"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83"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47" w:lineRule="auto"/>
        <w:rPr>
          <w:sz w:val="20"/>
          <w:szCs w:val="20"/>
          <w:color w:val="auto"/>
        </w:rPr>
      </w:pPr>
      <w:r>
        <w:rPr>
          <w:rFonts w:ascii="Times New Roman" w:cs="Times New Roman" w:eastAsia="Times New Roman" w:hAnsi="Times New Roman"/>
          <w:sz w:val="14"/>
          <w:szCs w:val="14"/>
          <w:color w:val="auto"/>
        </w:rPr>
        <w:t>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also permits us, to the extent and in the manner authorized or permitted by law, to indemnify and to advance expenses to persons other than those specifically covered by our certificate of incorporation.</w:t>
      </w:r>
    </w:p>
    <w:p>
      <w:pPr>
        <w:spacing w:after="0" w:line="89"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Our bylaws include the provisions relating to advancement of expenses and indemnification rights consistent with those set forth in our certificate of incorporation. In addition, our bylaws provide for a right of indemnitee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90"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 with Our Directors and Executive Officers</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ectPr>
          <w:pgSz w:w="11900" w:h="16838" w:orient="portrait"/>
          <w:cols w:equalWidth="0" w:num="1">
            <w:col w:w="9019"/>
          </w:cols>
          <w:pgMar w:left="1440" w:top="107" w:right="1440" w:bottom="1440" w:gutter="0" w:footer="0" w:header="0"/>
        </w:sectPr>
      </w:pP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560" w:type="dxa"/>
            <w:vAlign w:val="bottom"/>
            <w:gridSpan w:val="3"/>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p>
        </w:tc>
        <w:tc>
          <w:tcPr>
            <w:tcW w:w="1080" w:type="dxa"/>
            <w:vAlign w:val="bottom"/>
          </w:tcPr>
          <w:p>
            <w:pPr>
              <w:spacing w:after="0"/>
              <w:rPr>
                <w:sz w:val="14"/>
                <w:szCs w:val="14"/>
                <w:color w:val="auto"/>
              </w:rPr>
            </w:pPr>
          </w:p>
        </w:tc>
        <w:tc>
          <w:tcPr>
            <w:tcW w:w="4700" w:type="dxa"/>
            <w:vAlign w:val="bottom"/>
            <w:gridSpan w:val="9"/>
          </w:tcPr>
          <w:p>
            <w:pPr>
              <w:ind w:left="15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8"/>
        </w:trPr>
        <w:tc>
          <w:tcPr>
            <w:tcW w:w="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ind w:right="30"/>
              <w:spacing w:after="0" w:line="148" w:lineRule="exact"/>
              <w:rPr>
                <w:sz w:val="20"/>
                <w:szCs w:val="20"/>
                <w:color w:val="auto"/>
              </w:rPr>
            </w:pPr>
            <w:r>
              <w:rPr>
                <w:rFonts w:ascii="Times New Roman" w:cs="Times New Roman" w:eastAsia="Times New Roman" w:hAnsi="Times New Roman"/>
                <w:sz w:val="14"/>
                <w:szCs w:val="14"/>
                <w:color w:val="auto"/>
              </w:rPr>
              <w:t>3.1</w:t>
            </w:r>
          </w:p>
        </w:tc>
        <w:tc>
          <w:tcPr>
            <w:tcW w:w="5940" w:type="dxa"/>
            <w:vAlign w:val="bottom"/>
            <w:gridSpan w:val="11"/>
          </w:tcPr>
          <w:p>
            <w:pPr>
              <w:ind w:left="40"/>
              <w:spacing w:after="0" w:line="148"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57">
              <w:r>
                <w:rPr>
                  <w:rFonts w:ascii="Times New Roman" w:cs="Times New Roman" w:eastAsia="Times New Roman" w:hAnsi="Times New Roman"/>
                  <w:sz w:val="14"/>
                  <w:szCs w:val="14"/>
                  <w:color w:val="0000EE"/>
                </w:rPr>
                <w:t>Second Amended and Restated Certificate of Incorporation of the Company (incorporated by</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gridSpan w:val="10"/>
          </w:tcPr>
          <w:p>
            <w:pPr>
              <w:spacing w:after="0" w:line="148" w:lineRule="exact"/>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reference to Exhibit 3.1 to the Form 8-K, File No. 001-35700, filed by the Company with the SEC</w:t>
              </w:r>
            </w:hyperlink>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60" w:type="dxa"/>
            <w:vAlign w:val="bottom"/>
            <w:tcBorders>
              <w:top w:val="single" w:sz="8" w:color="0000EE"/>
            </w:tcBorders>
            <w:gridSpan w:val="9"/>
          </w:tcPr>
          <w:p>
            <w:pPr>
              <w:spacing w:after="0" w:line="148" w:lineRule="exact"/>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on June 14, 2023).</w:t>
              </w:r>
            </w:hyperlink>
          </w:p>
        </w:tc>
        <w:tc>
          <w:tcPr>
            <w:tcW w:w="20" w:type="dxa"/>
            <w:vAlign w:val="bottom"/>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0"/>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w:t>
            </w:r>
          </w:p>
        </w:tc>
        <w:tc>
          <w:tcPr>
            <w:tcW w:w="5940" w:type="dxa"/>
            <w:vAlign w:val="bottom"/>
            <w:gridSpan w:val="11"/>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58">
              <w:r>
                <w:rPr>
                  <w:rFonts w:ascii="Times New Roman" w:cs="Times New Roman" w:eastAsia="Times New Roman" w:hAnsi="Times New Roman"/>
                  <w:sz w:val="14"/>
                  <w:szCs w:val="14"/>
                  <w:color w:val="0000EE"/>
                </w:rPr>
                <w:t>Certificate of Amendment No. 1 to Second Amended and Restated Certificate of Incorporation of</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tcBorders>
              <w:bottom w:val="single" w:sz="8" w:color="0000EE"/>
            </w:tcBorders>
            <w:gridSpan w:val="10"/>
          </w:tcPr>
          <w:p>
            <w:pPr>
              <w:spacing w:after="0" w:line="148"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the Company (incorporated by reference to Exhibit 3.1 to the Form 8-K, File No. 001-35700, filed</w:t>
              </w:r>
            </w:hyperlink>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gridSpan w:val="10"/>
          </w:tcPr>
          <w:p>
            <w:pPr>
              <w:spacing w:after="0" w:line="148"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by the Company with the SEC on September 10, 2024).</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0"/>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3.3</w:t>
            </w:r>
          </w:p>
        </w:tc>
        <w:tc>
          <w:tcPr>
            <w:tcW w:w="5940" w:type="dxa"/>
            <w:vAlign w:val="bottom"/>
            <w:gridSpan w:val="11"/>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59">
              <w:r>
                <w:rPr>
                  <w:rFonts w:ascii="Times New Roman" w:cs="Times New Roman" w:eastAsia="Times New Roman" w:hAnsi="Times New Roman"/>
                  <w:sz w:val="14"/>
                  <w:szCs w:val="14"/>
                  <w:color w:val="0000EE"/>
                </w:rPr>
                <w:t>Fifth Amended and Restated Bylaws of the Company (incorporated by reference to Exhibit 3.1 to</w:t>
              </w:r>
            </w:hyperlink>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80" w:type="dxa"/>
            <w:vAlign w:val="bottom"/>
            <w:tcBorders>
              <w:top w:val="single" w:sz="8" w:color="0000EE"/>
              <w:bottom w:val="single" w:sz="8" w:color="0000EE"/>
            </w:tcBorders>
            <w:gridSpan w:val="7"/>
          </w:tcPr>
          <w:p>
            <w:pPr>
              <w:spacing w:after="0" w:line="148"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the Form 8-K, File No. 001-35700, filed by the Company with the SEC on September 19, 2024).</w:t>
              </w:r>
            </w:hyperlink>
          </w:p>
        </w:tc>
        <w:tc>
          <w:tcPr>
            <w:tcW w:w="60" w:type="dxa"/>
            <w:vAlign w:val="bottom"/>
            <w:tcBorders>
              <w:top w:val="single" w:sz="8" w:color="0000EE"/>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0"/>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4.1</w:t>
            </w:r>
          </w:p>
        </w:tc>
        <w:tc>
          <w:tcPr>
            <w:tcW w:w="5940" w:type="dxa"/>
            <w:vAlign w:val="bottom"/>
            <w:gridSpan w:val="11"/>
          </w:tcPr>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60">
              <w:r>
                <w:rPr>
                  <w:rFonts w:ascii="Times New Roman" w:cs="Times New Roman" w:eastAsia="Times New Roman" w:hAnsi="Times New Roman"/>
                  <w:sz w:val="14"/>
                  <w:szCs w:val="14"/>
                  <w:color w:val="0000EE"/>
                </w:rPr>
                <w:t>Specimen certificate for shares of common stock, par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0.01 per share, of Diamondback</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gridSpan w:val="10"/>
          </w:tcPr>
          <w:p>
            <w:pPr>
              <w:spacing w:after="0" w:line="148"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Energy, Inc. (incorporated by reference to Exhibit 4.1 to Amendment No. 4 to the Registration</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0" w:type="dxa"/>
            <w:vAlign w:val="bottom"/>
            <w:tcBorders>
              <w:bottom w:val="single" w:sz="8" w:color="0000EE"/>
            </w:tcBorders>
            <w:gridSpan w:val="6"/>
          </w:tcPr>
          <w:p>
            <w:pPr>
              <w:spacing w:after="0" w:line="148"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Statement on Form S-1, filed by Diamondback Energy, Inc. with the SEC on August 20, 2012).</w:t>
              </w:r>
            </w:hyperlink>
          </w:p>
        </w:tc>
        <w:tc>
          <w:tcPr>
            <w:tcW w:w="180" w:type="dxa"/>
            <w:vAlign w:val="bottom"/>
            <w:gridSpan w:val="4"/>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-1240790</wp:posOffset>
            </wp:positionV>
            <wp:extent cx="37115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3711575" cy="6985"/>
                    </a:xfrm>
                    <a:prstGeom prst="rect">
                      <a:avLst/>
                    </a:prstGeom>
                    <a:noFill/>
                  </pic:spPr>
                </pic:pic>
              </a:graphicData>
            </a:graphic>
          </wp:anchor>
        </w:drawing>
      </w:r>
    </w:p>
    <w:p>
      <w:pPr>
        <w:ind w:left="1860" w:right="60" w:hanging="552"/>
        <w:spacing w:after="0" w:line="277" w:lineRule="auto"/>
        <w:tabs>
          <w:tab w:leader="none" w:pos="1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 ​</w:t>
      </w:r>
      <w:r>
        <w:rPr>
          <w:rFonts w:ascii="Times New Roman" w:cs="Times New Roman" w:eastAsia="Times New Roman" w:hAnsi="Times New Roman"/>
          <w:sz w:val="14"/>
          <w:szCs w:val="14"/>
          <w:u w:val="single" w:color="auto"/>
          <w:color w:val="0000EE"/>
        </w:rPr>
        <w:t>Opinion of Kirkland &amp; Ellis LLP as to the validity of Diamondback Energy, Inc.’s common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being registered.</w:t>
      </w:r>
    </w:p>
    <w:p>
      <w:pPr>
        <w:ind w:left="1300"/>
        <w:spacing w:after="0" w:line="185"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23.1*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u w:val="single" w:color="auto"/>
          <w:color w:val="0000EE"/>
        </w:rPr>
        <w:t>Consent of Kirkland &amp; Ellis LLP (included on Exhibit 5.1).</w:t>
      </w:r>
    </w:p>
    <w:p>
      <w:pPr>
        <w:spacing w:after="0" w:line="1" w:lineRule="exact"/>
        <w:rPr>
          <w:sz w:val="20"/>
          <w:szCs w:val="20"/>
          <w:color w:val="auto"/>
        </w:rPr>
      </w:pPr>
    </w:p>
    <w:p>
      <w:pPr>
        <w:ind w:left="1860" w:right="280" w:hanging="546"/>
        <w:spacing w:after="0" w:line="270" w:lineRule="auto"/>
        <w:rPr>
          <w:sz w:val="20"/>
          <w:szCs w:val="20"/>
          <w:color w:val="auto"/>
        </w:rPr>
      </w:pPr>
      <w:r>
        <w:rPr>
          <w:rFonts w:ascii="Times New Roman" w:cs="Times New Roman" w:eastAsia="Times New Roman" w:hAnsi="Times New Roman"/>
          <w:sz w:val="14"/>
          <w:szCs w:val="14"/>
          <w:color w:val="auto"/>
        </w:rPr>
        <w:t>​23.2* ​ ​</w:t>
      </w:r>
      <w:r>
        <w:rPr>
          <w:rFonts w:ascii="Times New Roman" w:cs="Times New Roman" w:eastAsia="Times New Roman" w:hAnsi="Times New Roman"/>
          <w:sz w:val="14"/>
          <w:szCs w:val="14"/>
          <w:u w:val="single" w:color="auto"/>
          <w:color w:val="0000EE"/>
        </w:rPr>
        <w:t>Consent of Grant Thornton LLP with respect to Diamondback Energy, Inc.’s audited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statements.</w:t>
      </w:r>
    </w:p>
    <w:p>
      <w:pPr>
        <w:ind w:left="1860" w:right="520" w:hanging="546"/>
        <w:spacing w:after="0" w:line="282" w:lineRule="auto"/>
        <w:rPr>
          <w:sz w:val="20"/>
          <w:szCs w:val="20"/>
          <w:color w:val="auto"/>
        </w:rPr>
      </w:pPr>
      <w:r>
        <w:rPr>
          <w:rFonts w:ascii="Times New Roman" w:cs="Times New Roman" w:eastAsia="Times New Roman" w:hAnsi="Times New Roman"/>
          <w:sz w:val="14"/>
          <w:szCs w:val="14"/>
          <w:color w:val="auto"/>
        </w:rPr>
        <w:t>​23.3* ​ ​</w:t>
      </w:r>
      <w:r>
        <w:rPr>
          <w:rFonts w:ascii="Times New Roman" w:cs="Times New Roman" w:eastAsia="Times New Roman" w:hAnsi="Times New Roman"/>
          <w:sz w:val="14"/>
          <w:szCs w:val="14"/>
          <w:u w:val="single" w:color="auto"/>
          <w:color w:val="0000EE"/>
        </w:rPr>
        <w:t>Consent of Grant Thornton LLP with respect to Endeavor Parent, LLC’s audited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statements.</w:t>
      </w:r>
    </w:p>
    <w:p>
      <w:pPr>
        <w:ind w:left="1300"/>
        <w:spacing w:after="0"/>
        <w:rPr>
          <w:sz w:val="20"/>
          <w:szCs w:val="20"/>
          <w:color w:val="auto"/>
        </w:rPr>
      </w:pPr>
      <w:r>
        <w:rPr>
          <w:rFonts w:ascii="Times New Roman" w:cs="Times New Roman" w:eastAsia="Times New Roman" w:hAnsi="Times New Roman"/>
          <w:sz w:val="14"/>
          <w:szCs w:val="14"/>
          <w:color w:val="auto"/>
        </w:rPr>
        <w:t>​23.4* ​ ​</w:t>
      </w:r>
      <w:r>
        <w:rPr>
          <w:rFonts w:ascii="Times New Roman" w:cs="Times New Roman" w:eastAsia="Times New Roman" w:hAnsi="Times New Roman"/>
          <w:sz w:val="14"/>
          <w:szCs w:val="14"/>
          <w:u w:val="single" w:color="auto"/>
          <w:color w:val="0000EE"/>
        </w:rPr>
        <w:t>Consent of Ryder Scott Company, L.P. with respect to the audit of Diamondback Energy, Inc.</w:t>
      </w:r>
    </w:p>
    <w:p>
      <w:pPr>
        <w:spacing w:after="0" w:line="4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u w:val="single" w:color="auto"/>
          <w:color w:val="0000EE"/>
        </w:rPr>
        <w:t>estimated reserves.</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640" w:space="60"/>
            <w:col w:w="1319"/>
          </w:cols>
          <w:pgMar w:left="1440" w:top="107" w:right="1440" w:bottom="1440" w:gutter="0" w:footer="0" w:header="0"/>
          <w:type w:val="continuous"/>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00"/>
        <w:spacing w:after="0"/>
        <w:tabs>
          <w:tab w:leader="none" w:pos="450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-635</wp:posOffset>
            </wp:positionV>
            <wp:extent cx="40589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ind w:left="1860" w:hanging="546"/>
        <w:spacing w:after="0" w:line="272" w:lineRule="auto"/>
        <w:rPr>
          <w:sz w:val="20"/>
          <w:szCs w:val="20"/>
          <w:color w:val="auto"/>
        </w:rPr>
      </w:pPr>
      <w:r>
        <w:rPr>
          <w:rFonts w:ascii="Times New Roman" w:cs="Times New Roman" w:eastAsia="Times New Roman" w:hAnsi="Times New Roman"/>
          <w:sz w:val="14"/>
          <w:szCs w:val="14"/>
          <w:color w:val="auto"/>
        </w:rPr>
        <w:t>​23.5* ​ ​</w:t>
      </w:r>
      <w:r>
        <w:rPr>
          <w:rFonts w:ascii="Times New Roman" w:cs="Times New Roman" w:eastAsia="Times New Roman" w:hAnsi="Times New Roman"/>
          <w:sz w:val="14"/>
          <w:szCs w:val="14"/>
          <w:u w:val="single" w:color="auto"/>
          <w:color w:val="0000EE"/>
        </w:rPr>
        <w:t>Consent of Ryder Scott Company, L.P. with respect to the audit of Viper Energy, Inc. estimated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reserves.</w:t>
      </w:r>
    </w:p>
    <w:p>
      <w:pPr>
        <w:ind w:left="1300"/>
        <w:spacing w:after="0" w:line="181"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u w:val="single" w:color="auto"/>
          <w:color w:val="0000EE"/>
        </w:rPr>
        <w:t>Powers of Attorney (included on signature pages hereto).</w:t>
      </w:r>
    </w:p>
    <w:p>
      <w:pPr>
        <w:ind w:left="1300"/>
        <w:spacing w:after="0" w:line="186"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61595</wp:posOffset>
            </wp:positionV>
            <wp:extent cx="96139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88" w:lineRule="exact"/>
        <w:rPr>
          <w:sz w:val="20"/>
          <w:szCs w:val="20"/>
          <w:color w:val="auto"/>
        </w:rPr>
      </w:pPr>
    </w:p>
    <w:p>
      <w:pPr>
        <w:ind w:left="1580" w:hanging="272"/>
        <w:spacing w:after="0"/>
        <w:tabs>
          <w:tab w:leader="none" w:pos="1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440" w:space="260"/>
            <w:col w:w="1319"/>
          </w:cols>
          <w:pgMar w:left="1440" w:top="107" w:right="1440" w:bottom="1440" w:gutter="0" w:footer="0" w:header="0"/>
          <w:type w:val="continuous"/>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5" w:lineRule="exact"/>
        <w:rPr>
          <w:sz w:val="20"/>
          <w:szCs w:val="20"/>
          <w:color w:val="auto"/>
        </w:rPr>
      </w:pPr>
    </w:p>
    <w:p>
      <w:pPr>
        <w:ind w:left="1860" w:hanging="271"/>
        <w:spacing w:after="0"/>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22" w:lineRule="exact"/>
        <w:rPr>
          <w:rFonts w:ascii="Times New Roman" w:cs="Times New Roman" w:eastAsia="Times New Roman" w:hAnsi="Times New Roman"/>
          <w:sz w:val="14"/>
          <w:szCs w:val="14"/>
          <w:color w:val="auto"/>
        </w:rPr>
      </w:pPr>
    </w:p>
    <w:p>
      <w:pPr>
        <w:ind w:left="2140" w:right="1359" w:hanging="271"/>
        <w:spacing w:after="0" w:line="283" w:lineRule="auto"/>
        <w:tabs>
          <w:tab w:leader="none" w:pos="21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2" w:lineRule="exact"/>
        <w:rPr>
          <w:rFonts w:ascii="Times New Roman" w:cs="Times New Roman" w:eastAsia="Times New Roman" w:hAnsi="Times New Roman"/>
          <w:sz w:val="14"/>
          <w:szCs w:val="14"/>
          <w:color w:val="auto"/>
        </w:rPr>
      </w:pPr>
    </w:p>
    <w:p>
      <w:pPr>
        <w:ind w:left="2420" w:hanging="271"/>
        <w:spacing w:after="0"/>
        <w:tabs>
          <w:tab w:leader="none" w:pos="242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2" w:lineRule="exact"/>
        <w:rPr>
          <w:rFonts w:ascii="Times New Roman" w:cs="Times New Roman" w:eastAsia="Times New Roman" w:hAnsi="Times New Roman"/>
          <w:sz w:val="14"/>
          <w:szCs w:val="14"/>
          <w:color w:val="auto"/>
        </w:rPr>
      </w:pPr>
    </w:p>
    <w:p>
      <w:pPr>
        <w:ind w:left="2420" w:right="1399" w:hanging="271"/>
        <w:spacing w:after="0" w:line="254" w:lineRule="auto"/>
        <w:tabs>
          <w:tab w:leader="none" w:pos="242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under the Securities Act if, in the aggregate, the changes in volume and price represent no more than a 20% change in the maximum aggregate offering price set forth in the “Calculation of Filing Fee” table in the effective registration statement;</w:t>
      </w:r>
    </w:p>
    <w:p>
      <w:pPr>
        <w:spacing w:after="0" w:line="262" w:lineRule="exact"/>
        <w:rPr>
          <w:rFonts w:ascii="Times New Roman" w:cs="Times New Roman" w:eastAsia="Times New Roman" w:hAnsi="Times New Roman"/>
          <w:sz w:val="14"/>
          <w:szCs w:val="14"/>
          <w:color w:val="auto"/>
        </w:rPr>
      </w:pPr>
    </w:p>
    <w:p>
      <w:pPr>
        <w:jc w:val="both"/>
        <w:ind w:left="2420" w:right="1339" w:hanging="271"/>
        <w:spacing w:after="0" w:line="267" w:lineRule="auto"/>
        <w:tabs>
          <w:tab w:leader="none" w:pos="242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81" w:lineRule="exact"/>
        <w:rPr>
          <w:sz w:val="20"/>
          <w:szCs w:val="20"/>
          <w:color w:val="auto"/>
        </w:rPr>
      </w:pPr>
    </w:p>
    <w:p>
      <w:pPr>
        <w:ind w:left="2140" w:right="1379"/>
        <w:spacing w:after="0" w:line="257"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subparagraphs (i), (ii) and (iii) do not apply if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included in a post-effective amendment by those subparagraphs is contained in periodic reports filed with or furnished to the SEC by the registrant pursuant to Section 13 or Section 15(d) of the Exchange Act that are incorporated by reference in this registration statement, or is contained in a form of prospectus filed pursuant to Rule 424(b) of the Securities Act that is part of this registration statement.</w:t>
      </w:r>
    </w:p>
    <w:p>
      <w:pPr>
        <w:spacing w:after="0" w:line="82" w:lineRule="exact"/>
        <w:rPr>
          <w:sz w:val="20"/>
          <w:szCs w:val="20"/>
          <w:color w:val="auto"/>
        </w:rPr>
      </w:pPr>
    </w:p>
    <w:p>
      <w:pPr>
        <w:ind w:left="2140" w:right="1359" w:hanging="271"/>
        <w:spacing w:after="0" w:line="261"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2140" w:right="1579" w:hanging="271"/>
        <w:spacing w:after="0" w:line="283"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2140" w:hanging="271"/>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2" w:lineRule="exact"/>
        <w:rPr>
          <w:rFonts w:ascii="Times New Roman" w:cs="Times New Roman" w:eastAsia="Times New Roman" w:hAnsi="Times New Roman"/>
          <w:sz w:val="14"/>
          <w:szCs w:val="14"/>
          <w:color w:val="auto"/>
        </w:rPr>
      </w:pPr>
    </w:p>
    <w:p>
      <w:pPr>
        <w:ind w:left="2420" w:right="1419" w:hanging="271"/>
        <w:spacing w:after="0" w:line="267" w:lineRule="auto"/>
        <w:tabs>
          <w:tab w:leader="none" w:pos="24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2" w:lineRule="exact"/>
        <w:rPr>
          <w:rFonts w:ascii="Times New Roman" w:cs="Times New Roman" w:eastAsia="Times New Roman" w:hAnsi="Times New Roman"/>
          <w:sz w:val="14"/>
          <w:szCs w:val="14"/>
          <w:color w:val="auto"/>
        </w:rPr>
      </w:pPr>
    </w:p>
    <w:p>
      <w:pPr>
        <w:ind w:left="2420" w:right="1339" w:hanging="271"/>
        <w:spacing w:after="0" w:line="253" w:lineRule="auto"/>
        <w:tabs>
          <w:tab w:leader="none" w:pos="24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20" w:right="1359"/>
        <w:spacing w:after="0" w:line="258" w:lineRule="auto"/>
        <w:rPr>
          <w:sz w:val="20"/>
          <w:szCs w:val="20"/>
          <w:color w:val="auto"/>
        </w:rPr>
      </w:pPr>
      <w:r>
        <w:rPr>
          <w:rFonts w:ascii="Times New Roman" w:cs="Times New Roman" w:eastAsia="Times New Roman" w:hAnsi="Times New Roman"/>
          <w:sz w:val="14"/>
          <w:szCs w:val="14"/>
          <w:color w:val="auto"/>
        </w:rPr>
        <w:t>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1" w:lineRule="exact"/>
        <w:rPr>
          <w:sz w:val="20"/>
          <w:szCs w:val="20"/>
          <w:color w:val="auto"/>
        </w:rPr>
      </w:pPr>
    </w:p>
    <w:p>
      <w:pPr>
        <w:ind w:left="1860" w:right="1319" w:hanging="271"/>
        <w:spacing w:after="0" w:line="258"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the purpose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4"/>
          <w:szCs w:val="14"/>
          <w:color w:val="auto"/>
        </w:rPr>
      </w:pPr>
    </w:p>
    <w:p>
      <w:pPr>
        <w:ind w:left="1860" w:right="1359" w:hanging="271"/>
        <w:spacing w:after="0" w:line="254"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jc w:val="both"/>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Midland, Texas on the 7th day of April, 2025.</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DIAMONDBACK ENERGY, INC.</w:t>
      </w:r>
    </w:p>
    <w:p>
      <w:pPr>
        <w:spacing w:after="0" w:line="1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227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Kaes Van’t Hof</w:t>
      </w:r>
    </w:p>
    <w:p>
      <w:pPr>
        <w:spacing w:after="0" w:line="22" w:lineRule="exact"/>
        <w:rPr>
          <w:sz w:val="20"/>
          <w:szCs w:val="20"/>
          <w:color w:val="auto"/>
        </w:rPr>
      </w:pPr>
    </w:p>
    <w:p>
      <w:pPr>
        <w:ind w:left="4680"/>
        <w:spacing w:after="0"/>
        <w:tabs>
          <w:tab w:leader="none" w:pos="508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Travis D. Stice, Kaes Van’t Hof, Jere W. Thompson III, Teresa L. Dick and Matt Zmigrosky,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w:t>
      </w:r>
    </w:p>
    <w:p>
      <w:pPr>
        <w:spacing w:after="0" w:line="5" w:lineRule="exact"/>
        <w:rPr>
          <w:sz w:val="20"/>
          <w:szCs w:val="20"/>
          <w:color w:val="auto"/>
        </w:rPr>
      </w:pPr>
    </w:p>
    <w:p>
      <w:pPr>
        <w:ind w:left="1300" w:right="1419" w:firstLine="8"/>
        <w:spacing w:after="0" w:line="254" w:lineRule="auto"/>
        <w:tabs>
          <w:tab w:leader="none" w:pos="155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92"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7th day of April, 2025.</w:t>
      </w:r>
    </w:p>
    <w:p>
      <w:pPr>
        <w:sectPr>
          <w:pgSz w:w="11900" w:h="16838" w:orient="portrait"/>
          <w:cols w:equalWidth="0" w:num="1">
            <w:col w:w="9019"/>
          </w:cols>
          <w:pgMar w:left="1440" w:top="107" w:right="1440" w:bottom="1440" w:gutter="0" w:footer="0" w:header="0"/>
        </w:sectPr>
      </w:pPr>
    </w:p>
    <w:p>
      <w:pPr>
        <w:spacing w:after="0" w:line="3" w:lineRule="exact"/>
        <w:rPr>
          <w:sz w:val="20"/>
          <w:szCs w:val="20"/>
          <w:color w:val="auto"/>
        </w:rPr>
      </w:pPr>
    </w:p>
    <w:p>
      <w:pPr>
        <w:ind w:left="2700" w:hanging="1392"/>
        <w:spacing w:after="0"/>
        <w:tabs>
          <w:tab w:leader="none" w:pos="2700" w:val="left"/>
        </w:tabs>
        <w:numPr>
          <w:ilvl w:val="0"/>
          <w:numId w:val="21"/>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18415</wp:posOffset>
            </wp:positionV>
            <wp:extent cx="197612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Travis D. Stice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Kaes Van’t Hof</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Jere W. Thompson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Jere W. Thompson III</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Teresa L. Dick</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Steven 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Steven E. West</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Vincent K.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Vincent K. Brooks</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Darin G. Holderness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Darin G. Holderness</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David L.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David L. Houston</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Stephanie K. 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40640</wp:posOffset>
            </wp:positionV>
            <wp:extent cx="197612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Stephanie K. Mains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31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Chairman of the Board, Chief Executive Officer and</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(Principal Executive Officer)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Executive Vice President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Accounting Officer, Executive Vice President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Assistant Secretary (Principal Accounting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ectPr>
          <w:pgSz w:w="11900" w:h="16838" w:orient="portrait"/>
          <w:cols w:equalWidth="0" w:num="2">
            <w:col w:w="3700" w:space="720"/>
            <w:col w:w="4599"/>
          </w:cols>
          <w:pgMar w:left="1440" w:top="107" w:right="1440" w:bottom="1440" w:gutter="0" w:footer="0" w:header="0"/>
          <w:type w:val="continuous"/>
        </w:sectPr>
      </w:pP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0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3100" w:type="dxa"/>
            <w:vAlign w:val="bottom"/>
          </w:tcPr>
          <w:p>
            <w:pPr>
              <w:ind w:left="13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60" w:type="dxa"/>
            <w:vAlign w:val="bottom"/>
            <w:tcBorders>
              <w:top w:val="single" w:sz="8" w:color="auto"/>
            </w:tcBorders>
          </w:tcPr>
          <w:p>
            <w:pPr>
              <w:jc w:val="right"/>
              <w:ind w:right="1335"/>
              <w:spacing w:after="0"/>
              <w:rPr>
                <w:sz w:val="20"/>
                <w:szCs w:val="20"/>
                <w:color w:val="auto"/>
              </w:rPr>
            </w:pPr>
            <w:r>
              <w:rPr>
                <w:rFonts w:ascii="Times New Roman" w:cs="Times New Roman" w:eastAsia="Times New Roman" w:hAnsi="Times New Roman"/>
                <w:sz w:val="1"/>
                <w:szCs w:val="1"/>
                <w:color w:val="auto"/>
                <w:w w:val="4294942296"/>
              </w:rPr>
              <w:t>​</w:t>
            </w:r>
          </w:p>
        </w:tc>
        <w:tc>
          <w:tcPr>
            <w:tcW w:w="10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4"/>
                <w:szCs w:val="14"/>
                <w:color w:val="auto"/>
              </w:rPr>
            </w:pPr>
          </w:p>
        </w:tc>
        <w:tc>
          <w:tcPr>
            <w:tcW w:w="3100" w:type="dxa"/>
            <w:vAlign w:val="bottom"/>
            <w:tcBorders>
              <w:top w:val="single" w:sz="8" w:color="auto"/>
            </w:tcBorders>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Mark L. Plaumann</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Mark L. Plaumann</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Melanie M. Trent</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Melanie M. Trent</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Rebecca A. Klein</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Rebecca A. Klein</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Frank D. Tsuru</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Frank D. Tsuru</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Lance W. Robertson</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Lance W. Robertson</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Charles A. Meloy</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Charles A. Meloy</w:t>
            </w: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right"/>
              <w:ind w:right="1335"/>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1300"/>
        <w:spacing w:after="0" w:line="205" w:lineRule="auto"/>
        <w:rPr>
          <w:sz w:val="20"/>
          <w:szCs w:val="20"/>
          <w:color w:val="auto"/>
        </w:rPr>
      </w:pPr>
      <w:r>
        <w:rPr>
          <w:rFonts w:ascii="Times New Roman" w:cs="Times New Roman" w:eastAsia="Times New Roman" w:hAnsi="Times New Roman"/>
          <w:sz w:val="14"/>
          <w:szCs w:val="14"/>
          <w:color w:val="auto"/>
        </w:rPr>
        <w:t>/s/ Robert K. Reeves</w:t>
      </w:r>
    </w:p>
    <w:p>
      <w:pPr>
        <w:ind w:left="4580"/>
        <w:spacing w:after="0" w:line="204" w:lineRule="auto"/>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-26670</wp:posOffset>
            </wp:positionV>
            <wp:extent cx="197612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1976120" cy="698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Robert K. Reeves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121920</wp:posOffset>
            </wp:positionV>
            <wp:extent cx="1822450" cy="294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822450" cy="29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040" w:type="dxa"/>
        <w:tblCellMar>
          <w:top w:w="0" w:type="dxa"/>
          <w:left w:w="0" w:type="dxa"/>
          <w:bottom w:w="0" w:type="dxa"/>
          <w:right w:w="0" w:type="dxa"/>
        </w:tblCellMar>
      </w:tblPr>
      <w:tr>
        <w:trPr>
          <w:trHeight w:val="168"/>
        </w:trPr>
        <w:tc>
          <w:tcPr>
            <w:tcW w:w="3200" w:type="dxa"/>
            <w:vAlign w:val="bottom"/>
          </w:tcPr>
          <w:p>
            <w:pPr>
              <w:jc w:val="center"/>
              <w:ind w:right="2030"/>
              <w:spacing w:after="0"/>
              <w:rPr>
                <w:sz w:val="20"/>
                <w:szCs w:val="20"/>
                <w:color w:val="auto"/>
              </w:rPr>
            </w:pPr>
            <w:r>
              <w:rPr>
                <w:rFonts w:ascii="Times New Roman" w:cs="Times New Roman" w:eastAsia="Times New Roman" w:hAnsi="Times New Roman"/>
                <w:sz w:val="14"/>
                <w:szCs w:val="14"/>
                <w:color w:val="auto"/>
                <w:w w:val="99"/>
              </w:rPr>
              <w:t>609 Main Street</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jc w:val="center"/>
              <w:ind w:right="2010"/>
              <w:spacing w:after="0"/>
              <w:rPr>
                <w:sz w:val="20"/>
                <w:szCs w:val="20"/>
                <w:color w:val="auto"/>
              </w:rPr>
            </w:pPr>
            <w:r>
              <w:rPr>
                <w:rFonts w:ascii="Times New Roman" w:cs="Times New Roman" w:eastAsia="Times New Roman" w:hAnsi="Times New Roman"/>
                <w:sz w:val="14"/>
                <w:szCs w:val="14"/>
                <w:color w:val="auto"/>
              </w:rPr>
              <w:t>Houston, TX 77002</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tcPr>
          <w:p>
            <w:pPr>
              <w:jc w:val="center"/>
              <w:ind w:right="2030"/>
              <w:spacing w:after="0"/>
              <w:rPr>
                <w:sz w:val="20"/>
                <w:szCs w:val="20"/>
                <w:color w:val="auto"/>
              </w:rPr>
            </w:pPr>
            <w:r>
              <w:rPr>
                <w:rFonts w:ascii="Times New Roman" w:cs="Times New Roman" w:eastAsia="Times New Roman" w:hAnsi="Times New Roman"/>
                <w:sz w:val="14"/>
                <w:szCs w:val="14"/>
                <w:color w:val="auto"/>
                <w:w w:val="98"/>
              </w:rPr>
              <w:t>United States</w:t>
            </w:r>
          </w:p>
        </w:tc>
        <w:tc>
          <w:tcPr>
            <w:tcW w:w="30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Facsimile:</w:t>
            </w: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200" w:type="dxa"/>
            <w:vAlign w:val="bottom"/>
            <w:vMerge w:val="restart"/>
          </w:tcPr>
          <w:p>
            <w:pPr>
              <w:jc w:val="center"/>
              <w:ind w:right="2030"/>
              <w:spacing w:after="0"/>
              <w:rPr>
                <w:sz w:val="20"/>
                <w:szCs w:val="20"/>
                <w:color w:val="auto"/>
              </w:rPr>
            </w:pPr>
            <w:r>
              <w:rPr>
                <w:rFonts w:ascii="Times New Roman" w:cs="Times New Roman" w:eastAsia="Times New Roman" w:hAnsi="Times New Roman"/>
                <w:sz w:val="14"/>
                <w:szCs w:val="14"/>
                <w:color w:val="auto"/>
                <w:w w:val="98"/>
              </w:rPr>
              <w:t>+1 713 836 3600</w:t>
            </w: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+1 713 836 3601</w:t>
            </w:r>
          </w:p>
        </w:tc>
        <w:tc>
          <w:tcPr>
            <w:tcW w:w="0" w:type="dxa"/>
            <w:vAlign w:val="bottom"/>
          </w:tcPr>
          <w:p>
            <w:pPr>
              <w:spacing w:after="0"/>
              <w:rPr>
                <w:sz w:val="1"/>
                <w:szCs w:val="1"/>
                <w:color w:val="auto"/>
              </w:rPr>
            </w:pPr>
          </w:p>
        </w:tc>
      </w:tr>
      <w:tr>
        <w:trPr>
          <w:trHeight w:val="84"/>
        </w:trPr>
        <w:tc>
          <w:tcPr>
            <w:tcW w:w="320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3200" w:type="dxa"/>
            <w:vAlign w:val="bottom"/>
          </w:tcPr>
          <w:p>
            <w:pPr>
              <w:jc w:val="center"/>
              <w:ind w:right="2030"/>
              <w:spacing w:after="0"/>
              <w:rPr>
                <w:sz w:val="20"/>
                <w:szCs w:val="20"/>
                <w:color w:val="auto"/>
              </w:rPr>
            </w:pPr>
            <w:r>
              <w:rPr>
                <w:rFonts w:ascii="Times New Roman" w:cs="Times New Roman" w:eastAsia="Times New Roman" w:hAnsi="Times New Roman"/>
                <w:sz w:val="14"/>
                <w:szCs w:val="14"/>
                <w:color w:val="auto"/>
                <w:w w:val="98"/>
              </w:rPr>
              <w:t>www.kirkland.com</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April 7, 2025</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Diamondback Energy,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West Texas, Suite 100</w:t>
      </w:r>
    </w:p>
    <w:p>
      <w:pPr>
        <w:spacing w:after="0"/>
        <w:rPr>
          <w:sz w:val="20"/>
          <w:szCs w:val="20"/>
          <w:color w:val="auto"/>
        </w:rPr>
      </w:pPr>
      <w:r>
        <w:rPr>
          <w:rFonts w:ascii="Times New Roman" w:cs="Times New Roman" w:eastAsia="Times New Roman" w:hAnsi="Times New Roman"/>
          <w:sz w:val="17"/>
          <w:szCs w:val="17"/>
          <w:color w:val="auto"/>
        </w:rPr>
        <w:t>Midland, TX 79701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3"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4"/>
          <w:szCs w:val="14"/>
          <w:color w:val="auto"/>
        </w:rPr>
        <w:t>We are issuing this opinion letter in our capacity as special counsel to Diamondback Energy,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preparation of the Registration Statement on Form S-3ASR (as amended or supplemented,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filed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on April 7, 2025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by the Company. The Registration Statement relates to the sale from time to time, pursuant to Rule 415 of the General Rules and Regulations promulgated under the Securities Act, of up to 6,842,625 shares of common stock, par value $0.01 per share, of the Company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to be sold by certain stockholders of the Company (the “</w:t>
      </w:r>
      <w:r>
        <w:rPr>
          <w:rFonts w:ascii="Times New Roman" w:cs="Times New Roman" w:eastAsia="Times New Roman" w:hAnsi="Times New Roman"/>
          <w:sz w:val="14"/>
          <w:szCs w:val="14"/>
          <w:b w:val="1"/>
          <w:bCs w:val="1"/>
          <w:i w:val="1"/>
          <w:iCs w:val="1"/>
          <w:color w:val="auto"/>
        </w:rPr>
        <w:t>Selling Stockholders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In connection with the registration of the Shares, we have examined originals, or copies certified or otherwise identified to our satisfaction, of such documents, corporate records and other instruments as we have deemed necessary for the purposes of this opinion, including (i) the Registration Statement and the exhibits thereto, (ii) the organizational documents of the Company and (iii) the minutes and records of the corporate proceedings of the Company with respect to the issuance of the Shares and the Registration Statement and the exhibits thereto.</w:t>
      </w:r>
    </w:p>
    <w:p>
      <w:pPr>
        <w:spacing w:after="0" w:line="136"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For purposes of this opinion, we have assumed the authenticity of all documents submitted to us as originals, the conformity to the originals of all documents s 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 and others as to factual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Austin Bay Area Beijing Boston Brussels Chicago Dallas Hong Kong London Los Angeles Munich New York Paris Riyadh Salt Lake City Shanghai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1628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3036570</wp:posOffset>
            </wp:positionH>
            <wp:positionV relativeFrom="page">
              <wp:posOffset>476250</wp:posOffset>
            </wp:positionV>
            <wp:extent cx="1475105" cy="146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146685"/>
                    </a:xfrm>
                    <a:prstGeom prst="rect">
                      <a:avLst/>
                    </a:prstGeom>
                    <a:noFill/>
                  </pic:spPr>
                </pic:pic>
              </a:graphicData>
            </a:graphic>
          </wp:anchor>
        </w:drawing>
        <w:t>April 7,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also assumed that:</w:t>
      </w:r>
    </w:p>
    <w:p>
      <w:pPr>
        <w:spacing w:after="0" w:line="175" w:lineRule="exact"/>
        <w:rPr>
          <w:sz w:val="20"/>
          <w:szCs w:val="20"/>
          <w:color w:val="auto"/>
        </w:rPr>
      </w:pPr>
    </w:p>
    <w:p>
      <w:pPr>
        <w:ind w:left="680" w:hanging="171"/>
        <w:spacing w:after="0"/>
        <w:tabs>
          <w:tab w:leader="none" w:pos="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will be effective and will comply with all applicable laws at the time the Shares are offered or sold as contemplated by the Registration Statement;</w:t>
      </w:r>
    </w:p>
    <w:p>
      <w:pPr>
        <w:spacing w:after="0" w:line="173" w:lineRule="exact"/>
        <w:rPr>
          <w:rFonts w:ascii="Times New Roman" w:cs="Times New Roman" w:eastAsia="Times New Roman" w:hAnsi="Times New Roman"/>
          <w:sz w:val="14"/>
          <w:szCs w:val="14"/>
          <w:color w:val="auto"/>
        </w:rPr>
      </w:pPr>
    </w:p>
    <w:p>
      <w:pPr>
        <w:ind w:firstLine="509"/>
        <w:spacing w:after="0" w:line="286" w:lineRule="auto"/>
        <w:tabs>
          <w:tab w:leader="none" w:pos="72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prospectus supplement or term sheet, as applicable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will have been prepared and filed with the Commission describing the Shares offered thereby and will comply with all applicable laws; and</w:t>
      </w:r>
    </w:p>
    <w:p>
      <w:pPr>
        <w:spacing w:after="0" w:line="122"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will be sold in compliance with applicable federal and state securities laws and in the manner stated in the Registration Statement and, if applicable, the appropriate Prospectus</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w:t>
      </w:r>
    </w:p>
    <w:p>
      <w:pPr>
        <w:spacing w:after="0" w:line="16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Based upon and subject to the foregoing qualifications, assumptions and limitations and the further limitations set forth below, we are of the opinion that, with respect to the Shares to be offered by the Selling Stockholders pursuant to the Registration Statement, such Shares are validly issued, fully paid and nonassessable.</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Our opinion expressed above is subject to the qualifications that we express no opinion as to the applicability of, compliance with, or effect of any laws except the General Corporation Law of the State of Delaware, including the applicable provisions of the Delaware constitution and reported judicial decisions interpreting these laws.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do not find it necessary for the purposes of this opinion, and accordingly we do not purport to cover herein, the application of the securities or “Blue Sky” laws of the various states to the sale of the Shares.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This opinion is limited to the specific issues addressed herein, and no opinion may be inferred or implied beyond that expressly stated herein. This opinion speaks only as of the date hereof, and we assume no obligation to revise or supplement this opinion should the present federal securities laws of the United States or the General Corporation Law of the State of Delaware be changed by legislative action, judicial decision or otherwise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71628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3036570</wp:posOffset>
            </wp:positionH>
            <wp:positionV relativeFrom="page">
              <wp:posOffset>476250</wp:posOffset>
            </wp:positionV>
            <wp:extent cx="1475105" cy="146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146685"/>
                    </a:xfrm>
                    <a:prstGeom prst="rect">
                      <a:avLst/>
                    </a:prstGeom>
                    <a:noFill/>
                  </pic:spPr>
                </pic:pic>
              </a:graphicData>
            </a:graphic>
          </wp:anchor>
        </w:drawing>
        <w:t>April 7,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This opinion is furnished to you in connection with the filing of the Registration Statement in accordance with the requirements of Item 601(b)(5) of Regulation S-K under the Securities Act, and is not to be used, circulated, quoted or otherwise relied upon for any other purpose. No opinion is expressed herein as to any matter pertaining to the contents of the Registration Statement, other than as to the specific issues addressed herein, and no opinion may be inferred or implied beyond that expressly stated herein.</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Kirkland &amp; Ellis LLP</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134"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issued our reports dated February 26, 2025 with respect to the consolidated financial statements and internal control over financial reporting of Diamondback Energy, Inc. included in the Annual Report on Form 10-K for the year ended December 31, 2024,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Oklahoma City, Oklahoma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338455</wp:posOffset>
            </wp:positionV>
            <wp:extent cx="71628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CERTIFIED PUBLIC ACCOUNTANTS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issued our report dated March 13, 2024 with respect to the consolidated financial statements of Endeavor Parent, LLC included in the Current Report of Diamondback Energy, Inc. on Form 8-K filed April 8, 2024, which are incorporated by reference in this Registration Statement. We consent to the incorporation by reference of the aforementioned report in this Registration Statement, and to the use of our name as it appears under the caption “Experts.”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338455</wp:posOffset>
            </wp:positionV>
            <wp:extent cx="71628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909445" cy="467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90944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TBPELS REGISTERED ENGINEERING FIRM F-1580</w:t>
      </w:r>
    </w:p>
    <w:p>
      <w:pPr>
        <w:sectPr>
          <w:pgSz w:w="11900" w:h="16838" w:orient="portrait"/>
          <w:cols w:equalWidth="0" w:num="1">
            <w:col w:w="11280"/>
          </w:cols>
          <w:pgMar w:left="300" w:top="304" w:right="319" w:bottom="1440" w:gutter="0" w:footer="0" w:header="0"/>
        </w:sectPr>
      </w:pP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1100 LOUISIANA SUITE 4600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77002-5294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(713) 651-9191</w:t>
      </w:r>
    </w:p>
    <w:p>
      <w:pPr>
        <w:spacing w:after="0" w:line="159" w:lineRule="exact"/>
        <w:rPr>
          <w:sz w:val="20"/>
          <w:szCs w:val="20"/>
          <w:color w:val="auto"/>
        </w:rPr>
      </w:pPr>
    </w:p>
    <w:p>
      <w:pPr>
        <w:sectPr>
          <w:pgSz w:w="11900" w:h="16838" w:orient="portrait"/>
          <w:cols w:equalWidth="0" w:num="3">
            <w:col w:w="5280" w:space="720"/>
            <w:col w:w="2840" w:space="720"/>
            <w:col w:w="1720"/>
          </w:cols>
          <w:pgMar w:left="300" w:top="30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RYDER SCOTT COMPANY, L.P.</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have issued our report dated January 13, 2025 on the audit of estimated quantities of proved reserves, future production and income attributable to certain leasehold interest of Diamondback Energy, Inc. (“Diamondback”) as of December 31, 2024 (the “Report”) included in Diamondback’s Annual Report on Form 10-K for the year ended December 31, 2024 (the “Annual Report”). As independent oil and gas consultants, we hereby consent to (i) the incorporation by reference of the Report in this Registration Statement on Form S-3ASR of Diamondback (this “Registration Statement”), (ii) the use in this Registration Statement of the information contained in the Report and in our prior reserve reports referenced in this Registration Statement or in the Annual Report, which is incorporated by reference in this Registration Statement, and (iii) all references to our firm in this Registration Statement. We further consent to the reference to our firm under the heading “Experts” in this Registration Statement.</w:t>
      </w:r>
    </w:p>
    <w:p>
      <w:pPr>
        <w:spacing w:after="0" w:line="1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RYDER SCOTT COMPANY, L.P.</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RYDER SCOTT COMPANY, L.P.</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TBPELS Firm Registration No. F-1580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jc w:val="center"/>
              <w:ind w:right="1170"/>
              <w:spacing w:after="0"/>
              <w:rPr>
                <w:sz w:val="20"/>
                <w:szCs w:val="20"/>
                <w:color w:val="auto"/>
              </w:rPr>
            </w:pPr>
            <w:r>
              <w:rPr>
                <w:rFonts w:ascii="Times New Roman" w:cs="Times New Roman" w:eastAsia="Times New Roman" w:hAnsi="Times New Roman"/>
                <w:sz w:val="14"/>
                <w:szCs w:val="14"/>
                <w:color w:val="auto"/>
                <w:w w:val="98"/>
              </w:rPr>
              <w:t>SUITE 2800, 350 7TH AVENUE, S.W.</w:t>
            </w:r>
          </w:p>
        </w:tc>
        <w:tc>
          <w:tcPr>
            <w:tcW w:w="420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w w:val="98"/>
              </w:rPr>
              <w:t>CALGARY, ALBERTA T2P 3N9</w:t>
            </w:r>
          </w:p>
        </w:tc>
        <w:tc>
          <w:tcPr>
            <w:tcW w:w="36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TEL (403) 262-2799</w:t>
            </w:r>
          </w:p>
        </w:tc>
      </w:tr>
      <w:tr>
        <w:trPr>
          <w:trHeight w:val="183"/>
        </w:trPr>
        <w:tc>
          <w:tcPr>
            <w:tcW w:w="3460" w:type="dxa"/>
            <w:vAlign w:val="bottom"/>
          </w:tcPr>
          <w:p>
            <w:pPr>
              <w:jc w:val="center"/>
              <w:ind w:right="1210"/>
              <w:spacing w:after="0"/>
              <w:rPr>
                <w:sz w:val="20"/>
                <w:szCs w:val="20"/>
                <w:color w:val="auto"/>
              </w:rPr>
            </w:pPr>
            <w:r>
              <w:rPr>
                <w:rFonts w:ascii="Times New Roman" w:cs="Times New Roman" w:eastAsia="Times New Roman" w:hAnsi="Times New Roman"/>
                <w:sz w:val="14"/>
                <w:szCs w:val="14"/>
                <w:color w:val="auto"/>
                <w:w w:val="99"/>
              </w:rPr>
              <w:t>633 17TH STREET, SUITE 1700</w:t>
            </w:r>
          </w:p>
        </w:tc>
        <w:tc>
          <w:tcPr>
            <w:tcW w:w="420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rPr>
              <w:t>DENVER, COLORADO 80202</w:t>
            </w:r>
          </w:p>
        </w:tc>
        <w:tc>
          <w:tcPr>
            <w:tcW w:w="36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TEL (303) 339-8110</w:t>
            </w:r>
          </w:p>
        </w:tc>
      </w:tr>
      <w:tr>
        <w:trPr>
          <w:trHeight w:val="526"/>
        </w:trPr>
        <w:tc>
          <w:tcPr>
            <w:tcW w:w="3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4" w:right="319" w:bottom="1440" w:gutter="0" w:footer="0" w:header="0"/>
          <w:type w:val="continuous"/>
        </w:sectPr>
      </w:pPr>
    </w:p>
    <w:bookmarkStart w:id="36" w:name="page37"/>
    <w:bookmarkEnd w:id="36"/>
    <w:p>
      <w:pPr>
        <w:ind w:left="10420"/>
        <w:spacing w:after="0"/>
        <w:rPr>
          <w:sz w:val="20"/>
          <w:szCs w:val="20"/>
          <w:color w:val="auto"/>
        </w:rPr>
      </w:pPr>
      <w:r>
        <w:rPr>
          <w:rFonts w:ascii="Times New Roman" w:cs="Times New Roman" w:eastAsia="Times New Roman" w:hAnsi="Times New Roman"/>
          <w:sz w:val="16"/>
          <w:szCs w:val="16"/>
          <w:b w:val="1"/>
          <w:bCs w:val="1"/>
          <w:color w:val="auto"/>
        </w:rPr>
        <w:t>Exhibit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1902460" cy="4737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1902460"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TBPELS REGISTERED ENGINEERING FIRM F-1580</w:t>
      </w:r>
    </w:p>
    <w:p>
      <w:pPr>
        <w:sectPr>
          <w:pgSz w:w="11900" w:h="16838" w:orient="portrait"/>
          <w:cols w:equalWidth="0" w:num="1">
            <w:col w:w="11280"/>
          </w:cols>
          <w:pgMar w:left="300" w:top="304" w:right="319" w:bottom="1440" w:gutter="0" w:footer="0" w:header="0"/>
        </w:sectPr>
      </w:pP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1100 LOUISIANA SUITE 4600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77002-5294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(713) 651-9191</w:t>
      </w:r>
    </w:p>
    <w:p>
      <w:pPr>
        <w:spacing w:after="0" w:line="159" w:lineRule="exact"/>
        <w:rPr>
          <w:sz w:val="20"/>
          <w:szCs w:val="20"/>
          <w:color w:val="auto"/>
        </w:rPr>
      </w:pPr>
    </w:p>
    <w:p>
      <w:pPr>
        <w:sectPr>
          <w:pgSz w:w="11900" w:h="16838" w:orient="portrait"/>
          <w:cols w:equalWidth="0" w:num="3">
            <w:col w:w="5280" w:space="720"/>
            <w:col w:w="2840" w:space="720"/>
            <w:col w:w="1720"/>
          </w:cols>
          <w:pgMar w:left="300" w:top="30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RYDER SCOTT COMPANY, L.P.</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have issued our report dated January 13, 2025 on the audit of estimated quantities of proved reserves, future production and income attributable to certain royalty interests of Viper Energy Partners LP, a subsidiary of Diamondback Energy, Inc. (“Diamondback”), as of December 31, 2024 (the “Report”) included in Diamondback’s Annual Report on Form 10-K for the year ended December 31, 2024 (the “Annual Report”). As independent oil and gas consultants, we hereby consent to (i) the incorporation by reference of the Report in this Registration Statement on Form S-3ASR of Diamondback (this “Registration Statement”), (ii) the use in this Registration Statement of the information contained in the Report and in our prior reserve reports referenced in this Registration Statement or in the Annual Report, which is incorporated by reference in this Registration Statement, and (iii) all references to our firm in this Registration Statement. We further consent to the reference to our firm under the heading “Experts” in this Registration Statement.</w:t>
      </w:r>
    </w:p>
    <w:p>
      <w:pPr>
        <w:spacing w:after="0" w:line="1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RYDER SCOTT COMPANY, L.P.</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RYDER SCOTT COMPANY, L.P.</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TBPELS Firm Registration No. F-1580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jc w:val="center"/>
              <w:ind w:right="1170"/>
              <w:spacing w:after="0"/>
              <w:rPr>
                <w:sz w:val="20"/>
                <w:szCs w:val="20"/>
                <w:color w:val="auto"/>
              </w:rPr>
            </w:pPr>
            <w:r>
              <w:rPr>
                <w:rFonts w:ascii="Times New Roman" w:cs="Times New Roman" w:eastAsia="Times New Roman" w:hAnsi="Times New Roman"/>
                <w:sz w:val="14"/>
                <w:szCs w:val="14"/>
                <w:color w:val="auto"/>
                <w:w w:val="98"/>
              </w:rPr>
              <w:t>SUITE 2800, 350 7TH AVENUE, S.W.</w:t>
            </w:r>
          </w:p>
        </w:tc>
        <w:tc>
          <w:tcPr>
            <w:tcW w:w="420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w w:val="98"/>
              </w:rPr>
              <w:t>CALGARY, ALBERTA T2P 3N9</w:t>
            </w:r>
          </w:p>
        </w:tc>
        <w:tc>
          <w:tcPr>
            <w:tcW w:w="36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TEL (403) 262-2799</w:t>
            </w:r>
          </w:p>
        </w:tc>
      </w:tr>
      <w:tr>
        <w:trPr>
          <w:trHeight w:val="183"/>
        </w:trPr>
        <w:tc>
          <w:tcPr>
            <w:tcW w:w="3460" w:type="dxa"/>
            <w:vAlign w:val="bottom"/>
          </w:tcPr>
          <w:p>
            <w:pPr>
              <w:jc w:val="center"/>
              <w:ind w:right="1210"/>
              <w:spacing w:after="0"/>
              <w:rPr>
                <w:sz w:val="20"/>
                <w:szCs w:val="20"/>
                <w:color w:val="auto"/>
              </w:rPr>
            </w:pPr>
            <w:r>
              <w:rPr>
                <w:rFonts w:ascii="Times New Roman" w:cs="Times New Roman" w:eastAsia="Times New Roman" w:hAnsi="Times New Roman"/>
                <w:sz w:val="14"/>
                <w:szCs w:val="14"/>
                <w:color w:val="auto"/>
                <w:w w:val="99"/>
              </w:rPr>
              <w:t>633 17TH STREET, SUITE 1700</w:t>
            </w:r>
          </w:p>
        </w:tc>
        <w:tc>
          <w:tcPr>
            <w:tcW w:w="420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rPr>
              <w:t>DENVER, COLORADO 80202</w:t>
            </w:r>
          </w:p>
        </w:tc>
        <w:tc>
          <w:tcPr>
            <w:tcW w:w="36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TEL (303) 339-8110</w:t>
            </w:r>
          </w:p>
        </w:tc>
      </w:tr>
      <w:tr>
        <w:trPr>
          <w:trHeight w:val="526"/>
        </w:trPr>
        <w:tc>
          <w:tcPr>
            <w:tcW w:w="3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4" w:right="319" w:bottom="1440" w:gutter="0" w:footer="0" w:header="0"/>
          <w:type w:val="continuous"/>
        </w:sectPr>
      </w:pPr>
    </w:p>
    <w:bookmarkStart w:id="37" w:name="page38"/>
    <w:bookmarkEnd w:id="37"/>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Diamondback Energy, Inc.</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33655</wp:posOffset>
            </wp:positionV>
            <wp:extent cx="7214235" cy="390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214235" cy="3904615"/>
                    </a:xfrm>
                    <a:prstGeom prst="rect">
                      <a:avLst/>
                    </a:prstGeom>
                    <a:noFill/>
                  </pic:spPr>
                </pic:pic>
              </a:graphicData>
            </a:graphic>
          </wp:anchor>
        </w:drawing>
      </w:r>
    </w:p>
    <w:p>
      <w:pPr>
        <w:sectPr>
          <w:pgSz w:w="11900" w:h="16838" w:orient="portrait"/>
          <w:cols w:equalWidth="0" w:num="1">
            <w:col w:w="11280"/>
          </w:cols>
          <w:pgMar w:left="340" w:top="142" w:right="27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652"/>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ind w:left="2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90"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line="168" w:lineRule="exact"/>
              <w:rPr>
                <w:sz w:val="20"/>
                <w:szCs w:val="20"/>
                <w:color w:val="auto"/>
              </w:rPr>
            </w:pPr>
            <w:r>
              <w:rPr>
                <w:rFonts w:ascii="Arial" w:cs="Arial" w:eastAsia="Arial" w:hAnsi="Arial"/>
                <w:sz w:val="17"/>
                <w:szCs w:val="17"/>
                <w:color w:val="auto"/>
              </w:rPr>
              <w:t>1 Equity</w:t>
            </w:r>
          </w:p>
        </w:tc>
        <w:tc>
          <w:tcPr>
            <w:tcW w:w="20" w:type="dxa"/>
            <w:vAlign w:val="bottom"/>
          </w:tcPr>
          <w:p>
            <w:pPr>
              <w:spacing w:after="0"/>
              <w:rPr>
                <w:sz w:val="14"/>
                <w:szCs w:val="14"/>
                <w:color w:val="auto"/>
              </w:rPr>
            </w:pPr>
          </w:p>
        </w:tc>
        <w:tc>
          <w:tcPr>
            <w:tcW w:w="720" w:type="dxa"/>
            <w:vAlign w:val="bottom"/>
          </w:tcPr>
          <w:p>
            <w:pPr>
              <w:ind w:left="20"/>
              <w:spacing w:after="0" w:line="168"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Arial" w:cs="Arial" w:eastAsia="Arial" w:hAnsi="Arial"/>
                <w:sz w:val="17"/>
                <w:szCs w:val="17"/>
                <w:color w:val="auto"/>
                <w:w w:val="97"/>
              </w:rPr>
              <w:t>457(a)</w:t>
            </w:r>
          </w:p>
        </w:tc>
        <w:tc>
          <w:tcPr>
            <w:tcW w:w="920" w:type="dxa"/>
            <w:vAlign w:val="bottom"/>
            <w:gridSpan w:val="2"/>
          </w:tcPr>
          <w:p>
            <w:pPr>
              <w:jc w:val="right"/>
              <w:spacing w:after="0" w:line="168" w:lineRule="exact"/>
              <w:rPr>
                <w:sz w:val="20"/>
                <w:szCs w:val="20"/>
                <w:color w:val="auto"/>
              </w:rPr>
            </w:pPr>
            <w:r>
              <w:rPr>
                <w:rFonts w:ascii="Arial" w:cs="Arial" w:eastAsia="Arial" w:hAnsi="Arial"/>
                <w:sz w:val="17"/>
                <w:szCs w:val="17"/>
                <w:color w:val="auto"/>
              </w:rPr>
              <w:t>6,842,625</w:t>
            </w:r>
          </w:p>
        </w:tc>
        <w:tc>
          <w:tcPr>
            <w:tcW w:w="820" w:type="dxa"/>
            <w:vAlign w:val="bottom"/>
            <w:gridSpan w:val="2"/>
          </w:tcPr>
          <w:p>
            <w:pPr>
              <w:jc w:val="right"/>
              <w:spacing w:after="0" w:line="168" w:lineRule="exact"/>
              <w:rPr>
                <w:sz w:val="20"/>
                <w:szCs w:val="20"/>
                <w:color w:val="auto"/>
              </w:rPr>
            </w:pPr>
            <w:r>
              <w:rPr>
                <w:rFonts w:ascii="Arial" w:cs="Arial" w:eastAsia="Arial" w:hAnsi="Arial"/>
                <w:sz w:val="17"/>
                <w:szCs w:val="17"/>
                <w:color w:val="auto"/>
              </w:rPr>
              <w:t>$ 123.14</w:t>
            </w:r>
          </w:p>
        </w:tc>
        <w:tc>
          <w:tcPr>
            <w:tcW w:w="1220" w:type="dxa"/>
            <w:vAlign w:val="bottom"/>
            <w:gridSpan w:val="2"/>
            <w:vMerge w:val="continue"/>
          </w:tcPr>
          <w:p>
            <w:pPr>
              <w:spacing w:after="0"/>
              <w:rPr>
                <w:sz w:val="14"/>
                <w:szCs w:val="14"/>
                <w:color w:val="auto"/>
              </w:rPr>
            </w:pPr>
          </w:p>
        </w:tc>
        <w:tc>
          <w:tcPr>
            <w:tcW w:w="840" w:type="dxa"/>
            <w:vAlign w:val="bottom"/>
            <w:gridSpan w:val="2"/>
          </w:tcPr>
          <w:p>
            <w:pPr>
              <w:jc w:val="right"/>
              <w:spacing w:after="0" w:line="168" w:lineRule="exact"/>
              <w:rPr>
                <w:sz w:val="20"/>
                <w:szCs w:val="20"/>
                <w:color w:val="auto"/>
              </w:rPr>
            </w:pPr>
            <w:r>
              <w:rPr>
                <w:rFonts w:ascii="Arial" w:cs="Arial" w:eastAsia="Arial" w:hAnsi="Arial"/>
                <w:sz w:val="17"/>
                <w:szCs w:val="17"/>
                <w:color w:val="auto"/>
              </w:rPr>
              <w:t>0.0001531</w:t>
            </w:r>
          </w:p>
        </w:tc>
        <w:tc>
          <w:tcPr>
            <w:tcW w:w="1040" w:type="dxa"/>
            <w:vAlign w:val="bottom"/>
            <w:gridSpan w:val="2"/>
          </w:tcPr>
          <w:p>
            <w:pPr>
              <w:jc w:val="center"/>
              <w:spacing w:after="0" w:line="168" w:lineRule="exact"/>
              <w:rPr>
                <w:sz w:val="20"/>
                <w:szCs w:val="20"/>
                <w:color w:val="auto"/>
              </w:rPr>
            </w:pPr>
            <w:r>
              <w:rPr>
                <w:rFonts w:ascii="Arial" w:cs="Arial" w:eastAsia="Arial" w:hAnsi="Arial"/>
                <w:sz w:val="17"/>
                <w:szCs w:val="17"/>
                <w:color w:val="auto"/>
                <w:w w:val="98"/>
              </w:rPr>
              <w:t>$ 129,002.19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line="37" w:lineRule="exact"/>
              <w:rPr>
                <w:sz w:val="20"/>
                <w:szCs w:val="20"/>
                <w:color w:val="auto"/>
              </w:rPr>
            </w:pPr>
            <w:r>
              <w:rPr>
                <w:rFonts w:ascii="Arial" w:cs="Arial" w:eastAsia="Arial" w:hAnsi="Arial"/>
                <w:sz w:val="4"/>
                <w:szCs w:val="4"/>
                <w:color w:val="auto"/>
              </w:rPr>
              <w:t>be Paid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gridSpan w:val="2"/>
          </w:tcPr>
          <w:p>
            <w:pPr>
              <w:jc w:val="right"/>
              <w:spacing w:after="0" w:line="37" w:lineRule="exact"/>
              <w:rPr>
                <w:sz w:val="20"/>
                <w:szCs w:val="20"/>
                <w:color w:val="auto"/>
              </w:rPr>
            </w:pPr>
            <w:r>
              <w:rPr>
                <w:rFonts w:ascii="Arial" w:cs="Arial" w:eastAsia="Arial" w:hAnsi="Arial"/>
                <w:sz w:val="4"/>
                <w:szCs w:val="4"/>
                <w:color w:val="auto"/>
              </w:rPr>
              <w:t>842,600,842.50</w:t>
            </w: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680"/>
        <w:spacing w:after="0" w:line="232" w:lineRule="auto"/>
        <w:rPr>
          <w:sz w:val="20"/>
          <w:szCs w:val="20"/>
          <w:color w:val="auto"/>
        </w:rPr>
      </w:pPr>
      <w:r>
        <w:rPr>
          <w:rFonts w:ascii="Arial" w:cs="Arial" w:eastAsia="Arial" w:hAnsi="Arial"/>
          <w:sz w:val="17"/>
          <w:szCs w:val="17"/>
          <w:color w:val="auto"/>
        </w:rPr>
        <w:t>$0.01</w:t>
      </w:r>
    </w:p>
    <w:p>
      <w:pPr>
        <w:ind w:left="1680"/>
        <w:spacing w:after="0" w:line="232"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share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Previously</w:t>
      </w:r>
    </w:p>
    <w:p>
      <w:pPr>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14" w:lineRule="exact"/>
        <w:rPr>
          <w:sz w:val="20"/>
          <w:szCs w:val="20"/>
          <w:color w:val="auto"/>
        </w:rPr>
      </w:pPr>
    </w:p>
    <w:tbl>
      <w:tblPr>
        <w:tblLayout w:type="fixed"/>
        <w:tblInd w:w="2480" w:type="dxa"/>
        <w:tblCellMar>
          <w:top w:w="0" w:type="dxa"/>
          <w:left w:w="0" w:type="dxa"/>
          <w:bottom w:w="0" w:type="dxa"/>
          <w:right w:w="0" w:type="dxa"/>
        </w:tblCellMar>
      </w:tblP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0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$ 129,002.19</w:t>
            </w:r>
          </w:p>
        </w:tc>
      </w:tr>
      <w:tr>
        <w:trPr>
          <w:trHeight w:val="222"/>
        </w:trPr>
        <w:tc>
          <w:tcPr>
            <w:tcW w:w="2180" w:type="dxa"/>
            <w:vAlign w:val="bottom"/>
          </w:tcPr>
          <w:p>
            <w:pPr>
              <w:spacing w:after="0"/>
              <w:rPr>
                <w:sz w:val="19"/>
                <w:szCs w:val="19"/>
                <w:color w:val="auto"/>
              </w:rPr>
            </w:pPr>
          </w:p>
        </w:tc>
        <w:tc>
          <w:tcPr>
            <w:tcW w:w="2060" w:type="dxa"/>
            <w:vAlign w:val="bottom"/>
          </w:tcPr>
          <w:p>
            <w:pPr>
              <w:jc w:val="right"/>
              <w:ind w:right="356"/>
              <w:spacing w:after="0"/>
              <w:rPr>
                <w:sz w:val="20"/>
                <w:szCs w:val="20"/>
                <w:color w:val="auto"/>
              </w:rPr>
            </w:pPr>
            <w:r>
              <w:rPr>
                <w:rFonts w:ascii="Arial" w:cs="Arial" w:eastAsia="Arial" w:hAnsi="Arial"/>
                <w:sz w:val="17"/>
                <w:szCs w:val="17"/>
                <w:color w:val="auto"/>
              </w:rPr>
              <w:t>842,600,842.50</w:t>
            </w: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1"/>
        <w:spacing w:after="0" w:line="188"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800" w:right="60" w:hanging="837"/>
        <w:spacing w:after="0" w:line="246" w:lineRule="auto"/>
        <w:tabs>
          <w:tab w:leader="none" w:pos="780" w:val="left"/>
        </w:tabs>
        <w:rPr>
          <w:sz w:val="20"/>
          <w:szCs w:val="20"/>
          <w:color w:val="auto"/>
        </w:rPr>
      </w:pPr>
      <w:r>
        <w:rPr>
          <w:rFonts w:ascii="Arial" w:cs="Arial" w:eastAsia="Arial" w:hAnsi="Arial"/>
          <w:sz w:val="33"/>
          <w:szCs w:val="33"/>
          <w:b w:val="1"/>
          <w:bCs w:val="1"/>
          <w:color w:val="auto"/>
          <w:vertAlign w:val="subscript"/>
        </w:rPr>
        <w:t>Date</w:t>
      </w:r>
      <w:r>
        <w:rPr>
          <w:sz w:val="20"/>
          <w:szCs w:val="20"/>
          <w:color w:val="auto"/>
        </w:rPr>
        <w:tab/>
      </w:r>
      <w:r>
        <w:rPr>
          <w:rFonts w:ascii="Arial" w:cs="Arial" w:eastAsia="Arial" w:hAnsi="Arial"/>
          <w:sz w:val="16"/>
          <w:szCs w:val="16"/>
          <w:b w:val="1"/>
          <w:bCs w:val="1"/>
          <w:color w:val="auto"/>
        </w:rPr>
        <w:t>Securities to be</w:t>
      </w:r>
    </w:p>
    <w:p>
      <w:pPr>
        <w:ind w:left="900"/>
        <w:spacing w:after="0" w:line="233"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Forward</w:t>
      </w:r>
    </w:p>
    <w:p>
      <w:pPr>
        <w:spacing w:after="0" w:line="3488" w:lineRule="exact"/>
        <w:rPr>
          <w:sz w:val="20"/>
          <w:szCs w:val="20"/>
          <w:color w:val="auto"/>
        </w:rPr>
      </w:pPr>
    </w:p>
    <w:p>
      <w:pPr>
        <w:sectPr>
          <w:pgSz w:w="11900" w:h="16838" w:orient="portrait"/>
          <w:cols w:equalWidth="0" w:num="2">
            <w:col w:w="9580" w:space="40"/>
            <w:col w:w="1660"/>
          </w:cols>
          <w:pgMar w:left="340" w:top="142" w:right="279" w:bottom="1440" w:gutter="0" w:footer="0" w:header="0"/>
          <w:type w:val="continuous"/>
        </w:sectPr>
      </w:pPr>
    </w:p>
    <w:tbl>
      <w:tblPr>
        <w:tblLayout w:type="fixed"/>
        <w:tblInd w:w="2200" w:type="dxa"/>
        <w:tblCellMar>
          <w:top w:w="0" w:type="dxa"/>
          <w:left w:w="0" w:type="dxa"/>
          <w:bottom w:w="0" w:type="dxa"/>
          <w:right w:w="0" w:type="dxa"/>
        </w:tblCellMar>
      </w:tblPr>
      <w:tr>
        <w:trPr>
          <w:trHeight w:val="222"/>
        </w:trPr>
        <w:tc>
          <w:tcPr>
            <w:tcW w:w="3500" w:type="dxa"/>
            <w:vAlign w:val="bottom"/>
          </w:tcPr>
          <w:p>
            <w:pPr>
              <w:jc w:val="right"/>
              <w:ind w:right="1376"/>
              <w:spacing w:after="0"/>
              <w:rPr>
                <w:sz w:val="20"/>
                <w:szCs w:val="20"/>
                <w:color w:val="auto"/>
              </w:rPr>
            </w:pPr>
            <w:r>
              <w:rPr>
                <w:rFonts w:ascii="Arial" w:cs="Arial" w:eastAsia="Arial" w:hAnsi="Arial"/>
                <w:sz w:val="17"/>
                <w:szCs w:val="17"/>
                <w:color w:val="auto"/>
                <w:w w:val="97"/>
              </w:rPr>
              <w:t>Total Fees Previously Paid:</w:t>
            </w:r>
          </w:p>
        </w:tc>
        <w:tc>
          <w:tcPr>
            <w:tcW w:w="244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00" w:type="dxa"/>
            <w:vAlign w:val="bottom"/>
          </w:tcPr>
          <w:p>
            <w:pPr>
              <w:jc w:val="right"/>
              <w:ind w:right="1376"/>
              <w:spacing w:after="0"/>
              <w:rPr>
                <w:sz w:val="20"/>
                <w:szCs w:val="20"/>
                <w:color w:val="auto"/>
              </w:rPr>
            </w:pPr>
            <w:r>
              <w:rPr>
                <w:rFonts w:ascii="Arial" w:cs="Arial" w:eastAsia="Arial" w:hAnsi="Arial"/>
                <w:sz w:val="17"/>
                <w:szCs w:val="17"/>
                <w:color w:val="auto"/>
              </w:rPr>
              <w:t>Total Fee Offsets:</w:t>
            </w:r>
          </w:p>
        </w:tc>
        <w:tc>
          <w:tcPr>
            <w:tcW w:w="244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00" w:type="dxa"/>
            <w:vAlign w:val="bottom"/>
          </w:tcPr>
          <w:p>
            <w:pPr>
              <w:jc w:val="right"/>
              <w:ind w:right="1376"/>
              <w:spacing w:after="0"/>
              <w:rPr>
                <w:sz w:val="20"/>
                <w:szCs w:val="20"/>
                <w:color w:val="auto"/>
              </w:rPr>
            </w:pPr>
            <w:r>
              <w:rPr>
                <w:rFonts w:ascii="Arial" w:cs="Arial" w:eastAsia="Arial" w:hAnsi="Arial"/>
                <w:sz w:val="17"/>
                <w:szCs w:val="17"/>
                <w:color w:val="auto"/>
              </w:rPr>
              <w:t>Net Fee Due:</w:t>
            </w:r>
          </w:p>
        </w:tc>
        <w:tc>
          <w:tcPr>
            <w:tcW w:w="2440" w:type="dxa"/>
            <w:vAlign w:val="bottom"/>
          </w:tcPr>
          <w:p>
            <w:pPr>
              <w:jc w:val="right"/>
              <w:spacing w:after="0"/>
              <w:rPr>
                <w:sz w:val="20"/>
                <w:szCs w:val="20"/>
                <w:color w:val="auto"/>
              </w:rPr>
            </w:pPr>
            <w:r>
              <w:rPr>
                <w:rFonts w:ascii="Arial" w:cs="Arial" w:eastAsia="Arial" w:hAnsi="Arial"/>
                <w:sz w:val="17"/>
                <w:szCs w:val="17"/>
                <w:color w:val="auto"/>
              </w:rPr>
              <w:t>$ 129,002.19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(1a) Represents securities registered for resale by the selling stockholders named in the registration statement.</w:t>
      </w:r>
    </w:p>
    <w:p>
      <w:pPr>
        <w:spacing w:after="0" w:line="183" w:lineRule="exact"/>
        <w:rPr>
          <w:sz w:val="20"/>
          <w:szCs w:val="20"/>
          <w:color w:val="auto"/>
        </w:rPr>
      </w:pPr>
    </w:p>
    <w:p>
      <w:pPr>
        <w:jc w:val="both"/>
        <w:ind w:left="180" w:right="180"/>
        <w:spacing w:after="0" w:line="248" w:lineRule="auto"/>
        <w:rPr>
          <w:sz w:val="20"/>
          <w:szCs w:val="20"/>
          <w:color w:val="auto"/>
        </w:rPr>
      </w:pPr>
      <w:r>
        <w:rPr>
          <w:rFonts w:ascii="Arial" w:cs="Arial" w:eastAsia="Arial" w:hAnsi="Arial"/>
          <w:sz w:val="17"/>
          <w:szCs w:val="17"/>
          <w:color w:val="auto"/>
        </w:rPr>
        <w:t>(1b)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51" w:lineRule="exact"/>
        <w:rPr>
          <w:sz w:val="20"/>
          <w:szCs w:val="20"/>
          <w:color w:val="auto"/>
        </w:rPr>
      </w:pPr>
    </w:p>
    <w:p>
      <w:pPr>
        <w:jc w:val="both"/>
        <w:ind w:left="180" w:right="180"/>
        <w:spacing w:after="0" w:line="265" w:lineRule="auto"/>
        <w:rPr>
          <w:sz w:val="20"/>
          <w:szCs w:val="20"/>
          <w:color w:val="auto"/>
        </w:rPr>
      </w:pPr>
      <w:r>
        <w:rPr>
          <w:rFonts w:ascii="Arial" w:cs="Arial" w:eastAsia="Arial" w:hAnsi="Arial"/>
          <w:sz w:val="17"/>
          <w:szCs w:val="17"/>
          <w:color w:val="auto"/>
        </w:rPr>
        <w:t>(1c) Estimated solely for the purpose of calculating the registration fee pursuant to Rule 457(c) of the Securities Act and based upon the average of the high and low prices of the common stock as reported on Nasdaq on 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46990</wp:posOffset>
            </wp:positionV>
            <wp:extent cx="7047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1280"/>
      </w:cols>
      <w:pgMar w:left="340"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2BBD95A"/>
    <w:multiLevelType w:val="hybridMultilevel"/>
    <w:lvl w:ilvl="0">
      <w:lvlJc w:val="left"/>
      <w:lvlText w:val="(%1)"/>
      <w:numFmt w:val="decimal"/>
      <w:start w:val="2"/>
    </w:lvl>
    <w:lvl w:ilvl="1">
      <w:lvlJc w:val="left"/>
      <w:lvlText w:val="(%2)"/>
      <w:numFmt w:val="lowerRoman"/>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Roman"/>
      <w:start w:val="4"/>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jpeg"/><Relationship Id="rId84" Type="http://schemas.openxmlformats.org/officeDocument/2006/relationships/image" Target="media/image62.png"/><Relationship Id="rId85" Type="http://schemas.openxmlformats.org/officeDocument/2006/relationships/image" Target="media/image63.jpeg"/><Relationship Id="rId86" Type="http://schemas.openxmlformats.org/officeDocument/2006/relationships/image" Target="media/image64.png"/><Relationship Id="rId87" Type="http://schemas.openxmlformats.org/officeDocument/2006/relationships/image" Target="media/image65.jpe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jpeg"/><Relationship Id="rId92" Type="http://schemas.openxmlformats.org/officeDocument/2006/relationships/image" Target="media/image70.jpeg"/><Relationship Id="rId93" Type="http://schemas.openxmlformats.org/officeDocument/2006/relationships/image" Target="media/image71.png"/><Relationship Id="rId94" Type="http://schemas.openxmlformats.org/officeDocument/2006/relationships/image" Target="media/image72.png"/><Relationship Id="rId25" Type="http://schemas.openxmlformats.org/officeDocument/2006/relationships/hyperlink" Target="https://www.sec.gov/ix?doc=/Archives/edgar/data/1539838/000153983825000021/fang-20241231.htm" TargetMode="External"/><Relationship Id="rId42" Type="http://schemas.openxmlformats.org/officeDocument/2006/relationships/hyperlink" Target="https://www.sec.gov/ix?doc=/Archives/edgar/data/1539838/000153983825000009/fang-20250203.htm" TargetMode="External"/><Relationship Id="rId43" Type="http://schemas.openxmlformats.org/officeDocument/2006/relationships/hyperlink" Target="https://www.sec.gov/ix?doc=/Archives/edgar/data/1539838/000110465925014457/tm256842d1_8k.htm" TargetMode="External"/><Relationship Id="rId44" Type="http://schemas.openxmlformats.org/officeDocument/2006/relationships/hyperlink" Target="https://www.sec.gov/ix?doc=/Archives/edgar/data/1539838/000114036125005267/ef20043983_8k.htm" TargetMode="External"/><Relationship Id="rId45" Type="http://schemas.openxmlformats.org/officeDocument/2006/relationships/hyperlink" Target="https://www.sec.gov/ix?doc=/Archives/edgar/data/1539838/000114036125007771/ny20044934x4_8k.htm" TargetMode="External"/><Relationship Id="rId46" Type="http://schemas.openxmlformats.org/officeDocument/2006/relationships/hyperlink" Target="https://www.sec.gov/ix?doc=/Archives/edgar/data/1539838/000114036125009701/ef20045911_8k.htm" TargetMode="External"/><Relationship Id="rId47" Type="http://schemas.openxmlformats.org/officeDocument/2006/relationships/hyperlink" Target="https://www.sec.gov/ix?doc=/Archives/edgar/data/1539838/000114036125009880/ef20045931_8k.htm" TargetMode="External"/><Relationship Id="rId48" Type="http://schemas.openxmlformats.org/officeDocument/2006/relationships/hyperlink" Target="http://www.sec.gov/ix?doc=/Archives/edgar/data/0001539838/000153983825000052/fang-20240909.htm" TargetMode="External"/><Relationship Id="rId49" Type="http://schemas.openxmlformats.org/officeDocument/2006/relationships/hyperlink" Target="https://www.sec.gov/Archives/edgar/data/1539838/000119312512420871/d423586d8a12b.htm" TargetMode="External"/><Relationship Id="rId50" Type="http://schemas.openxmlformats.org/officeDocument/2006/relationships/hyperlink" Target="https://www.sec.gov/Archives/edgar/data/1539838/000114036124018488/ny20021341x13_ex99-1.htm" TargetMode="External"/><Relationship Id="rId51" Type="http://schemas.openxmlformats.org/officeDocument/2006/relationships/hyperlink" Target="https://www.sec.gov/Archives/edgar/data/1539838/000114036124041469/ef20035848_ex99-1.htm" TargetMode="External"/><Relationship Id="rId57" Type="http://schemas.openxmlformats.org/officeDocument/2006/relationships/hyperlink" Target="https://www.sec.gov/Archives/edgar/data/1539838/000153983823000086/diamondbackex31-6x14x23.htm" TargetMode="External"/><Relationship Id="rId58" Type="http://schemas.openxmlformats.org/officeDocument/2006/relationships/hyperlink" Target="https://www.sec.gov/Archives/edgar/data/1539838/000114036124040726/ef20035628_ex3-1.htm" TargetMode="External"/><Relationship Id="rId59" Type="http://schemas.openxmlformats.org/officeDocument/2006/relationships/hyperlink" Target="https://www.sec.gov/Archives/edgar/data/1539838/000114036124041466/ef20035944_ex3-1.htm" TargetMode="External"/><Relationship Id="rId60" Type="http://schemas.openxmlformats.org/officeDocument/2006/relationships/hyperlink" Target="https://www.sec.gov/Archives/edgar/data/1539838/000119312512360997/d29532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2025-04-07T15:57:33Z</dcterms:created>
  <dcterms:modified xsi:type="dcterms:W3CDTF">2025-04-07T15:57:33Z</dcterms:modified>
</cp:coreProperties>
</file>