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270510</wp:posOffset>
            </wp:positionV>
            <wp:extent cx="26587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224790</wp:posOffset>
            </wp:positionV>
            <wp:extent cx="2658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680" w:hanging="645"/>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UNDER SECTION 13 OR 15(d) OF THE SECURITIES EXCHANGE ACT OF</w:t>
      </w:r>
    </w:p>
    <w:p>
      <w:pPr>
        <w:spacing w:after="0" w:line="18"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1934</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0" w:lineRule="exact"/>
        <w:rPr>
          <w:sz w:val="24"/>
          <w:szCs w:val="24"/>
          <w:color w:val="auto"/>
        </w:rPr>
      </w:pPr>
    </w:p>
    <w:p>
      <w:pPr>
        <w:ind w:left="680" w:hanging="645"/>
        <w:spacing w:after="0"/>
        <w:tabs>
          <w:tab w:leader="none" w:pos="6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UNDER SECTION 13 OR 15(d) OF SECURITIES EXCHANGE ACT OF 1934</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001-35700</w:t>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-297815</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90170</wp:posOffset>
            </wp:positionV>
            <wp:extent cx="2658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tbl>
      <w:tblPr>
        <w:tblLayout w:type="fixed"/>
        <w:tblInd w:w="1420" w:type="dxa"/>
        <w:tblCellMar>
          <w:top w:w="0" w:type="dxa"/>
          <w:left w:w="0" w:type="dxa"/>
          <w:bottom w:w="0" w:type="dxa"/>
          <w:right w:w="0" w:type="dxa"/>
        </w:tblCellMar>
      </w:tblPr>
      <w:tr>
        <w:trPr>
          <w:trHeight w:val="238"/>
        </w:trPr>
        <w:tc>
          <w:tcPr>
            <w:tcW w:w="254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45-4502447</w:t>
            </w:r>
          </w:p>
        </w:tc>
      </w:tr>
      <w:tr>
        <w:trPr>
          <w:trHeight w:val="178"/>
        </w:trPr>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960" w:type="dxa"/>
            <w:vAlign w:val="bottom"/>
          </w:tcPr>
          <w:p>
            <w:pPr>
              <w:jc w:val="center"/>
              <w:ind w:left="346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960" w:type="dxa"/>
            <w:vAlign w:val="bottom"/>
          </w:tcPr>
          <w:p>
            <w:pPr>
              <w:jc w:val="center"/>
              <w:ind w:left="346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501"/>
        </w:trPr>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500 West Texas, Suite 1200</w:t>
            </w:r>
          </w:p>
        </w:tc>
        <w:tc>
          <w:tcPr>
            <w:tcW w:w="4960" w:type="dxa"/>
            <w:vAlign w:val="bottom"/>
          </w:tcPr>
          <w:p>
            <w:pPr>
              <w:spacing w:after="0"/>
              <w:rPr>
                <w:sz w:val="24"/>
                <w:szCs w:val="24"/>
                <w:color w:val="auto"/>
              </w:rPr>
            </w:pPr>
          </w:p>
        </w:tc>
      </w:tr>
      <w:tr>
        <w:trPr>
          <w:trHeight w:val="238"/>
        </w:trPr>
        <w:tc>
          <w:tcPr>
            <w:tcW w:w="254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Midland, Texas</w:t>
            </w:r>
          </w:p>
        </w:tc>
        <w:tc>
          <w:tcPr>
            <w:tcW w:w="4960" w:type="dxa"/>
            <w:vAlign w:val="bottom"/>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79701</w:t>
            </w:r>
          </w:p>
        </w:tc>
      </w:tr>
      <w:tr>
        <w:trPr>
          <w:trHeight w:val="247"/>
        </w:trPr>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960" w:type="dxa"/>
            <w:vAlign w:val="bottom"/>
          </w:tcPr>
          <w:p>
            <w:pPr>
              <w:jc w:val="center"/>
              <w:ind w:left="346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42"/>
        </w:trPr>
        <w:tc>
          <w:tcPr>
            <w:tcW w:w="2540" w:type="dxa"/>
            <w:vAlign w:val="bottom"/>
          </w:tcPr>
          <w:p>
            <w:pPr>
              <w:spacing w:after="0"/>
              <w:rPr>
                <w:sz w:val="21"/>
                <w:szCs w:val="21"/>
                <w:color w:val="auto"/>
              </w:rPr>
            </w:pPr>
          </w:p>
        </w:tc>
        <w:tc>
          <w:tcPr>
            <w:tcW w:w="4960" w:type="dxa"/>
            <w:vAlign w:val="bottom"/>
          </w:tcPr>
          <w:p>
            <w:pPr>
              <w:jc w:val="right"/>
              <w:ind w:right="2560"/>
              <w:spacing w:after="0"/>
              <w:rPr>
                <w:sz w:val="20"/>
                <w:szCs w:val="20"/>
                <w:color w:val="auto"/>
              </w:rPr>
            </w:pPr>
            <w:r>
              <w:rPr>
                <w:rFonts w:ascii="Times New Roman" w:cs="Times New Roman" w:eastAsia="Times New Roman" w:hAnsi="Times New Roman"/>
                <w:sz w:val="18"/>
                <w:szCs w:val="18"/>
                <w:b w:val="1"/>
                <w:bCs w:val="1"/>
                <w:color w:val="auto"/>
              </w:rPr>
              <w:t>(432) 221-7400</w:t>
            </w:r>
          </w:p>
        </w:tc>
      </w:tr>
      <w:tr>
        <w:trPr>
          <w:trHeight w:val="190"/>
        </w:trPr>
        <w:tc>
          <w:tcPr>
            <w:tcW w:w="2540" w:type="dxa"/>
            <w:vAlign w:val="bottom"/>
          </w:tcPr>
          <w:p>
            <w:pPr>
              <w:spacing w:after="0"/>
              <w:rPr>
                <w:sz w:val="16"/>
                <w:szCs w:val="16"/>
                <w:color w:val="auto"/>
              </w:rPr>
            </w:pPr>
          </w:p>
        </w:tc>
        <w:tc>
          <w:tcPr>
            <w:tcW w:w="4960" w:type="dxa"/>
            <w:vAlign w:val="bottom"/>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(Registrant Telephone Number, Including Area Code)</w:t>
            </w:r>
          </w:p>
        </w:tc>
      </w:tr>
    </w:tbl>
    <w:p>
      <w:pPr>
        <w:spacing w:after="0" w:line="212" w:lineRule="exact"/>
        <w:rPr>
          <w:sz w:val="24"/>
          <w:szCs w:val="24"/>
          <w:color w:val="auto"/>
        </w:rPr>
      </w:pPr>
    </w:p>
    <w:p>
      <w:pPr>
        <w:ind w:right="300"/>
        <w:spacing w:after="0" w:line="27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w:t>
      </w:r>
    </w:p>
    <w:p>
      <w:pPr>
        <w:spacing w:after="0" w:line="207" w:lineRule="exact"/>
        <w:tabs>
          <w:tab w:leader="none" w:pos="500" w:val="left"/>
          <w:tab w:leader="none" w:pos="116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8"/>
          <w:szCs w:val="18"/>
          <w:color w:val="auto"/>
        </w:rPr>
        <w:t>☐</w:t>
      </w:r>
    </w:p>
    <w:p>
      <w:pPr>
        <w:spacing w:after="0" w:line="231" w:lineRule="exact"/>
        <w:rPr>
          <w:sz w:val="24"/>
          <w:szCs w:val="24"/>
          <w:color w:val="auto"/>
        </w:rPr>
      </w:pPr>
    </w:p>
    <w:p>
      <w:pPr>
        <w:ind w:right="40"/>
        <w:spacing w:after="0" w:line="278"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spacing w:after="0" w:line="207" w:lineRule="exact"/>
        <w:tabs>
          <w:tab w:leader="none" w:pos="540" w:val="left"/>
          <w:tab w:leader="none" w:pos="1200" w:val="left"/>
        </w:tabs>
        <w:rPr>
          <w:sz w:val="20"/>
          <w:szCs w:val="20"/>
          <w:color w:val="auto"/>
        </w:rPr>
      </w:pPr>
      <w:r>
        <w:rPr>
          <w:rFonts w:ascii="Times New Roman" w:cs="Times New Roman" w:eastAsia="Times New Roman" w:hAnsi="Times New Roman"/>
          <w:sz w:val="16"/>
          <w:szCs w:val="16"/>
          <w:color w:val="auto"/>
        </w:rPr>
        <w:t>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1"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80"/>
              <w:spacing w:after="0"/>
              <w:rPr>
                <w:sz w:val="20"/>
                <w:szCs w:val="20"/>
                <w:color w:val="auto"/>
              </w:rPr>
            </w:pPr>
            <w:r>
              <w:rPr>
                <w:rFonts w:ascii="Times New Roman" w:cs="Times New Roman" w:eastAsia="Times New Roman" w:hAnsi="Times New Roman"/>
                <w:sz w:val="17"/>
                <w:szCs w:val="17"/>
                <w:color w:val="auto"/>
                <w:w w:val="70"/>
              </w:rPr>
              <w:t>o</w:t>
            </w:r>
          </w:p>
        </w:tc>
      </w:tr>
      <w:tr>
        <w:trPr>
          <w:trHeight w:val="372"/>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t>
            </w:r>
          </w:p>
        </w:tc>
        <w:tc>
          <w:tcPr>
            <w:tcW w:w="46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80"/>
              <w:spacing w:after="0"/>
              <w:rPr>
                <w:sz w:val="20"/>
                <w:szCs w:val="20"/>
                <w:color w:val="auto"/>
              </w:rPr>
            </w:pPr>
            <w:r>
              <w:rPr>
                <w:rFonts w:ascii="Times New Roman" w:cs="Times New Roman" w:eastAsia="Times New Roman" w:hAnsi="Times New Roman"/>
                <w:sz w:val="17"/>
                <w:szCs w:val="17"/>
                <w:color w:val="auto"/>
                <w:w w:val="70"/>
              </w:rPr>
              <w:t>o</w:t>
            </w:r>
          </w:p>
        </w:tc>
      </w:tr>
      <w:tr>
        <w:trPr>
          <w:trHeight w:val="392"/>
        </w:trPr>
        <w:tc>
          <w:tcPr>
            <w:tcW w:w="1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6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80"/>
              <w:spacing w:after="0"/>
              <w:rPr>
                <w:sz w:val="20"/>
                <w:szCs w:val="20"/>
                <w:color w:val="auto"/>
              </w:rPr>
            </w:pPr>
            <w:r>
              <w:rPr>
                <w:rFonts w:ascii="Times New Roman" w:cs="Times New Roman" w:eastAsia="Times New Roman" w:hAnsi="Times New Roman"/>
                <w:sz w:val="17"/>
                <w:szCs w:val="17"/>
                <w:color w:val="auto"/>
                <w:w w:val="70"/>
              </w:rPr>
              <w:t>o</w:t>
            </w:r>
          </w:p>
        </w:tc>
      </w:tr>
    </w:tbl>
    <w:p>
      <w:pPr>
        <w:spacing w:after="0" w:line="256" w:lineRule="exact"/>
        <w:rPr>
          <w:sz w:val="24"/>
          <w:szCs w:val="24"/>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8"/>
          <w:szCs w:val="18"/>
          <w:color w:val="auto"/>
        </w:rPr>
        <w:t>o</w:t>
      </w:r>
    </w:p>
    <w:p>
      <w:pPr>
        <w:spacing w:after="0" w:line="105" w:lineRule="exact"/>
        <w:rPr>
          <w:sz w:val="24"/>
          <w:szCs w:val="24"/>
          <w:color w:val="auto"/>
        </w:rPr>
      </w:pPr>
    </w:p>
    <w:p>
      <w:pPr>
        <w:ind w:right="2780"/>
        <w:spacing w:after="0" w:line="2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As of April 28, 2017, 98,128,043 shares of the registrant’s common stock were outstanding.</w:t>
      </w:r>
    </w:p>
    <w:p>
      <w:pPr>
        <w:sectPr>
          <w:pgSz w:w="11900" w:h="16838" w:orient="portrait"/>
          <w:cols w:equalWidth="0" w:num="1">
            <w:col w:w="11420"/>
          </w:cols>
          <w:pgMar w:left="240" w:top="889"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2017</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8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03"/>
        </w:trPr>
        <w:tc>
          <w:tcPr>
            <w:tcW w:w="10740" w:type="dxa"/>
            <w:vAlign w:val="bottom"/>
            <w:gridSpan w:val="24"/>
            <w:shd w:val="clear" w:color="auto" w:fill="CCEEFF"/>
          </w:tcPr>
          <w:p>
            <w:pPr>
              <w:ind w:left="40"/>
              <w:spacing w:after="0" w:line="163"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Glossary of Oil and Natural Gas Terms</w:t>
              </w:r>
            </w:hyperlink>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gridSpan w:val="5"/>
            <w:shd w:val="clear" w:color="auto" w:fill="CCEEFF"/>
          </w:tcPr>
          <w:p>
            <w:pPr>
              <w:jc w:val="center"/>
              <w:ind w:right="280"/>
              <w:spacing w:after="0" w:line="170"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ii</w:t>
              </w:r>
            </w:hyperlink>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5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r>
      <w:tr>
        <w:trPr>
          <w:trHeight w:val="203"/>
        </w:trPr>
        <w:tc>
          <w:tcPr>
            <w:tcW w:w="10740" w:type="dxa"/>
            <w:vAlign w:val="bottom"/>
            <w:gridSpan w:val="24"/>
          </w:tcPr>
          <w:p>
            <w:pPr>
              <w:ind w:left="40"/>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Glossary of Certain Other Terms</w:t>
              </w:r>
            </w:hyperlink>
          </w:p>
        </w:tc>
        <w:tc>
          <w:tcPr>
            <w:tcW w:w="260" w:type="dxa"/>
            <w:vAlign w:val="bottom"/>
          </w:tcPr>
          <w:p>
            <w:pPr>
              <w:spacing w:after="0"/>
              <w:rPr>
                <w:sz w:val="17"/>
                <w:szCs w:val="17"/>
                <w:color w:val="auto"/>
              </w:rPr>
            </w:pPr>
          </w:p>
        </w:tc>
        <w:tc>
          <w:tcPr>
            <w:tcW w:w="420" w:type="dxa"/>
            <w:vAlign w:val="bottom"/>
            <w:gridSpan w:val="7"/>
          </w:tcPr>
          <w:p>
            <w:pPr>
              <w:jc w:val="center"/>
              <w:ind w:right="240"/>
              <w:spacing w:after="0" w:line="202"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iv</w:t>
              </w:r>
            </w:hyperlink>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10740" w:type="dxa"/>
            <w:vAlign w:val="bottom"/>
            <w:gridSpan w:val="2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Cautionary Statement Regarding Forward-Looking Statements</w:t>
              </w:r>
            </w:hyperlink>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gridSpan w:val="5"/>
            <w:shd w:val="clear" w:color="auto" w:fill="CCEEFF"/>
          </w:tcPr>
          <w:p>
            <w:pPr>
              <w:jc w:val="center"/>
              <w:ind w:right="300"/>
              <w:spacing w:after="0" w:line="202"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v</w:t>
              </w:r>
            </w:hyperlink>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560" w:type="dxa"/>
            <w:vAlign w:val="bottom"/>
            <w:gridSpan w:val="9"/>
            <w:shd w:val="clear" w:color="auto" w:fill="CCEEFF"/>
          </w:tcPr>
          <w:p>
            <w:pPr>
              <w:jc w:val="center"/>
              <w:ind w:right="35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03"/>
        </w:trPr>
        <w:tc>
          <w:tcPr>
            <w:tcW w:w="4180" w:type="dxa"/>
            <w:vAlign w:val="bottom"/>
            <w:tcBorders>
              <w:top w:val="single" w:sz="8" w:color="CCEEFF"/>
            </w:tcBorders>
            <w:gridSpan w:val="15"/>
          </w:tcPr>
          <w:p>
            <w:pPr>
              <w:ind w:left="40"/>
              <w:spacing w:after="0" w:line="202"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3060" w:type="dxa"/>
            <w:vAlign w:val="bottom"/>
            <w:tcBorders>
              <w:top w:val="single" w:sz="8" w:color="auto"/>
            </w:tcBorders>
            <w:gridSpan w:val="8"/>
          </w:tcPr>
          <w:p>
            <w:pPr>
              <w:spacing w:after="0"/>
              <w:rPr>
                <w:sz w:val="17"/>
                <w:szCs w:val="17"/>
                <w:color w:val="auto"/>
              </w:rPr>
            </w:pPr>
          </w:p>
        </w:tc>
        <w:tc>
          <w:tcPr>
            <w:tcW w:w="35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80" w:type="dxa"/>
            <w:vAlign w:val="bottom"/>
            <w:gridSpan w:val="7"/>
            <w:shd w:val="clear" w:color="auto" w:fill="CCEEFF"/>
          </w:tcPr>
          <w:p>
            <w:pPr>
              <w:spacing w:after="0" w:line="202" w:lineRule="exact"/>
              <w:rPr>
                <w:rFonts w:ascii="Times New Roman" w:cs="Times New Roman" w:eastAsia="Times New Roman" w:hAnsi="Times New Roman"/>
                <w:sz w:val="18"/>
                <w:szCs w:val="18"/>
                <w:color w:val="0000EE"/>
                <w:w w:val="98"/>
              </w:rPr>
            </w:pPr>
            <w:hyperlink w:anchor="page7">
              <w:r>
                <w:rPr>
                  <w:rFonts w:ascii="Times New Roman" w:cs="Times New Roman" w:eastAsia="Times New Roman" w:hAnsi="Times New Roman"/>
                  <w:sz w:val="18"/>
                  <w:szCs w:val="18"/>
                  <w:color w:val="0000EE"/>
                  <w:w w:val="98"/>
                </w:rPr>
                <w:t>Consolidated Balance Sheets</w:t>
              </w:r>
            </w:hyperlink>
          </w:p>
        </w:tc>
        <w:tc>
          <w:tcPr>
            <w:tcW w:w="7940" w:type="dxa"/>
            <w:vAlign w:val="bottom"/>
            <w:gridSpan w:val="15"/>
            <w:shd w:val="clear" w:color="auto" w:fill="CCEEFF"/>
          </w:tcPr>
          <w:p>
            <w:pPr>
              <w:spacing w:after="0"/>
              <w:rPr>
                <w:sz w:val="17"/>
                <w:szCs w:val="17"/>
                <w:color w:val="auto"/>
              </w:rPr>
            </w:pPr>
          </w:p>
        </w:tc>
        <w:tc>
          <w:tcPr>
            <w:tcW w:w="400" w:type="dxa"/>
            <w:vAlign w:val="bottom"/>
            <w:gridSpan w:val="5"/>
            <w:shd w:val="clear" w:color="auto" w:fill="CCEEFF"/>
          </w:tcPr>
          <w:p>
            <w:pPr>
              <w:jc w:val="center"/>
              <w:ind w:left="190"/>
              <w:spacing w:after="0" w:line="202"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20" w:type="dxa"/>
            <w:vAlign w:val="bottom"/>
            <w:gridSpan w:val="22"/>
          </w:tcPr>
          <w:p>
            <w:pPr>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Consolidated Statements of Operations</w:t>
              </w:r>
            </w:hyperlink>
          </w:p>
        </w:tc>
        <w:tc>
          <w:tcPr>
            <w:tcW w:w="400" w:type="dxa"/>
            <w:vAlign w:val="bottom"/>
            <w:gridSpan w:val="5"/>
          </w:tcPr>
          <w:p>
            <w:pPr>
              <w:jc w:val="center"/>
              <w:ind w:left="190"/>
              <w:spacing w:after="0" w:line="202" w:lineRule="exact"/>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2</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54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Consolidated Statements of Stockholders’ Equity</w:t>
              </w:r>
            </w:hyperlink>
          </w:p>
        </w:tc>
        <w:tc>
          <w:tcPr>
            <w:tcW w:w="6480" w:type="dxa"/>
            <w:vAlign w:val="bottom"/>
            <w:gridSpan w:val="8"/>
            <w:shd w:val="clear" w:color="auto" w:fill="CCEEFF"/>
          </w:tcPr>
          <w:p>
            <w:pPr>
              <w:spacing w:after="0"/>
              <w:rPr>
                <w:sz w:val="17"/>
                <w:szCs w:val="17"/>
                <w:color w:val="auto"/>
              </w:rPr>
            </w:pPr>
          </w:p>
        </w:tc>
        <w:tc>
          <w:tcPr>
            <w:tcW w:w="400" w:type="dxa"/>
            <w:vAlign w:val="bottom"/>
            <w:gridSpan w:val="5"/>
            <w:shd w:val="clear" w:color="auto" w:fill="CCEEFF"/>
          </w:tcPr>
          <w:p>
            <w:pPr>
              <w:jc w:val="center"/>
              <w:ind w:left="190"/>
              <w:spacing w:after="0" w:line="202" w:lineRule="exact"/>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3</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540" w:type="dxa"/>
            <w:vAlign w:val="bottom"/>
            <w:gridSpan w:val="14"/>
          </w:tcPr>
          <w:p>
            <w:pPr>
              <w:spacing w:after="0" w:line="202"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Consolidated Statements of Cash Flows</w:t>
              </w:r>
            </w:hyperlink>
          </w:p>
        </w:tc>
        <w:tc>
          <w:tcPr>
            <w:tcW w:w="6480" w:type="dxa"/>
            <w:vAlign w:val="bottom"/>
            <w:gridSpan w:val="8"/>
          </w:tcPr>
          <w:p>
            <w:pPr>
              <w:spacing w:after="0"/>
              <w:rPr>
                <w:sz w:val="17"/>
                <w:szCs w:val="17"/>
                <w:color w:val="auto"/>
              </w:rPr>
            </w:pPr>
          </w:p>
        </w:tc>
        <w:tc>
          <w:tcPr>
            <w:tcW w:w="400" w:type="dxa"/>
            <w:vAlign w:val="bottom"/>
            <w:gridSpan w:val="5"/>
          </w:tcPr>
          <w:p>
            <w:pPr>
              <w:jc w:val="center"/>
              <w:ind w:left="190"/>
              <w:spacing w:after="0" w:line="202" w:lineRule="exact"/>
              <w:rPr>
                <w:rFonts w:ascii="Times New Roman" w:cs="Times New Roman" w:eastAsia="Times New Roman" w:hAnsi="Times New Roman"/>
                <w:sz w:val="18"/>
                <w:szCs w:val="18"/>
                <w:color w:val="0000EE"/>
                <w:w w:val="88"/>
              </w:rPr>
            </w:pPr>
            <w:hyperlink w:anchor="page10">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0" w:type="dxa"/>
            <w:vAlign w:val="bottom"/>
            <w:gridSpan w:val="5"/>
            <w:shd w:val="clear" w:color="auto" w:fill="CCEEFF"/>
          </w:tcPr>
          <w:p>
            <w:pPr>
              <w:jc w:val="center"/>
              <w:ind w:left="190"/>
              <w:spacing w:after="0" w:line="202" w:lineRule="exact"/>
              <w:rPr>
                <w:rFonts w:ascii="Times New Roman" w:cs="Times New Roman" w:eastAsia="Times New Roman" w:hAnsi="Times New Roman"/>
                <w:sz w:val="18"/>
                <w:szCs w:val="18"/>
                <w:color w:val="0000EE"/>
                <w:w w:val="88"/>
              </w:rPr>
            </w:pPr>
            <w:hyperlink w:anchor="page12">
              <w:r>
                <w:rPr>
                  <w:rFonts w:ascii="Times New Roman" w:cs="Times New Roman" w:eastAsia="Times New Roman" w:hAnsi="Times New Roman"/>
                  <w:sz w:val="18"/>
                  <w:szCs w:val="18"/>
                  <w:color w:val="0000EE"/>
                  <w:w w:val="88"/>
                </w:rPr>
                <w:t>6</w:t>
              </w:r>
            </w:hyperlink>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10740" w:type="dxa"/>
            <w:vAlign w:val="bottom"/>
            <w:gridSpan w:val="2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2. Management’s Discussion and Analysis of Financial Conditions and Results of Operations</w:t>
              </w:r>
            </w:hyperlink>
          </w:p>
        </w:tc>
        <w:tc>
          <w:tcPr>
            <w:tcW w:w="440" w:type="dxa"/>
            <w:vAlign w:val="bottom"/>
            <w:gridSpan w:val="7"/>
            <w:shd w:val="clear" w:color="auto" w:fill="CCEEFF"/>
          </w:tcPr>
          <w:p>
            <w:pPr>
              <w:jc w:val="center"/>
              <w:ind w:left="170"/>
              <w:spacing w:after="0" w:line="202"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32</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10740" w:type="dxa"/>
            <w:vAlign w:val="bottom"/>
            <w:gridSpan w:val="2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3. Quantitative and Qualitative Disclosures about Market Risk</w:t>
              </w:r>
            </w:hyperlink>
          </w:p>
        </w:tc>
        <w:tc>
          <w:tcPr>
            <w:tcW w:w="440" w:type="dxa"/>
            <w:vAlign w:val="bottom"/>
            <w:gridSpan w:val="7"/>
            <w:shd w:val="clear" w:color="auto" w:fill="CCEEFF"/>
          </w:tcPr>
          <w:p>
            <w:pPr>
              <w:jc w:val="center"/>
              <w:ind w:left="170"/>
              <w:spacing w:after="0" w:line="202"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44</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10740" w:type="dxa"/>
            <w:vAlign w:val="bottom"/>
            <w:gridSpan w:val="2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Item 4. Controls and Procedures</w:t>
              </w:r>
            </w:hyperlink>
          </w:p>
        </w:tc>
        <w:tc>
          <w:tcPr>
            <w:tcW w:w="440" w:type="dxa"/>
            <w:vAlign w:val="bottom"/>
            <w:gridSpan w:val="7"/>
            <w:shd w:val="clear" w:color="auto" w:fill="CCEEFF"/>
          </w:tcPr>
          <w:p>
            <w:pPr>
              <w:jc w:val="center"/>
              <w:ind w:left="170"/>
              <w:spacing w:after="0" w:line="202"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45</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0" w:type="dxa"/>
            <w:vAlign w:val="bottom"/>
            <w:gridSpan w:val="7"/>
            <w:shd w:val="clear" w:color="auto" w:fill="CCEEFF"/>
          </w:tcPr>
          <w:p>
            <w:pPr>
              <w:jc w:val="center"/>
              <w:ind w:right="36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10740" w:type="dxa"/>
            <w:vAlign w:val="bottom"/>
            <w:gridSpan w:val="2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Item 1. Legal Proceedings</w:t>
              </w:r>
            </w:hyperlink>
          </w:p>
        </w:tc>
        <w:tc>
          <w:tcPr>
            <w:tcW w:w="440" w:type="dxa"/>
            <w:vAlign w:val="bottom"/>
            <w:gridSpan w:val="7"/>
            <w:shd w:val="clear" w:color="auto" w:fill="CCEEFF"/>
          </w:tcPr>
          <w:p>
            <w:pPr>
              <w:jc w:val="center"/>
              <w:ind w:left="170"/>
              <w:spacing w:after="0" w:line="202"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46</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10740" w:type="dxa"/>
            <w:vAlign w:val="bottom"/>
            <w:gridSpan w:val="2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Item 1A. Risk Factors</w:t>
              </w:r>
            </w:hyperlink>
          </w:p>
        </w:tc>
        <w:tc>
          <w:tcPr>
            <w:tcW w:w="440" w:type="dxa"/>
            <w:vAlign w:val="bottom"/>
            <w:gridSpan w:val="7"/>
            <w:shd w:val="clear" w:color="auto" w:fill="CCEEFF"/>
          </w:tcPr>
          <w:p>
            <w:pPr>
              <w:jc w:val="center"/>
              <w:ind w:left="170"/>
              <w:spacing w:after="0" w:line="202"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46</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10740" w:type="dxa"/>
            <w:vAlign w:val="bottom"/>
            <w:gridSpan w:val="2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Item 2. Unregistered Sales of Equity Securities and Use of Proceeds</w:t>
              </w:r>
            </w:hyperlink>
          </w:p>
        </w:tc>
        <w:tc>
          <w:tcPr>
            <w:tcW w:w="440" w:type="dxa"/>
            <w:vAlign w:val="bottom"/>
            <w:gridSpan w:val="7"/>
            <w:shd w:val="clear" w:color="auto" w:fill="CCEEFF"/>
          </w:tcPr>
          <w:p>
            <w:pPr>
              <w:jc w:val="center"/>
              <w:ind w:left="170"/>
              <w:spacing w:after="0" w:line="202"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46</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10740" w:type="dxa"/>
            <w:vAlign w:val="bottom"/>
            <w:gridSpan w:val="2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Item 6. Exhibits</w:t>
              </w:r>
            </w:hyperlink>
          </w:p>
        </w:tc>
        <w:tc>
          <w:tcPr>
            <w:tcW w:w="440" w:type="dxa"/>
            <w:vAlign w:val="bottom"/>
            <w:gridSpan w:val="7"/>
            <w:shd w:val="clear" w:color="auto" w:fill="CCEEFF"/>
          </w:tcPr>
          <w:p>
            <w:pPr>
              <w:jc w:val="center"/>
              <w:ind w:left="170"/>
              <w:spacing w:after="0" w:line="202"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47</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03"/>
        </w:trPr>
        <w:tc>
          <w:tcPr>
            <w:tcW w:w="10740" w:type="dxa"/>
            <w:vAlign w:val="bottom"/>
            <w:gridSpan w:val="2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Signatures</w:t>
              </w:r>
            </w:hyperlink>
          </w:p>
        </w:tc>
        <w:tc>
          <w:tcPr>
            <w:tcW w:w="440" w:type="dxa"/>
            <w:vAlign w:val="bottom"/>
            <w:gridSpan w:val="7"/>
            <w:shd w:val="clear" w:color="auto" w:fill="CCEEFF"/>
          </w:tcPr>
          <w:p>
            <w:pPr>
              <w:jc w:val="center"/>
              <w:ind w:left="170"/>
              <w:spacing w:after="0" w:line="202" w:lineRule="exact"/>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48</w:t>
              </w:r>
            </w:hyperlink>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67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86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GLOSSARY OF OIL AND NATURAL GAS TERMS</w:t>
            </w:r>
          </w:p>
        </w:tc>
      </w:tr>
      <w:tr>
        <w:trPr>
          <w:trHeight w:val="378"/>
        </w:trPr>
        <w:tc>
          <w:tcPr>
            <w:tcW w:w="11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is a glossary of certain oil and gas terms that are used in this Quarterly Report on Form 10-Q (this “report”):</w:t>
            </w:r>
          </w:p>
        </w:tc>
      </w:tr>
      <w:tr>
        <w:trPr>
          <w:trHeight w:val="135"/>
        </w:trPr>
        <w:tc>
          <w:tcPr>
            <w:tcW w:w="2820" w:type="dxa"/>
            <w:vAlign w:val="bottom"/>
            <w:tcBorders>
              <w:bottom w:val="single" w:sz="8" w:color="auto"/>
            </w:tcBorders>
          </w:tcPr>
          <w:p>
            <w:pPr>
              <w:spacing w:after="0"/>
              <w:rPr>
                <w:sz w:val="11"/>
                <w:szCs w:val="11"/>
                <w:color w:val="auto"/>
              </w:rPr>
            </w:pPr>
          </w:p>
        </w:tc>
        <w:tc>
          <w:tcPr>
            <w:tcW w:w="8600" w:type="dxa"/>
            <w:vAlign w:val="bottom"/>
            <w:tcBorders>
              <w:bottom w:val="single" w:sz="8" w:color="auto"/>
            </w:tcBorders>
          </w:tcPr>
          <w:p>
            <w:pPr>
              <w:spacing w:after="0"/>
              <w:rPr>
                <w:sz w:val="11"/>
                <w:szCs w:val="11"/>
                <w:color w:val="auto"/>
              </w:rPr>
            </w:pPr>
          </w:p>
        </w:tc>
      </w:tr>
      <w:tr>
        <w:trPr>
          <w:trHeight w:val="244"/>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Basin</w:t>
            </w:r>
          </w:p>
        </w:tc>
        <w:tc>
          <w:tcPr>
            <w:tcW w:w="8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 large depression on the earth’s surface in which sediments accumulate.</w:t>
            </w:r>
          </w:p>
        </w:tc>
      </w:tr>
      <w:tr>
        <w:trPr>
          <w:trHeight w:val="225"/>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Bbl</w:t>
            </w: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 tank barrel, or 42 U.S. gallons liquid volume, used in this report in reference to crude oil or other liquid</w:t>
            </w:r>
          </w:p>
        </w:tc>
      </w:tr>
      <w:tr>
        <w:trPr>
          <w:trHeight w:val="234"/>
        </w:trPr>
        <w:tc>
          <w:tcPr>
            <w:tcW w:w="2820" w:type="dxa"/>
            <w:vAlign w:val="bottom"/>
          </w:tcPr>
          <w:p>
            <w:pPr>
              <w:spacing w:after="0"/>
              <w:rPr>
                <w:sz w:val="20"/>
                <w:szCs w:val="20"/>
                <w:color w:val="auto"/>
              </w:rPr>
            </w:pP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hydrocarbons.</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BOE</w:t>
            </w:r>
          </w:p>
        </w:tc>
        <w:tc>
          <w:tcPr>
            <w:tcW w:w="8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Barrels of oil equivalent, with six thousand cubic feet of natural gas being equivalent to one barrel of oil.</w:t>
            </w:r>
          </w:p>
        </w:tc>
      </w:tr>
      <w:tr>
        <w:trPr>
          <w:trHeight w:val="243"/>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BOE/d</w:t>
            </w: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BOE per day.</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British Thermal Unit or Btu</w:t>
            </w:r>
          </w:p>
        </w:tc>
        <w:tc>
          <w:tcPr>
            <w:tcW w:w="8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The quantity of heat required to raise the temperature of one pound of water by one degree Fahrenheit.</w:t>
            </w:r>
          </w:p>
        </w:tc>
      </w:tr>
      <w:tr>
        <w:trPr>
          <w:trHeight w:val="225"/>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Completion</w:t>
            </w: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process of treating a drilled well followed by the installation of permanent equipment for the production of</w:t>
            </w:r>
          </w:p>
        </w:tc>
      </w:tr>
      <w:tr>
        <w:trPr>
          <w:trHeight w:val="234"/>
        </w:trPr>
        <w:tc>
          <w:tcPr>
            <w:tcW w:w="2820" w:type="dxa"/>
            <w:vAlign w:val="bottom"/>
          </w:tcPr>
          <w:p>
            <w:pPr>
              <w:spacing w:after="0"/>
              <w:rPr>
                <w:sz w:val="20"/>
                <w:szCs w:val="20"/>
                <w:color w:val="auto"/>
              </w:rPr>
            </w:pP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natural gas or oil, or in the case of a dry hole, the reporting of abandonment to the appropriate agency.</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Crude oil</w:t>
            </w:r>
          </w:p>
        </w:tc>
        <w:tc>
          <w:tcPr>
            <w:tcW w:w="8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Liquid hydrocarbons retrieved from geological structures underground to be refined into fuel sources.</w:t>
            </w:r>
          </w:p>
        </w:tc>
      </w:tr>
      <w:tr>
        <w:trPr>
          <w:trHeight w:val="225"/>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Finding and development costs</w:t>
            </w: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Capital costs incurred in the acquisition, exploitation and exploration of proved oil and natural gas reserves</w:t>
            </w:r>
          </w:p>
        </w:tc>
      </w:tr>
      <w:tr>
        <w:trPr>
          <w:trHeight w:val="234"/>
        </w:trPr>
        <w:tc>
          <w:tcPr>
            <w:tcW w:w="2820" w:type="dxa"/>
            <w:vAlign w:val="bottom"/>
          </w:tcPr>
          <w:p>
            <w:pPr>
              <w:spacing w:after="0"/>
              <w:rPr>
                <w:sz w:val="20"/>
                <w:szCs w:val="20"/>
                <w:color w:val="auto"/>
              </w:rPr>
            </w:pP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divided by proved reserve additions and revisions to proved reserves.</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acres or gross wells</w:t>
            </w:r>
          </w:p>
        </w:tc>
        <w:tc>
          <w:tcPr>
            <w:tcW w:w="8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The total acres or wells, as the case may be, in which a working interest is owned.</w:t>
            </w:r>
          </w:p>
        </w:tc>
      </w:tr>
      <w:tr>
        <w:trPr>
          <w:trHeight w:val="225"/>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Horizontal drilling</w:t>
            </w: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 drilling technique used in certain formations where a well is drilled vertically to a certain depth and then</w:t>
            </w:r>
          </w:p>
        </w:tc>
      </w:tr>
      <w:tr>
        <w:trPr>
          <w:trHeight w:val="234"/>
        </w:trPr>
        <w:tc>
          <w:tcPr>
            <w:tcW w:w="2820" w:type="dxa"/>
            <w:vAlign w:val="bottom"/>
          </w:tcPr>
          <w:p>
            <w:pPr>
              <w:spacing w:after="0"/>
              <w:rPr>
                <w:sz w:val="20"/>
                <w:szCs w:val="20"/>
                <w:color w:val="auto"/>
              </w:rPr>
            </w:pP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drilled at a right angle with a specified interval.</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25"/>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Horizontal wells</w:t>
            </w:r>
          </w:p>
        </w:tc>
        <w:tc>
          <w:tcPr>
            <w:tcW w:w="8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Wells drilled directionally horizontal to allow for development of structures not reachable through traditional</w:t>
            </w:r>
          </w:p>
        </w:tc>
      </w:tr>
      <w:tr>
        <w:trPr>
          <w:trHeight w:val="241"/>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vertical drilling mechanisms.</w:t>
            </w:r>
          </w:p>
        </w:tc>
      </w:tr>
      <w:tr>
        <w:trPr>
          <w:trHeight w:val="243"/>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Mcf</w:t>
            </w: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Thousand cubic feet of natural gas.</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Mcf/d</w:t>
            </w:r>
          </w:p>
        </w:tc>
        <w:tc>
          <w:tcPr>
            <w:tcW w:w="8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Mcf per day.</w:t>
            </w:r>
          </w:p>
        </w:tc>
      </w:tr>
      <w:tr>
        <w:trPr>
          <w:trHeight w:val="225"/>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Mineral interests</w:t>
            </w: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interests in ownership of the resource and mineral rights, giving an owner the right to profit from the</w:t>
            </w:r>
          </w:p>
        </w:tc>
      </w:tr>
      <w:tr>
        <w:trPr>
          <w:trHeight w:val="234"/>
        </w:trPr>
        <w:tc>
          <w:tcPr>
            <w:tcW w:w="2820" w:type="dxa"/>
            <w:vAlign w:val="bottom"/>
          </w:tcPr>
          <w:p>
            <w:pPr>
              <w:spacing w:after="0"/>
              <w:rPr>
                <w:sz w:val="20"/>
                <w:szCs w:val="20"/>
                <w:color w:val="auto"/>
              </w:rPr>
            </w:pP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extracted resources.</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MMBtu</w:t>
            </w:r>
          </w:p>
        </w:tc>
        <w:tc>
          <w:tcPr>
            <w:tcW w:w="8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Million British Thermal Units.</w:t>
            </w:r>
          </w:p>
        </w:tc>
      </w:tr>
      <w:tr>
        <w:trPr>
          <w:trHeight w:val="243"/>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acres or net wells</w:t>
            </w: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sum of the fractional working interest owned in gross acres.</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8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Tracts of land consisting of properties to be developed for oil and natural gas resource extraction.</w:t>
            </w:r>
          </w:p>
        </w:tc>
      </w:tr>
      <w:tr>
        <w:trPr>
          <w:trHeight w:val="225"/>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Play</w:t>
            </w: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 set of discovered or prospective oil and/or natural gas accumulations sharing similar geologic, geographic</w:t>
            </w:r>
          </w:p>
        </w:tc>
      </w:tr>
      <w:tr>
        <w:trPr>
          <w:trHeight w:val="216"/>
        </w:trPr>
        <w:tc>
          <w:tcPr>
            <w:tcW w:w="2820" w:type="dxa"/>
            <w:vAlign w:val="bottom"/>
          </w:tcPr>
          <w:p>
            <w:pPr>
              <w:spacing w:after="0"/>
              <w:rPr>
                <w:sz w:val="18"/>
                <w:szCs w:val="18"/>
                <w:color w:val="auto"/>
              </w:rPr>
            </w:pP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temporal properties, such as source rock, reservoir structure, timing, trapping mechanism and hydrocarbon</w:t>
            </w:r>
          </w:p>
        </w:tc>
      </w:tr>
      <w:tr>
        <w:trPr>
          <w:trHeight w:val="234"/>
        </w:trPr>
        <w:tc>
          <w:tcPr>
            <w:tcW w:w="2820" w:type="dxa"/>
            <w:vAlign w:val="bottom"/>
          </w:tcPr>
          <w:p>
            <w:pPr>
              <w:spacing w:after="0"/>
              <w:rPr>
                <w:sz w:val="20"/>
                <w:szCs w:val="20"/>
                <w:color w:val="auto"/>
              </w:rPr>
            </w:pP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type.</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25"/>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Plugging and abandonment</w:t>
            </w:r>
          </w:p>
        </w:tc>
        <w:tc>
          <w:tcPr>
            <w:tcW w:w="8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Refers to the sealing off of fluids in the strata penetrated by a well so that the fluids from one stratum will not</w:t>
            </w:r>
          </w:p>
        </w:tc>
      </w:tr>
      <w:tr>
        <w:trPr>
          <w:trHeight w:val="241"/>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escape into another or to the surface. Regulations of all states require plugging of abandoned wells.</w:t>
            </w:r>
          </w:p>
        </w:tc>
      </w:tr>
      <w:tr>
        <w:trPr>
          <w:trHeight w:val="225"/>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Prospect</w:t>
            </w: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 specific geographic area which, based on supporting geological, geophysical or other data and also</w:t>
            </w:r>
          </w:p>
        </w:tc>
      </w:tr>
      <w:tr>
        <w:trPr>
          <w:trHeight w:val="216"/>
        </w:trPr>
        <w:tc>
          <w:tcPr>
            <w:tcW w:w="2820" w:type="dxa"/>
            <w:vAlign w:val="bottom"/>
          </w:tcPr>
          <w:p>
            <w:pPr>
              <w:spacing w:after="0"/>
              <w:rPr>
                <w:sz w:val="18"/>
                <w:szCs w:val="18"/>
                <w:color w:val="auto"/>
              </w:rPr>
            </w:pP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preliminary economic analysis using reasonably anticipated prices and costs, is deemed to have potential for</w:t>
            </w:r>
          </w:p>
        </w:tc>
      </w:tr>
      <w:tr>
        <w:trPr>
          <w:trHeight w:val="234"/>
        </w:trPr>
        <w:tc>
          <w:tcPr>
            <w:tcW w:w="2820" w:type="dxa"/>
            <w:vAlign w:val="bottom"/>
          </w:tcPr>
          <w:p>
            <w:pPr>
              <w:spacing w:after="0"/>
              <w:rPr>
                <w:sz w:val="20"/>
                <w:szCs w:val="20"/>
                <w:color w:val="auto"/>
              </w:rPr>
            </w:pP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discovery of commercial hydrocarbons.</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25"/>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Proved reserves</w:t>
            </w:r>
          </w:p>
        </w:tc>
        <w:tc>
          <w:tcPr>
            <w:tcW w:w="8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The estimated quantities of oil, natural gas and natural gas liquids which geological and engineering data</w:t>
            </w: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demonstrate with reasonable certainty to be commercially recoverable in future years from known reservoirs</w:t>
            </w:r>
          </w:p>
        </w:tc>
      </w:tr>
      <w:tr>
        <w:trPr>
          <w:trHeight w:val="241"/>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under existing economic and operating conditions.</w:t>
            </w:r>
          </w:p>
        </w:tc>
      </w:tr>
      <w:tr>
        <w:trPr>
          <w:trHeight w:val="225"/>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Reserves</w:t>
            </w: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estimated remaining quantities of oil and natural gas and related substances anticipated to be economically</w:t>
            </w:r>
          </w:p>
        </w:tc>
      </w:tr>
      <w:tr>
        <w:trPr>
          <w:trHeight w:val="216"/>
        </w:trPr>
        <w:tc>
          <w:tcPr>
            <w:tcW w:w="2820" w:type="dxa"/>
            <w:vAlign w:val="bottom"/>
          </w:tcPr>
          <w:p>
            <w:pPr>
              <w:spacing w:after="0"/>
              <w:rPr>
                <w:sz w:val="18"/>
                <w:szCs w:val="18"/>
                <w:color w:val="auto"/>
              </w:rPr>
            </w:pP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producible, as of a given date, by application of development projects to known accumulations. In addition,</w:t>
            </w:r>
          </w:p>
        </w:tc>
      </w:tr>
      <w:tr>
        <w:trPr>
          <w:trHeight w:val="216"/>
        </w:trPr>
        <w:tc>
          <w:tcPr>
            <w:tcW w:w="2820" w:type="dxa"/>
            <w:vAlign w:val="bottom"/>
          </w:tcPr>
          <w:p>
            <w:pPr>
              <w:spacing w:after="0"/>
              <w:rPr>
                <w:sz w:val="18"/>
                <w:szCs w:val="18"/>
                <w:color w:val="auto"/>
              </w:rPr>
            </w:pP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there must exist, or there must be a reasonable expectation that there will exist, the legal right to produce or a</w:t>
            </w:r>
          </w:p>
        </w:tc>
      </w:tr>
      <w:tr>
        <w:trPr>
          <w:trHeight w:val="216"/>
        </w:trPr>
        <w:tc>
          <w:tcPr>
            <w:tcW w:w="2820" w:type="dxa"/>
            <w:vAlign w:val="bottom"/>
          </w:tcPr>
          <w:p>
            <w:pPr>
              <w:spacing w:after="0"/>
              <w:rPr>
                <w:sz w:val="18"/>
                <w:szCs w:val="18"/>
                <w:color w:val="auto"/>
              </w:rPr>
            </w:pP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revenue interest in the production, installed means of delivering oil and natural gas or related substances to the</w:t>
            </w:r>
          </w:p>
        </w:tc>
      </w:tr>
      <w:tr>
        <w:trPr>
          <w:trHeight w:val="216"/>
        </w:trPr>
        <w:tc>
          <w:tcPr>
            <w:tcW w:w="2820" w:type="dxa"/>
            <w:vAlign w:val="bottom"/>
          </w:tcPr>
          <w:p>
            <w:pPr>
              <w:spacing w:after="0"/>
              <w:rPr>
                <w:sz w:val="18"/>
                <w:szCs w:val="18"/>
                <w:color w:val="auto"/>
              </w:rPr>
            </w:pP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market and all permits and financing required to implement the project. Reserves are not assigned to adjacent</w:t>
            </w:r>
          </w:p>
        </w:tc>
      </w:tr>
      <w:tr>
        <w:trPr>
          <w:trHeight w:val="216"/>
        </w:trPr>
        <w:tc>
          <w:tcPr>
            <w:tcW w:w="2820" w:type="dxa"/>
            <w:vAlign w:val="bottom"/>
          </w:tcPr>
          <w:p>
            <w:pPr>
              <w:spacing w:after="0"/>
              <w:rPr>
                <w:sz w:val="18"/>
                <w:szCs w:val="18"/>
                <w:color w:val="auto"/>
              </w:rPr>
            </w:pP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reservoirs isolated by major, potentially sealing, faults until those reservoirs are penetrated and evaluated as</w:t>
            </w:r>
          </w:p>
        </w:tc>
      </w:tr>
      <w:tr>
        <w:trPr>
          <w:trHeight w:val="216"/>
        </w:trPr>
        <w:tc>
          <w:tcPr>
            <w:tcW w:w="2820" w:type="dxa"/>
            <w:vAlign w:val="bottom"/>
          </w:tcPr>
          <w:p>
            <w:pPr>
              <w:spacing w:after="0"/>
              <w:rPr>
                <w:sz w:val="18"/>
                <w:szCs w:val="18"/>
                <w:color w:val="auto"/>
              </w:rPr>
            </w:pP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economically producible. Reserves should not be assigned to areas that are clearly separated from a known</w:t>
            </w:r>
          </w:p>
        </w:tc>
      </w:tr>
      <w:tr>
        <w:trPr>
          <w:trHeight w:val="216"/>
        </w:trPr>
        <w:tc>
          <w:tcPr>
            <w:tcW w:w="2820" w:type="dxa"/>
            <w:vAlign w:val="bottom"/>
          </w:tcPr>
          <w:p>
            <w:pPr>
              <w:spacing w:after="0"/>
              <w:rPr>
                <w:sz w:val="18"/>
                <w:szCs w:val="18"/>
                <w:color w:val="auto"/>
              </w:rPr>
            </w:pP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accumulation by a non-productive reservoir (i.e., absence of reservoir, structurally low reservoir or negative</w:t>
            </w:r>
          </w:p>
        </w:tc>
      </w:tr>
      <w:tr>
        <w:trPr>
          <w:trHeight w:val="216"/>
        </w:trPr>
        <w:tc>
          <w:tcPr>
            <w:tcW w:w="2820" w:type="dxa"/>
            <w:vAlign w:val="bottom"/>
          </w:tcPr>
          <w:p>
            <w:pPr>
              <w:spacing w:after="0"/>
              <w:rPr>
                <w:sz w:val="18"/>
                <w:szCs w:val="18"/>
                <w:color w:val="auto"/>
              </w:rPr>
            </w:pP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test results). Such areas may contain prospective resources (i.e., potentially recoverable resources from</w:t>
            </w:r>
          </w:p>
        </w:tc>
      </w:tr>
      <w:tr>
        <w:trPr>
          <w:trHeight w:val="234"/>
        </w:trPr>
        <w:tc>
          <w:tcPr>
            <w:tcW w:w="2820" w:type="dxa"/>
            <w:vAlign w:val="bottom"/>
          </w:tcPr>
          <w:p>
            <w:pPr>
              <w:spacing w:after="0"/>
              <w:rPr>
                <w:sz w:val="20"/>
                <w:szCs w:val="20"/>
                <w:color w:val="auto"/>
              </w:rPr>
            </w:pPr>
          </w:p>
        </w:tc>
        <w:tc>
          <w:tcPr>
            <w:tcW w:w="8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undiscovered accumulations).</w:t>
            </w: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r>
      <w:tr>
        <w:trPr>
          <w:trHeight w:val="225"/>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Reservoir</w:t>
            </w:r>
          </w:p>
        </w:tc>
        <w:tc>
          <w:tcPr>
            <w:tcW w:w="8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 porous and permeable underground formation containing a natural accumulation of producible natural gas</w:t>
            </w:r>
          </w:p>
        </w:tc>
      </w:tr>
      <w:tr>
        <w:trPr>
          <w:trHeight w:val="241"/>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and/or oil that is confined by impermeable rock or water barriers and is separate from other reservoirs.</w:t>
            </w:r>
          </w:p>
        </w:tc>
      </w:tr>
      <w:tr>
        <w:trPr>
          <w:trHeight w:val="20"/>
        </w:trPr>
        <w:tc>
          <w:tcPr>
            <w:tcW w:w="2820" w:type="dxa"/>
            <w:vAlign w:val="bottom"/>
            <w:shd w:val="clear" w:color="auto" w:fill="000000"/>
          </w:tcPr>
          <w:p>
            <w:pPr>
              <w:spacing w:after="0" w:line="20" w:lineRule="exact"/>
              <w:rPr>
                <w:sz w:val="1"/>
                <w:szCs w:val="1"/>
                <w:color w:val="auto"/>
              </w:rPr>
            </w:pPr>
          </w:p>
        </w:tc>
        <w:tc>
          <w:tcPr>
            <w:tcW w:w="860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20"/>
          </w:cols>
          <w:pgMar w:left="240" w:top="73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Royalty interest</w:t>
            </w:r>
          </w:p>
        </w:tc>
        <w:tc>
          <w:tcPr>
            <w:tcW w:w="91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An interest that gives an owner the right to receive a portion of the resources or revenues without having to</w:t>
            </w:r>
          </w:p>
        </w:tc>
      </w:tr>
      <w:tr>
        <w:trPr>
          <w:trHeight w:val="234"/>
        </w:trPr>
        <w:tc>
          <w:tcPr>
            <w:tcW w:w="2300" w:type="dxa"/>
            <w:vAlign w:val="bottom"/>
          </w:tcPr>
          <w:p>
            <w:pPr>
              <w:spacing w:after="0"/>
              <w:rPr>
                <w:sz w:val="20"/>
                <w:szCs w:val="20"/>
                <w:color w:val="auto"/>
              </w:rPr>
            </w:pPr>
          </w:p>
        </w:tc>
        <w:tc>
          <w:tcPr>
            <w:tcW w:w="91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carry any costs of development.</w:t>
            </w:r>
          </w:p>
        </w:tc>
      </w:tr>
      <w:tr>
        <w:trPr>
          <w:trHeight w:val="27"/>
        </w:trPr>
        <w:tc>
          <w:tcPr>
            <w:tcW w:w="230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225"/>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Spacing</w:t>
            </w:r>
          </w:p>
        </w:tc>
        <w:tc>
          <w:tcPr>
            <w:tcW w:w="91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The distance between wells producing from the same reservoir. Spacing is often expressed in terms of acres</w:t>
            </w:r>
          </w:p>
        </w:tc>
      </w:tr>
      <w:tr>
        <w:trPr>
          <w:trHeight w:val="241"/>
        </w:trPr>
        <w:tc>
          <w:tcPr>
            <w:tcW w:w="2300" w:type="dxa"/>
            <w:vAlign w:val="bottom"/>
            <w:tcBorders>
              <w:bottom w:val="single" w:sz="8" w:color="CCEEFF"/>
            </w:tcBorders>
            <w:shd w:val="clear" w:color="auto" w:fill="CCEEFF"/>
          </w:tcPr>
          <w:p>
            <w:pPr>
              <w:spacing w:after="0"/>
              <w:rPr>
                <w:sz w:val="20"/>
                <w:szCs w:val="20"/>
                <w:color w:val="auto"/>
              </w:rPr>
            </w:pPr>
          </w:p>
        </w:tc>
        <w:tc>
          <w:tcPr>
            <w:tcW w:w="91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(e.g., 40-acre spacing) and is often established by regulatory agencies.</w:t>
            </w:r>
          </w:p>
        </w:tc>
      </w:tr>
      <w:tr>
        <w:trPr>
          <w:trHeight w:val="225"/>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interest</w:t>
            </w:r>
          </w:p>
        </w:tc>
        <w:tc>
          <w:tcPr>
            <w:tcW w:w="91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An operating interest that gives the owner the right to drill, produce and conduct operating activities on the</w:t>
            </w:r>
          </w:p>
        </w:tc>
      </w:tr>
      <w:tr>
        <w:trPr>
          <w:trHeight w:val="216"/>
        </w:trPr>
        <w:tc>
          <w:tcPr>
            <w:tcW w:w="2300" w:type="dxa"/>
            <w:vAlign w:val="bottom"/>
          </w:tcPr>
          <w:p>
            <w:pPr>
              <w:spacing w:after="0"/>
              <w:rPr>
                <w:sz w:val="18"/>
                <w:szCs w:val="18"/>
                <w:color w:val="auto"/>
              </w:rPr>
            </w:pPr>
          </w:p>
        </w:tc>
        <w:tc>
          <w:tcPr>
            <w:tcW w:w="91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property and receive a share of production and requires the owner to pay a share of the costs of drilling and</w:t>
            </w:r>
          </w:p>
        </w:tc>
      </w:tr>
      <w:tr>
        <w:trPr>
          <w:trHeight w:val="234"/>
        </w:trPr>
        <w:tc>
          <w:tcPr>
            <w:tcW w:w="2300" w:type="dxa"/>
            <w:vAlign w:val="bottom"/>
          </w:tcPr>
          <w:p>
            <w:pPr>
              <w:spacing w:after="0"/>
              <w:rPr>
                <w:sz w:val="20"/>
                <w:szCs w:val="20"/>
                <w:color w:val="auto"/>
              </w:rPr>
            </w:pPr>
          </w:p>
        </w:tc>
        <w:tc>
          <w:tcPr>
            <w:tcW w:w="91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production operations.</w:t>
            </w:r>
          </w:p>
        </w:tc>
      </w:tr>
      <w:tr>
        <w:trPr>
          <w:trHeight w:val="27"/>
        </w:trPr>
        <w:tc>
          <w:tcPr>
            <w:tcW w:w="2300" w:type="dxa"/>
            <w:vAlign w:val="bottom"/>
            <w:tcBorders>
              <w:bottom w:val="single" w:sz="8" w:color="auto"/>
            </w:tcBorders>
          </w:tcPr>
          <w:p>
            <w:pPr>
              <w:spacing w:after="0"/>
              <w:rPr>
                <w:sz w:val="2"/>
                <w:szCs w:val="2"/>
                <w:color w:val="auto"/>
              </w:rPr>
            </w:pPr>
          </w:p>
        </w:tc>
        <w:tc>
          <w:tcPr>
            <w:tcW w:w="9120" w:type="dxa"/>
            <w:vAlign w:val="bottom"/>
            <w:tcBorders>
              <w:bottom w:val="single" w:sz="8" w:color="auto"/>
            </w:tcBorders>
          </w:tcPr>
          <w:p>
            <w:pPr>
              <w:spacing w:after="0"/>
              <w:rPr>
                <w:sz w:val="2"/>
                <w:szCs w:val="2"/>
                <w:color w:val="auto"/>
              </w:rPr>
            </w:pPr>
          </w:p>
        </w:tc>
      </w:tr>
      <w:tr>
        <w:trPr>
          <w:trHeight w:val="453"/>
        </w:trPr>
        <w:tc>
          <w:tcPr>
            <w:tcW w:w="2300" w:type="dxa"/>
            <w:vAlign w:val="bottom"/>
          </w:tcPr>
          <w:p>
            <w:pPr>
              <w:spacing w:after="0"/>
              <w:rPr>
                <w:sz w:val="24"/>
                <w:szCs w:val="24"/>
                <w:color w:val="auto"/>
              </w:rPr>
            </w:pPr>
          </w:p>
        </w:tc>
        <w:tc>
          <w:tcPr>
            <w:tcW w:w="912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iii</w:t>
            </w:r>
          </w:p>
        </w:tc>
      </w:tr>
    </w:tbl>
    <w:p>
      <w:pPr>
        <w:sectPr>
          <w:pgSz w:w="11900" w:h="16838" w:orient="portrait"/>
          <w:cols w:equalWidth="0" w:num="1">
            <w:col w:w="11420"/>
          </w:cols>
          <w:pgMar w:left="240" w:top="742"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880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GLOSSARY OF CERTAIN OTHER TERMS</w:t>
            </w:r>
          </w:p>
        </w:tc>
      </w:tr>
      <w:tr>
        <w:trPr>
          <w:trHeight w:val="378"/>
        </w:trPr>
        <w:tc>
          <w:tcPr>
            <w:tcW w:w="11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is a glossary of certain other terms that are used in this report.</w:t>
            </w:r>
          </w:p>
        </w:tc>
      </w:tr>
      <w:tr>
        <w:trPr>
          <w:trHeight w:val="135"/>
        </w:trPr>
        <w:tc>
          <w:tcPr>
            <w:tcW w:w="2620" w:type="dxa"/>
            <w:vAlign w:val="bottom"/>
            <w:tcBorders>
              <w:bottom w:val="single" w:sz="8" w:color="auto"/>
            </w:tcBorders>
          </w:tcPr>
          <w:p>
            <w:pPr>
              <w:spacing w:after="0"/>
              <w:rPr>
                <w:sz w:val="11"/>
                <w:szCs w:val="11"/>
                <w:color w:val="auto"/>
              </w:rPr>
            </w:pPr>
          </w:p>
        </w:tc>
        <w:tc>
          <w:tcPr>
            <w:tcW w:w="8800" w:type="dxa"/>
            <w:vAlign w:val="bottom"/>
            <w:tcBorders>
              <w:bottom w:val="single" w:sz="8" w:color="auto"/>
            </w:tcBorders>
          </w:tcPr>
          <w:p>
            <w:pPr>
              <w:spacing w:after="0"/>
              <w:rPr>
                <w:sz w:val="11"/>
                <w:szCs w:val="11"/>
                <w:color w:val="auto"/>
              </w:rPr>
            </w:pPr>
          </w:p>
        </w:tc>
      </w:tr>
      <w:tr>
        <w:trPr>
          <w:trHeight w:val="244"/>
        </w:trPr>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2012 Plan</w:t>
            </w:r>
          </w:p>
        </w:tc>
        <w:tc>
          <w:tcPr>
            <w:tcW w:w="88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The Company’s 2012 Equity Incentive Plan.</w:t>
            </w:r>
          </w:p>
        </w:tc>
      </w:tr>
      <w:tr>
        <w:trPr>
          <w:trHeight w:val="243"/>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88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Diamondback Energy, Inc., a Delaware corporation.</w:t>
            </w:r>
          </w:p>
        </w:tc>
      </w:tr>
      <w:tr>
        <w:trPr>
          <w:trHeight w:val="27"/>
        </w:trPr>
        <w:tc>
          <w:tcPr>
            <w:tcW w:w="262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412"/>
        </w:trPr>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Exchange Act</w:t>
            </w:r>
          </w:p>
        </w:tc>
        <w:tc>
          <w:tcPr>
            <w:tcW w:w="88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405"/>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GAAP</w:t>
            </w:r>
          </w:p>
        </w:tc>
        <w:tc>
          <w:tcPr>
            <w:tcW w:w="88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w:t>
            </w:r>
          </w:p>
        </w:tc>
      </w:tr>
      <w:tr>
        <w:trPr>
          <w:trHeight w:val="27"/>
        </w:trPr>
        <w:tc>
          <w:tcPr>
            <w:tcW w:w="262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387"/>
        </w:trPr>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Partner</w:t>
            </w:r>
          </w:p>
        </w:tc>
        <w:tc>
          <w:tcPr>
            <w:tcW w:w="88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Viper Energy Partners GP LLC, a Delaware limited liability company and the General Partner of the</w:t>
            </w:r>
          </w:p>
        </w:tc>
      </w:tr>
      <w:tr>
        <w:trPr>
          <w:trHeight w:val="241"/>
        </w:trPr>
        <w:tc>
          <w:tcPr>
            <w:tcW w:w="2620" w:type="dxa"/>
            <w:vAlign w:val="bottom"/>
            <w:tcBorders>
              <w:bottom w:val="single" w:sz="8" w:color="CCEEFF"/>
            </w:tcBorders>
            <w:shd w:val="clear" w:color="auto" w:fill="CCEEFF"/>
          </w:tcPr>
          <w:p>
            <w:pPr>
              <w:spacing w:after="0"/>
              <w:rPr>
                <w:sz w:val="20"/>
                <w:szCs w:val="20"/>
                <w:color w:val="auto"/>
              </w:rPr>
            </w:pPr>
          </w:p>
        </w:tc>
        <w:tc>
          <w:tcPr>
            <w:tcW w:w="88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Partnership.</w:t>
            </w:r>
          </w:p>
        </w:tc>
      </w:tr>
      <w:tr>
        <w:trPr>
          <w:trHeight w:val="225"/>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Indenture</w:t>
            </w:r>
          </w:p>
        </w:tc>
        <w:tc>
          <w:tcPr>
            <w:tcW w:w="88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indenture relating to the Senior Notes, dated as of September 18, 2013, among the Company, the</w:t>
            </w:r>
          </w:p>
        </w:tc>
      </w:tr>
      <w:tr>
        <w:trPr>
          <w:trHeight w:val="234"/>
        </w:trPr>
        <w:tc>
          <w:tcPr>
            <w:tcW w:w="2620" w:type="dxa"/>
            <w:vAlign w:val="bottom"/>
          </w:tcPr>
          <w:p>
            <w:pPr>
              <w:spacing w:after="0"/>
              <w:rPr>
                <w:sz w:val="20"/>
                <w:szCs w:val="20"/>
                <w:color w:val="auto"/>
              </w:rPr>
            </w:pPr>
          </w:p>
        </w:tc>
        <w:tc>
          <w:tcPr>
            <w:tcW w:w="88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subsidiary guarantors party thereto and Wells Fargo, as the trustee, as supplemented.</w:t>
            </w:r>
          </w:p>
        </w:tc>
      </w:tr>
      <w:tr>
        <w:trPr>
          <w:trHeight w:val="27"/>
        </w:trPr>
        <w:tc>
          <w:tcPr>
            <w:tcW w:w="262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NYMEX</w:t>
            </w:r>
          </w:p>
        </w:tc>
        <w:tc>
          <w:tcPr>
            <w:tcW w:w="88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405"/>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Partnership</w:t>
            </w:r>
          </w:p>
        </w:tc>
        <w:tc>
          <w:tcPr>
            <w:tcW w:w="88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Viper Energy Partners LP, a Delaware limited partnership.</w:t>
            </w:r>
          </w:p>
        </w:tc>
      </w:tr>
      <w:tr>
        <w:trPr>
          <w:trHeight w:val="27"/>
        </w:trPr>
        <w:tc>
          <w:tcPr>
            <w:tcW w:w="262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387"/>
        </w:trPr>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Partnership agreement</w:t>
            </w:r>
          </w:p>
        </w:tc>
        <w:tc>
          <w:tcPr>
            <w:tcW w:w="88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The first amended and restated agreement of limited partnership, dated June 23, 2014, entered into by the</w:t>
            </w:r>
          </w:p>
        </w:tc>
      </w:tr>
      <w:tr>
        <w:trPr>
          <w:trHeight w:val="241"/>
        </w:trPr>
        <w:tc>
          <w:tcPr>
            <w:tcW w:w="2620" w:type="dxa"/>
            <w:vAlign w:val="bottom"/>
            <w:tcBorders>
              <w:bottom w:val="single" w:sz="8" w:color="CCEEFF"/>
            </w:tcBorders>
            <w:shd w:val="clear" w:color="auto" w:fill="CCEEFF"/>
          </w:tcPr>
          <w:p>
            <w:pPr>
              <w:spacing w:after="0"/>
              <w:rPr>
                <w:sz w:val="20"/>
                <w:szCs w:val="20"/>
                <w:color w:val="auto"/>
              </w:rPr>
            </w:pPr>
          </w:p>
        </w:tc>
        <w:tc>
          <w:tcPr>
            <w:tcW w:w="88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General Partner and Diamondback in connection with the closing of the Viper Offering.</w:t>
            </w:r>
          </w:p>
        </w:tc>
      </w:tr>
      <w:tr>
        <w:trPr>
          <w:trHeight w:val="405"/>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w:t>
            </w:r>
          </w:p>
        </w:tc>
        <w:tc>
          <w:tcPr>
            <w:tcW w:w="88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27"/>
        </w:trPr>
        <w:tc>
          <w:tcPr>
            <w:tcW w:w="262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412"/>
        </w:trPr>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Securities Act</w:t>
            </w:r>
          </w:p>
        </w:tc>
        <w:tc>
          <w:tcPr>
            <w:tcW w:w="88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243"/>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 Senior Notes</w:t>
            </w:r>
          </w:p>
        </w:tc>
        <w:tc>
          <w:tcPr>
            <w:tcW w:w="880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The Company’s 4.750% senior unsecured notes due 2024 in the aggregate principal amount of $500 million.</w:t>
            </w:r>
          </w:p>
        </w:tc>
      </w:tr>
      <w:tr>
        <w:trPr>
          <w:trHeight w:val="27"/>
        </w:trPr>
        <w:tc>
          <w:tcPr>
            <w:tcW w:w="262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 Senior Notes</w:t>
            </w:r>
          </w:p>
        </w:tc>
        <w:tc>
          <w:tcPr>
            <w:tcW w:w="88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The Company’s 5.375% senior unsecured notes due 2025 in the aggregate principal amount of $500 million.</w:t>
            </w:r>
          </w:p>
        </w:tc>
      </w:tr>
      <w:tr>
        <w:trPr>
          <w:trHeight w:val="243"/>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w:t>
            </w:r>
          </w:p>
        </w:tc>
        <w:tc>
          <w:tcPr>
            <w:tcW w:w="88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2024 Senior Notes and the 2025 Senior Notes.</w:t>
            </w:r>
          </w:p>
        </w:tc>
      </w:tr>
      <w:tr>
        <w:trPr>
          <w:trHeight w:val="27"/>
        </w:trPr>
        <w:tc>
          <w:tcPr>
            <w:tcW w:w="262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Viper LTIP</w:t>
            </w:r>
          </w:p>
        </w:tc>
        <w:tc>
          <w:tcPr>
            <w:tcW w:w="88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Viper Energy Partners LP Long Term Incentive Plan.</w:t>
            </w:r>
          </w:p>
        </w:tc>
      </w:tr>
      <w:tr>
        <w:trPr>
          <w:trHeight w:val="243"/>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Viper Offering</w:t>
            </w:r>
          </w:p>
        </w:tc>
        <w:tc>
          <w:tcPr>
            <w:tcW w:w="88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Partnerships’ initial public offering.</w:t>
            </w:r>
          </w:p>
        </w:tc>
      </w:tr>
      <w:tr>
        <w:trPr>
          <w:trHeight w:val="27"/>
        </w:trPr>
        <w:tc>
          <w:tcPr>
            <w:tcW w:w="262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412"/>
        </w:trPr>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Wells Fargo</w:t>
            </w:r>
          </w:p>
        </w:tc>
        <w:tc>
          <w:tcPr>
            <w:tcW w:w="88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Wells Fargo Bank, National Association.</w:t>
            </w:r>
          </w:p>
        </w:tc>
      </w:tr>
      <w:tr>
        <w:trPr>
          <w:trHeight w:val="20"/>
        </w:trPr>
        <w:tc>
          <w:tcPr>
            <w:tcW w:w="2620" w:type="dxa"/>
            <w:vAlign w:val="bottom"/>
            <w:shd w:val="clear" w:color="auto" w:fill="000000"/>
          </w:tcPr>
          <w:p>
            <w:pPr>
              <w:spacing w:after="0" w:line="20" w:lineRule="exact"/>
              <w:rPr>
                <w:sz w:val="1"/>
                <w:szCs w:val="1"/>
                <w:color w:val="auto"/>
              </w:rPr>
            </w:pPr>
          </w:p>
        </w:tc>
        <w:tc>
          <w:tcPr>
            <w:tcW w:w="88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420"/>
          </w:cols>
          <w:pgMar w:left="240" w:top="738"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STATEMENTS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Various statements contained in this report that express a belief, expectation, or intention, or that are not statements of historical fact, are forward-looking statements within the meaning of Section 27A of the Securities Act, and Section 21E of the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and detailed under </w:t>
      </w:r>
      <w:r>
        <w:rPr>
          <w:rFonts w:ascii="Times New Roman" w:cs="Times New Roman" w:eastAsia="Times New Roman" w:hAnsi="Times New Roman"/>
          <w:sz w:val="18"/>
          <w:szCs w:val="18"/>
          <w:i w:val="1"/>
          <w:iCs w:val="1"/>
          <w:color w:val="auto"/>
        </w:rPr>
        <w:t>Part II, Item 1A. Risk Factors</w:t>
      </w:r>
      <w:r>
        <w:rPr>
          <w:rFonts w:ascii="Times New Roman" w:cs="Times New Roman" w:eastAsia="Times New Roman" w:hAnsi="Times New Roman"/>
          <w:sz w:val="18"/>
          <w:szCs w:val="18"/>
          <w:color w:val="auto"/>
        </w:rPr>
        <w:t xml:space="preserve"> in this report and our Annual Report on Form 10–K for the year ended December 31, 2016 could affect our actual results and cause our actual results to differ materially from expectations, estimates or assumptions expressed, forecasted or implied in such forward-looking statements.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Forward-looking statements may include statements about our:</w:t>
      </w:r>
    </w:p>
    <w:p>
      <w:pPr>
        <w:spacing w:after="0" w:line="225"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strategy;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exploration and development drilling prospects, inventories, projects and programs;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natural gas reserves;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including our acquisition in the Southern Delaware Basin;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drilling locations;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permits and governmental approvals;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strategy;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oil and natural gas prices;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operating expenses, general and administrative costs and finding and development costs;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operating results;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objectives, expectations and intentions.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420"/>
          </w:cols>
          <w:pgMar w:left="240" w:top="581"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8580" w:type="dxa"/>
            <w:vAlign w:val="bottom"/>
          </w:tcPr>
          <w:p>
            <w:pPr>
              <w:spacing w:after="0"/>
              <w:rPr>
                <w:sz w:val="18"/>
                <w:szCs w:val="18"/>
                <w:color w:val="auto"/>
              </w:rPr>
            </w:pPr>
          </w:p>
        </w:tc>
        <w:tc>
          <w:tcPr>
            <w:tcW w:w="28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(In thousands, except par values and</w:t>
            </w:r>
          </w:p>
        </w:tc>
        <w:tc>
          <w:tcPr>
            <w:tcW w:w="0" w:type="dxa"/>
            <w:vAlign w:val="bottom"/>
          </w:tcPr>
          <w:p>
            <w:pPr>
              <w:spacing w:after="0"/>
              <w:rPr>
                <w:sz w:val="1"/>
                <w:szCs w:val="1"/>
                <w:color w:val="auto"/>
              </w:rPr>
            </w:pPr>
          </w:p>
        </w:tc>
      </w:tr>
      <w:tr>
        <w:trPr>
          <w:trHeight w:val="238"/>
        </w:trPr>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share data)</w:t>
            </w:r>
          </w:p>
        </w:tc>
        <w:tc>
          <w:tcPr>
            <w:tcW w:w="0" w:type="dxa"/>
            <w:vAlign w:val="bottom"/>
          </w:tcPr>
          <w:p>
            <w:pPr>
              <w:spacing w:after="0"/>
              <w:rPr>
                <w:sz w:val="1"/>
                <w:szCs w:val="1"/>
                <w:color w:val="auto"/>
              </w:rPr>
            </w:pPr>
          </w:p>
        </w:tc>
      </w:tr>
      <w:tr>
        <w:trPr>
          <w:trHeight w:val="270"/>
        </w:trPr>
        <w:tc>
          <w:tcPr>
            <w:tcW w:w="858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1,666,574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Joint interest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55,953</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49,476</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Oil and natural gas sales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83,425</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70,349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Related party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3,027</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14,374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4,457</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198,774</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1,792,166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Oil and natural gas properties, full cost method of accounting ($3,892,109 and $1,730,519 excluded from</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at March 31, 2017 and December 31, 2016,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7,870,991</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5,160,261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Midstream assets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56,833</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8,362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70,170</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58,290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depletion, depreciation, amortization and impairment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(1,894,897)</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(1,836,056)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6,103,097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3,390,857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Funds held in escrow</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2,051</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121,391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62,553</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44,557</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6,369,700</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5,349,680</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29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payable-trade</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19,689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47,648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payable-related party</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94,810</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60,350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80,763</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55,330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48,807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23,405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22,608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244,069</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209,342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985,786</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1,105,912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18,939</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16,134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1,548</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1,250,342</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1,331,388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$0.01 par value, 200,000,000 shares authorized, 98,127,709 issued and outstanding at March 31,</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2017; 90,143,934 issued and outstanding at December 31, 2016</w:t>
            </w: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981</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5,034,007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4,215,955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(383,121)</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(519,394)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Diamondback Energy, Inc.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4,651,867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3,697,462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467,491</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320,830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5,119,358</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4,018,292</w:t>
            </w:r>
          </w:p>
        </w:tc>
        <w:tc>
          <w:tcPr>
            <w:tcW w:w="0" w:type="dxa"/>
            <w:vAlign w:val="bottom"/>
          </w:tcPr>
          <w:p>
            <w:pPr>
              <w:spacing w:after="0"/>
              <w:rPr>
                <w:sz w:val="1"/>
                <w:szCs w:val="1"/>
                <w:color w:val="auto"/>
              </w:rPr>
            </w:pPr>
          </w:p>
        </w:tc>
      </w:tr>
      <w:tr>
        <w:trPr>
          <w:trHeight w:val="25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6,369,700</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5,349,680</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120"/>
              <w:spacing w:after="0"/>
              <w:rPr>
                <w:sz w:val="20"/>
                <w:szCs w:val="20"/>
                <w:color w:val="auto"/>
              </w:rPr>
            </w:pPr>
            <w:r>
              <w:rPr>
                <w:rFonts w:ascii="Times New Roman" w:cs="Times New Roman" w:eastAsia="Times New Roman" w:hAnsi="Times New Roman"/>
                <w:sz w:val="18"/>
                <w:szCs w:val="18"/>
                <w:color w:val="auto"/>
              </w:rPr>
              <w:t>See accompanying notes to combined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9"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9" w:gutter="0" w:footer="0" w:header="0"/>
          <w:type w:val="continuous"/>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94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94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22860</wp:posOffset>
            </wp:positionV>
            <wp:extent cx="1303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9360" w:type="dxa"/>
            <w:vAlign w:val="bottom"/>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r>
      <w:tr>
        <w:trPr>
          <w:trHeight w:val="214"/>
        </w:trPr>
        <w:tc>
          <w:tcPr>
            <w:tcW w:w="936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 except per</w:t>
            </w:r>
          </w:p>
        </w:tc>
      </w:tr>
      <w:tr>
        <w:trPr>
          <w:trHeight w:val="238"/>
        </w:trPr>
        <w:tc>
          <w:tcPr>
            <w:tcW w:w="9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 amounts)</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Oil 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207,074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79,020</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Natural gas sales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9,922</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43"/>
        </w:trPr>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Natural gas liquid sales</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15,502</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4,439</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Lease bonus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Midstream services</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1,130</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9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235,230</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87,481</w:t>
            </w:r>
          </w:p>
        </w:tc>
      </w:tr>
      <w:tr>
        <w:trPr>
          <w:trHeight w:val="237"/>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Lease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26,626</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18,223</w:t>
            </w:r>
          </w:p>
        </w:tc>
      </w:tr>
      <w:tr>
        <w:trPr>
          <w:trHeight w:val="243"/>
        </w:trPr>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15,725</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7,962</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Gathering and transportation</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2,619</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2,789</w:t>
            </w:r>
          </w:p>
        </w:tc>
      </w:tr>
      <w:tr>
        <w:trPr>
          <w:trHeight w:val="243"/>
        </w:trPr>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Midstream services</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854</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58,929</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42,069</w:t>
            </w:r>
          </w:p>
        </w:tc>
      </w:tr>
      <w:tr>
        <w:trPr>
          <w:trHeight w:val="243"/>
        </w:trPr>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of oil and natural gas properties</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30,816</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9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expenses (including non-cash equity-based compensation, net of capitalized amounts, of $7,063</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41"/>
        </w:trPr>
        <w:tc>
          <w:tcPr>
            <w:tcW w:w="9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and $8,350 for the three months ended March 31, 2017 and 2016,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13,744</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12,979</w:t>
            </w:r>
          </w:p>
        </w:tc>
      </w:tr>
      <w:tr>
        <w:trPr>
          <w:trHeight w:val="243"/>
        </w:trPr>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 retirement obligation accretion</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r>
      <w:tr>
        <w:trPr>
          <w:trHeight w:val="27"/>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9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118,820</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115,084</w:t>
            </w:r>
          </w:p>
        </w:tc>
      </w:tr>
      <w:tr>
        <w:trPr>
          <w:trHeight w:val="237"/>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116,410</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(27,603)</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1,145</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w:t>
            </w:r>
          </w:p>
        </w:tc>
      </w:tr>
      <w:tr>
        <w:trPr>
          <w:trHeight w:val="243"/>
        </w:trPr>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derivative instruments, net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37,701</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1,426</w:t>
            </w:r>
          </w:p>
        </w:tc>
      </w:tr>
      <w:tr>
        <w:trPr>
          <w:trHeight w:val="27"/>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9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26,621</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r>
      <w:tr>
        <w:trPr>
          <w:trHeight w:val="237"/>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143,031</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(35,627)</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1,957</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141,074</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(35,627)</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4,801</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r>
      <w:tr>
        <w:trPr>
          <w:trHeight w:val="297"/>
        </w:trPr>
        <w:tc>
          <w:tcPr>
            <w:tcW w:w="9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attributable to Diamondback Energy, Inc.</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136,273</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(32,912)</w:t>
            </w: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93,161</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71,026</w:t>
            </w:r>
          </w:p>
        </w:tc>
      </w:tr>
      <w:tr>
        <w:trPr>
          <w:trHeight w:val="243"/>
        </w:trPr>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93,364</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71,026</w:t>
            </w: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combined consolidated financial statements.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800" w:type="dxa"/>
        <w:tblCellMar>
          <w:top w:w="0" w:type="dxa"/>
          <w:left w:w="0" w:type="dxa"/>
          <w:bottom w:w="0" w:type="dxa"/>
          <w:right w:w="0" w:type="dxa"/>
        </w:tblCellMar>
      </w:tblPr>
      <w:tr>
        <w:trPr>
          <w:trHeight w:val="216"/>
        </w:trPr>
        <w:tc>
          <w:tcPr>
            <w:tcW w:w="18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Borders>
              <w:bottom w:val="single" w:sz="8" w:color="auto"/>
            </w:tcBorders>
            <w:gridSpan w:val="2"/>
            <w:vMerge w:val="continue"/>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3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6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Controlling</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6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87"/>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17145</wp:posOffset>
            </wp:positionV>
            <wp:extent cx="4202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2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67" w:lineRule="exact"/>
        <w:rPr>
          <w:sz w:val="20"/>
          <w:szCs w:val="20"/>
          <w:color w:val="auto"/>
        </w:rPr>
      </w:pPr>
    </w:p>
    <w:p>
      <w:pPr>
        <w:ind w:left="180" w:right="1700" w:hanging="134"/>
        <w:spacing w:after="0" w:line="313" w:lineRule="auto"/>
        <w:rPr>
          <w:sz w:val="20"/>
          <w:szCs w:val="20"/>
          <w:color w:val="auto"/>
        </w:rPr>
      </w:pPr>
      <w:r>
        <w:rPr>
          <w:rFonts w:ascii="Times New Roman" w:cs="Times New Roman" w:eastAsia="Times New Roman" w:hAnsi="Times New Roman"/>
          <w:sz w:val="18"/>
          <w:szCs w:val="18"/>
          <w:color w:val="auto"/>
        </w:rPr>
        <w:t>Balance December 31, 2015 Unit-based compensation Stock-based compensation Distribution to non-controlling interest</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Common shares issued in public offering, net of offering costs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Exercise of stock options and vesting of restricted stock units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March 31, 2016</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December 31, 2016</w:t>
      </w:r>
    </w:p>
    <w:p>
      <w:pPr>
        <w:spacing w:after="0" w:line="63" w:lineRule="exact"/>
        <w:rPr>
          <w:sz w:val="20"/>
          <w:szCs w:val="20"/>
          <w:color w:val="auto"/>
        </w:rPr>
      </w:pPr>
    </w:p>
    <w:p>
      <w:pPr>
        <w:ind w:left="180" w:right="120"/>
        <w:spacing w:after="0" w:line="281" w:lineRule="auto"/>
        <w:rPr>
          <w:sz w:val="20"/>
          <w:szCs w:val="20"/>
          <w:color w:val="auto"/>
        </w:rPr>
      </w:pPr>
      <w:r>
        <w:rPr>
          <w:rFonts w:ascii="Times New Roman" w:cs="Times New Roman" w:eastAsia="Times New Roman" w:hAnsi="Times New Roman"/>
          <w:sz w:val="18"/>
          <w:szCs w:val="18"/>
          <w:color w:val="auto"/>
        </w:rPr>
        <w:t>Net proceeds from issuance of common units - Viper Energy Partners LP</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Unit-based compensation</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Distribution to non-controlling interest</w:t>
      </w:r>
    </w:p>
    <w:p>
      <w:pPr>
        <w:spacing w:after="0" w:line="63" w:lineRule="exact"/>
        <w:rPr>
          <w:sz w:val="20"/>
          <w:szCs w:val="20"/>
          <w:color w:val="auto"/>
        </w:rPr>
      </w:pPr>
    </w:p>
    <w:p>
      <w:pPr>
        <w:ind w:left="180"/>
        <w:spacing w:after="0" w:line="313" w:lineRule="auto"/>
        <w:rPr>
          <w:sz w:val="20"/>
          <w:szCs w:val="20"/>
          <w:color w:val="auto"/>
        </w:rPr>
      </w:pPr>
      <w:r>
        <w:rPr>
          <w:rFonts w:ascii="Times New Roman" w:cs="Times New Roman" w:eastAsia="Times New Roman" w:hAnsi="Times New Roman"/>
          <w:sz w:val="18"/>
          <w:szCs w:val="18"/>
          <w:color w:val="auto"/>
        </w:rPr>
        <w:t>Common shares issued in public offering, net of offering costs Common shares issued for acquisition</w:t>
      </w:r>
    </w:p>
    <w:p>
      <w:pPr>
        <w:ind w:left="180" w:right="80"/>
        <w:spacing w:after="0" w:line="328" w:lineRule="auto"/>
        <w:rPr>
          <w:sz w:val="20"/>
          <w:szCs w:val="20"/>
          <w:color w:val="auto"/>
        </w:rPr>
      </w:pPr>
      <w:r>
        <w:rPr>
          <w:rFonts w:ascii="Times New Roman" w:cs="Times New Roman" w:eastAsia="Times New Roman" w:hAnsi="Times New Roman"/>
          <w:sz w:val="18"/>
          <w:szCs w:val="18"/>
          <w:color w:val="auto"/>
        </w:rPr>
        <w:t>Exercise of stock options and vesting of restricted stock units Net income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March 31, 2017</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66,797</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2,229,664</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(354,360)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233,001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2,108,973</w:t>
            </w:r>
          </w:p>
        </w:tc>
      </w:tr>
      <w:tr>
        <w:trPr>
          <w:trHeight w:val="270"/>
        </w:trPr>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973</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973</w:t>
            </w:r>
          </w:p>
        </w:tc>
      </w:tr>
      <w:tr>
        <w:trPr>
          <w:trHeight w:val="270"/>
        </w:trPr>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10,141</w:t>
            </w:r>
          </w:p>
        </w:tc>
      </w:tr>
      <w:tr>
        <w:trPr>
          <w:trHeight w:val="270"/>
        </w:trPr>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r>
      <w:tr>
        <w:trPr>
          <w:trHeight w:val="270"/>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254,293</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254,339</w:t>
            </w:r>
          </w:p>
        </w:tc>
      </w:tr>
      <w:tr>
        <w:trPr>
          <w:trHeight w:val="270"/>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r>
      <w:tr>
        <w:trPr>
          <w:trHeight w:val="270"/>
        </w:trPr>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(32,912)</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(35,627)</w:t>
            </w:r>
          </w:p>
        </w:tc>
      </w:tr>
      <w:tr>
        <w:trPr>
          <w:trHeight w:val="27"/>
        </w:trPr>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71,698</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2,494,467</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(387,272)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229,144</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2,337,056</w:t>
            </w:r>
          </w:p>
        </w:tc>
      </w:tr>
      <w:tr>
        <w:trPr>
          <w:trHeight w:val="27"/>
        </w:trPr>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48"/>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90,144</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4,215,955</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(519,394)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320,830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4,018,292</w:t>
            </w:r>
          </w:p>
        </w:tc>
      </w:tr>
      <w:tr>
        <w:trPr>
          <w:trHeight w:val="486"/>
        </w:trPr>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147,523</w:t>
            </w:r>
          </w:p>
        </w:tc>
        <w:tc>
          <w:tcPr>
            <w:tcW w:w="2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147,523</w:t>
            </w:r>
          </w:p>
        </w:tc>
      </w:tr>
      <w:tr>
        <w:trPr>
          <w:trHeight w:val="270"/>
        </w:trPr>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819</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819</w:t>
            </w:r>
          </w:p>
        </w:tc>
      </w:tr>
      <w:tr>
        <w:trPr>
          <w:trHeight w:val="270"/>
        </w:trPr>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8,587</w:t>
            </w:r>
          </w:p>
        </w:tc>
      </w:tr>
      <w:tr>
        <w:trPr>
          <w:trHeight w:val="270"/>
        </w:trPr>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w:t>
            </w:r>
          </w:p>
        </w:tc>
      </w:tr>
      <w:tr>
        <w:trPr>
          <w:trHeight w:val="270"/>
        </w:trPr>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809,096</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809,173</w:t>
            </w:r>
          </w:p>
        </w:tc>
      </w:tr>
      <w:tr>
        <w:trPr>
          <w:trHeight w:val="270"/>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r>
      <w:tr>
        <w:trPr>
          <w:trHeight w:val="270"/>
        </w:trPr>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136,273</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4,801</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141,074</w:t>
            </w:r>
          </w:p>
        </w:tc>
      </w:tr>
      <w:tr>
        <w:trPr>
          <w:trHeight w:val="27"/>
        </w:trPr>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98,128</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5,034,007</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(383,121)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467,491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5,119,358</w:t>
            </w:r>
          </w:p>
        </w:tc>
      </w:tr>
      <w:tr>
        <w:trPr>
          <w:trHeight w:val="27"/>
        </w:trPr>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-3155315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-2812415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-2469515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-2108835</wp:posOffset>
            </wp:positionV>
            <wp:extent cx="724662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-1714500</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-1234440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-891540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-548005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-205105</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140"/>
            <w:col w:w="6620"/>
          </w:cols>
          <w:pgMar w:left="240" w:top="1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combined consolidated financial statements.</w:t>
      </w:r>
    </w:p>
    <w:p>
      <w:pPr>
        <w:sectPr>
          <w:pgSz w:w="11900" w:h="16838" w:orient="portrait"/>
          <w:cols w:equalWidth="0" w:num="1">
            <w:col w:w="11420"/>
          </w:cols>
          <w:pgMar w:left="240" w:top="118"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7"/>
        </w:trPr>
        <w:tc>
          <w:tcPr>
            <w:tcW w:w="8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40" w:type="dxa"/>
            <w:vAlign w:val="bottom"/>
          </w:tcPr>
          <w:p>
            <w:pPr>
              <w:spacing w:after="0"/>
              <w:rPr>
                <w:sz w:val="20"/>
                <w:szCs w:val="20"/>
                <w:color w:val="auto"/>
              </w:rPr>
            </w:pPr>
          </w:p>
        </w:tc>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8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99"/>
        </w:trPr>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24"/>
                <w:szCs w:val="24"/>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141,074</w:t>
            </w:r>
          </w:p>
        </w:tc>
        <w:tc>
          <w:tcPr>
            <w:tcW w:w="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(35,627)</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Impairment of oil and natural gas properties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30,816</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Asset retirement obligation accretion</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58,929</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42,069</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668</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(39,375)</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3,691</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from equity investment</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8,350</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sale of assets, net</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(20,104)</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23,439</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receivable-related party</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(19,894)</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liabilities-related party</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8,575</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25,402</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27"/>
        </w:trPr>
        <w:tc>
          <w:tcPr>
            <w:tcW w:w="8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175,927</w:t>
            </w:r>
          </w:p>
        </w:tc>
        <w:tc>
          <w:tcPr>
            <w:tcW w:w="6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72,760</w:t>
            </w: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Additions to oil and natural gas properties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(116,174)</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(86,169)</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Additions to oil and natural gas properties-related party</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 of mineral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of leasehold interests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(1,760,810)</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(16,923)</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Additions to midstream assets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of midstream assets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(48,329)</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of other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(11,918)</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Funds held in escrow</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119,340</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investments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7"/>
        </w:trPr>
        <w:tc>
          <w:tcPr>
            <w:tcW w:w="8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(1,825,479)</w:t>
            </w:r>
          </w:p>
        </w:tc>
        <w:tc>
          <w:tcPr>
            <w:tcW w:w="6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(107,157)</w:t>
            </w: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borrowings under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8,500</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 under credit facility</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(120,500)</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Public offering costs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public offerings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147,725</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254,518</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20,418</w:t>
            </w:r>
          </w:p>
        </w:tc>
        <w:tc>
          <w:tcPr>
            <w:tcW w:w="6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250,092</w:t>
            </w:r>
          </w:p>
        </w:tc>
      </w:tr>
      <w:tr>
        <w:trPr>
          <w:trHeight w:val="27"/>
        </w:trPr>
        <w:tc>
          <w:tcPr>
            <w:tcW w:w="8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8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(1,629,134)</w:t>
            </w:r>
          </w:p>
        </w:tc>
        <w:tc>
          <w:tcPr>
            <w:tcW w:w="6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215,695</w:t>
            </w:r>
          </w:p>
        </w:tc>
      </w:tr>
      <w:tr>
        <w:trPr>
          <w:trHeight w:val="27"/>
        </w:trPr>
        <w:tc>
          <w:tcPr>
            <w:tcW w:w="8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type w:val="continuous"/>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4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8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99"/>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1,666,574</w:t>
            </w:r>
          </w:p>
        </w:tc>
        <w:tc>
          <w:tcPr>
            <w:tcW w:w="44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20,115</w:t>
            </w:r>
          </w:p>
        </w:tc>
      </w:tr>
      <w:tr>
        <w:trPr>
          <w:trHeight w:val="27"/>
        </w:trPr>
        <w:tc>
          <w:tcPr>
            <w:tcW w:w="8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235,810</w:t>
            </w: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4"/>
        </w:trPr>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304"/>
        </w:trPr>
        <w:tc>
          <w:tcPr>
            <w:tcW w:w="80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Interest paid, net of capitalized interest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823</w:t>
            </w: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transactions:</w:t>
            </w: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304"/>
        </w:trPr>
        <w:tc>
          <w:tcPr>
            <w:tcW w:w="80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Change in accrued capital expenditures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34,460</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(23,646)</w:t>
            </w:r>
          </w:p>
        </w:tc>
      </w:tr>
      <w:tr>
        <w:trPr>
          <w:trHeight w:val="251"/>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Capitalized stock-based compensation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2,764</w:t>
            </w: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91"/>
        </w:trPr>
        <w:tc>
          <w:tcPr>
            <w:tcW w:w="80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Common stock issued for oil and natural gas properties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809,173</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Asset retirement obligation acquired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796</w:t>
            </w: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combined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THE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the Business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Diamondback Energy, Inc. (“Diamondback” or the “Company”), together with its subsidiaries, is an independent oil and gas company currently focused on the acquisition, development, exploration and exploitation of unconventional, onshore oil and natural gas reserves in the Permian Basin in West Texas. Diamondback was incorporated in Delaware on December 30, 2011.</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wholly-owned subsidiaries of Diamondback, as of March 31, 2017, include Diamondback E&amp;P LLC, a Delaware limited liability company, Diamondback O&amp;G LLC, a Delaware limited liability company, Viper Energy Partners GP LLC, a Delaware limited liability company, and Rattler Midstream LLC (formerly known as White Fang Energy LLC), a Delaware limited liability company. The consolidated subsidiaries include the wholly-owned subsidiaries as well as Viper Energy Partners LP, a Delaware limited partnership (the “Partnership”), and the Partnership’s wholly-owned subsidiary Viper Energy Partners LLC, a Delaware limited liability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after all significant intercompany balances and transactions have been eliminated upon consolidation.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Partnership is consolidated in the financial statements of the Company. As of March 31, 2017, the Company owned approximately 74% of the common units of the Partnership and the Company’s wholly-owned subsidiary, Viper Energy Partners GP LLC, is the General Partner of the Partnership.</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such rules and regulations, although the Company believes the disclosures are adequate to make the information presented not misleading. This Quarterly Report on Form 10–Q should be read in conjunction with the Company’s most recent Annual Report on Form 10–K for the fiscal year ended December 31, 2016, which contains a summary of the Company’s significant accounting policies and other disclosures.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at the date of the consolidated financial statements. Actual results could differ from those estimates.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asset retirement obligations, the fair value determination of acquired assets and liabilities, equity-based compensation, fair value estimates of commodity derivatives and estimates of income taxes.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2014, the Financial Accounting Standards Board issued Accounting Standards Update 2014-09, “Revenue from Contracts with Customers”. This update supersedes most of the existing revenue recognition requirements in GAAP and requires (i) an entity to recognize revenue when it transfers promised goods or services to customers in an amount that reflects the consideration to which the entity expects to be entitled to in exchange for those goods or services and (ii) requires expanded disclosures regarding the nature, amount, timing and certainty of revenue and cash flows from contracts with customers. The standard will be effective for annual and interim reporting periods beginning after December 15, 2017, with early application permitted for annual reporting period beginning after December 31, 2016. The standard allows for either full retrospective adoption, meaning the standard is applied to all periods presented in the financial statements, or modified retrospective adoption, meaning the standard is applied only to the most current period presented. The Company is currently evaluating the impact of this standard; however, it does not believe this standard will have a material impact on the Company’s consolidated financial statements.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2015, the Financial Accounting Standards Board issued Accounting Standards Update 2015-11, “Inventory”. This update applies to all inventory that is not measured using last-in, first-out or the retail inventory method. Under this update, an entity should measure inventory at the lower of cost and net realizable value. This standard was effective for financial statements issued for fiscal years beginning after December 15, 2016, including interim periods within those fiscal years. This standard should be applied prospectively with early adoption permitted as of the beginning of an interim or annual reporting period. The Company adopted this standard prospectively effective January 1, 2017. The adoption of this standard had no impact on the Company’s financial position, results of operations or liquidity because the Company currently measures its inventory at the lower of cost or net realizable value.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2015, the Financial Accounting Standards Board issued Accounting Standards Update 2015-17, “Income Taxes”. This update requires that deferred tax liabilities and assets be classified as noncurrent in a classified statement of financial position. The standard was effective for financial statements issued for annual periods beginning after December 15, 2016, and interim periods within those annual periods. This standard may be applied either prospectively to all deferred tax liabilities and assets or retrospectively to all periods presented. The Company adopted this standard prospectively effective January 1, 2017. The Company will present deferred tax liabilities and assets as noncurrent.</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2016, the Financial Accounting Standards Board issued Accounting Standards Update 2016-01, “Financial Instruments–Overall”. This update applies to any entity that holds financial assets or owes financial liabilities. This update requires equity investments (except for those accounted for under the equity method or those that result in consolidation of the investee) to be measured at fair value with changes in fair value recognized in net income. This update will be effective for public entities for fiscal years beginning after December 15, 2017, including interim periods within those fiscal years, with early adoption permitted. Entities should apply the amendments by means of a cumulative-effect adjustment to the balance sheet as of the beginning of the fiscal year of adoption. While this update will not have a direct impact on the Company, the Partnership will be required to mark its cost method investment to fair value with the adoption of this update.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2016, the Financial Accounting Standards Board issued Accounting Standards Update 2016-02, “Leases”. This update applies to any entity that enters into a lease, with some specified scope exemptions. Under this update, a lessee should recognize in the statement of financial position a liability to make lease payments (the lease liability) and a right-of-use asset representing its right to use the underlying asset for the lease term. While there were no major changes to the lessor accounting, changes were made to align key aspects with the revenue recognition guidance. This update will be effective for public entities for fiscal years beginning after December 15, 2018, including interim periods within those fiscal years, with early adoption permitted. Entities will be required to recognize and measure leases at the beginning of the earliest period presented using a modified retrospective approach. The Company believes the primary impact of adopting this standard will be the recognition of assets and liabilities on the balance sheet for current operating leases. The Company is still evaluating the impact of this standard.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March 2016, the Financial Accounting Standards Board issued Accounting Standards Update 2016-08, “Revenue from Contracts with Customers</w:t>
      </w:r>
    </w:p>
    <w:p>
      <w:pPr>
        <w:spacing w:after="0" w:line="27" w:lineRule="exact"/>
        <w:rPr>
          <w:sz w:val="20"/>
          <w:szCs w:val="20"/>
          <w:color w:val="auto"/>
        </w:rPr>
      </w:pPr>
    </w:p>
    <w:p>
      <w:pPr>
        <w:jc w:val="both"/>
        <w:ind w:firstLine="8"/>
        <w:spacing w:after="0" w:line="255" w:lineRule="auto"/>
        <w:tabs>
          <w:tab w:leader="none" w:pos="11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versus Agent Considerations (Reporting Revenue Gross versus Net)”. Under this update, an entity should recognize revenue to depict the transfer of promised goods or services to customers in an amount that reflects the consideration to which the entity expects to be entitled in exchange for those goods or services. This update will be effective for annual and interim reporting periods beginning after December 15,</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9"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2017, with early application not permitted. This update allows for either full retrospective adoption, meaning this update is applied to all periods presented in the financial statements, or modified retrospective adoption, meaning this update is applied only to the most current period presented. The Company is currently evaluating the impact, if any, that the adoption of this update will have on the Company’s financial position, results of operations and liquidity.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March 2016, the Financial Accounting Standards Board issued Accounting Standards Update 2016-09, "Compensation - Stock Compensation". This update applies to all entities that issue equity-based payment awards to their employees. Under this update, there were several areas that were simplified including the income tax consequences, classification of awards as either equity or liabilities, and classification on the statement of cash flows. This update was effective for financial statements issued for fiscal years beginning after December 15, 2016, including interim periods within those fiscal years. The Company prospectively adopted this standard effective January 1, 2017. The Company revised its calculation of diluted earnings per share to exclude the amount of excess tax benefits that would be recognized in additional paid-in capital. The Company also adopted a policy to account for forfeitures as they occur.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2016, the Financial Accounting Standards Board issued Accounting Standards Update 2016-10, “Revenue from Contracts with Customers - Identifying Performance Obligations and Licensing”. This update clarifies two principles of Accounting Standards Codification Topic 606: identifying performance obligations and the licensing implementation guidance. This standard has the same effective date as Accounting Standards Update 2016-08, the revenue recognition standard discussed above. The adoption of this standard is not expected to have a material impact on the Company's financial position, results of operations and liquidity.</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2016, the Financial Accounting Standards Board issued Accounting Standards Update 2016-12, “Revenue from Contracts with Customers - Narrow-Scope Improvements and Practical Expedients”. This update applies only to the following areas from Accounting Standards Codification Topic 606: assessing the collectability criterion and accounting for contracts that do not meet the criteria for step 1, presentation of sales taxes and other similar taxes collected from customers, non-cash consideration, contract modification at transition, completed contracts at transition and technical correction. This standard has the same effective date as Accounting Standards Update 2016-08, the revenue recognition standard discussed above. The adoption of this standard is not expected to have a material impact on the Company's financial position, results of operations and liquidity.</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2016, the Financial Accounting Standards Board issued Accounting Standards Update 2016-13, “Financial Instruments - Credit Losses”. This update affects entities holding financial assets and net investment in leases that are not accounted for at fair value through net income. The amendments affect loans, debt securities, trade receivables, net investments in leases, off-balance sheet credit exposures, reinsurance receivables, and any other financial assets not excluded from the scope that have the contractual right to receive cash. This update will be effective for financial statements issued for fiscal years beginning after December 15, 2019, including interim periods within those fiscal years. This update will be applied through a cumulative-effect adjustment to retained earnings as of the beginning of the first reporting period in which the guidance is effective. The Company does not believe the adoption of this standard will have a material impact on the Company’s consolidated financial statements since the Company does not have a history of credit losses.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2016, the Financial Accounting Standards Board issued Accounting Standards Update 2016-15, “Statement of Cash Flows - Classification of Certain Cash Receipts and Cash Payments”. This update apples to all entities that are required to present a statement of cash flows. This update provides guidance on eight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This update will be effective for financial statements issued for fiscal years beginning after December 31, 2017, including interim periods within those fiscal years with early adoption permitted. This update should be applied using the retrospective transition method. Adoption of this standard will only affect the presentation of the Company’s cash flows and will not have a material impact on the Company’s consolidated financial statements.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January 2017, the Financial Accounting Standards Board issued Accounting Standards Update 2017-01, “Business Combinations - Clarifying the Definition of a Business”. This update apples to all entities that must determine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9"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whether they acquired or sold a business. This update provides a screen to determine when a set is not a business. The screen requires that when substantially all of the fair value of the gross assets acquired (or disposed of) is concentrated in a single identifiable asset or a group of similar identifiable assets, the set is not a business. This update will be effective for financial statements issued for fiscal years beginning after December 31, 2017, including interim periods within those fiscal years. This update should be applied prospectively on or after the effective date. This update is not expected to have a material impact the Company’s financial statements or results of operations. The adoption of this update will change the process that the Company uses to evaluate whether the Company has acquired a business or an asset. This update will be applied prospectively and will not have an effect on prior acquisitions.</w:t>
      </w:r>
    </w:p>
    <w:p>
      <w:pPr>
        <w:spacing w:after="0" w:line="1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28, 2017, the Company completed its acquisition of certain oil and natural gas properties, midstream assets and other related assets in the Delaware Basin for an aggregate purchase price consisting of $1.74 billion in cash and 7.69 million shares of the Company’s common stock, of which approximately 1.15 million shares were placed in an indemnity escrow. This transaction includes the acquisition of (i) approximately 100,306 gross (80,339 net) acres primarily in Pecos and Reeves counties for approximately $2.5 billion and (ii) midstream assets for approximately $47.6 million. The Company used the net proceeds from the December 2016 equity offering, net proceeds from the December 2016 debt offering, cash on hand and other financing sources to fund the cash portion of the purchase price for this acquisition.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in the process of identifying and determining the fair values of the assets and liabilities assumed, and as a result, the estimates for fair value at March 31, 2017 are subject to change. The following represents the preliminary estimated fair value of the assets and liabilities assumed on the acquisition date. The aggregate consideration transferred was $2.6 billion, subject to post-closing adjustments, resulting in no goodwill or bargain purchase gain.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Proved oil and natural gas properties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387,571</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Unevaluated oil and natural gas properties</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2,122,415</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Midstream assets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47,554</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capital costs</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3,460</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inventory</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839</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 payable</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(8,723)</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57"/>
        </w:trPr>
        <w:tc>
          <w:tcPr>
            <w:tcW w:w="9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fair value of net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2,551,566</w:t>
            </w: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included in its consolidated statements of operations revenues of $12.2 million and direct operating expenses of $2.7 million for the period from February 28, 2017 to March 31, 2017 due to the acquisition.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79"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unaudited summary pro forma consolidated statement of operations data of Diamondback for the three months March 31, 2017 and 2016 have been prepared to give effect to the February 28, 2017 acquisition as if it had occurred on January 1, 2016. The pro forma data are not necessarily indicative of financial results that would have been attained had the acquisitions occurred on January 1, 2016. The pro forma data also necessarily exclude various operation expenses related to the properties and the financial statements should not be viewed as indicative of operations in future periods.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0"/>
        </w:trPr>
        <w:tc>
          <w:tcPr>
            <w:tcW w:w="8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8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8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8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258,159</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102,664</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133,162</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(24,003)</w:t>
            </w:r>
          </w:p>
        </w:tc>
      </w:tr>
      <w:tr>
        <w:trPr>
          <w:trHeight w:val="27"/>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150,615</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(29,312)</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7"/>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7"/>
        </w:trPr>
        <w:tc>
          <w:tcPr>
            <w:tcW w:w="8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VIPER ENERGY PARTNERS LP</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Partnership is a publicly traded Delaware limited partnership, the common units of which are listed on the NASDAQ Global Market under the symbol “VNOM”. The Partnership was formed by Diamondback on February 27, 2014, to, among other things, own, acquire and exploit oil and natural gas properties in North America. The Partnership is currently focused on oil and natural gas properties in the Permian Basin. Viper Energy Partners GP LLC, a fully-consolidated subsidiary of Diamondback, serves as the general partner of, and holds a non-economic general partner interest in, the Partnership. As of March 31, 2017, the Company owned approximately 74% of the common units of the Partnership.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Viper Offering, the General Partner and Diamondback entered into the first amended and restated agreement of limited partnership, dated June 23, 2014 (the “Partnership Agreement”). The Partnership Agreement requires the Partnership to reimburse the General Partner for all direct and indirect expenses incurred or paid on the Partnership’s behalf and all other expenses allocable to the Partnership or otherwise incurred by the General Partner in connection with operating the Partnership’s business. The Partnership Agreement does not set a limit on the amount of expenses for which the General Partner and its affiliates may be reimbursed. These expenses include salary, bonus, incentive compensation and other amounts paid to persons who perform services for the Partnership or on its behalf and expenses allocated to the General Partner by its affiliates. The General Partner is entitled to determine the expenses that are allocable to the Partnership.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Sharing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Viper Offering, the Partnership entered into a tax sharing agreement with Diamondback, dated June 23, 2014, pursuant to which the Partnership agreed to reimburse Diamondback for its share of state and local income and other taxes for which the Partnership’s results are included in a combined or consolidated tax return filed by Diamondback with respect to taxable periods including or beginning on June 23, 2014. The amount of any such reimbursement is limited to the tax the Partnership would have paid had it not been included in a combined group with Diamondback. Diamondback may use its tax attributes to cause its combined or consolidated group, of which the Partnership may be a member for this purpose, to owe less or no tax. In such a situation, the Partnership agreed to reimburse Diamondback for the tax the Partnership would have owed had the tax attributes not been available or used for the Partnership’s benefit, even though Diamondback had no cash tax expense for that period.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9"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11—Related Party Transactions for information regarding the advisory services agreement the Partnership and the General Partner entered into with Wexford Capital LP (“Wexford”).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Partnership has entered into a secured revolving credit facility with Wells Fargo, as administrative agent sole book runner and lead arranger. See Note 8—Debt for a description of this credit facility.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includes the following:</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8"/>
        </w:trPr>
        <w:tc>
          <w:tcPr>
            <w:tcW w:w="7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24"/>
                <w:szCs w:val="24"/>
                <w:color w:val="auto"/>
              </w:rPr>
            </w:pP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7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Pr>
          <w:p>
            <w:pPr>
              <w:spacing w:after="0"/>
              <w:rPr>
                <w:sz w:val="23"/>
                <w:szCs w:val="23"/>
                <w:color w:val="auto"/>
              </w:rPr>
            </w:pPr>
          </w:p>
        </w:tc>
        <w:tc>
          <w:tcPr>
            <w:tcW w:w="15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3"/>
          </w:tcPr>
          <w:p>
            <w:pPr>
              <w:spacing w:after="0"/>
              <w:rPr>
                <w:sz w:val="2"/>
                <w:szCs w:val="2"/>
                <w:color w:val="auto"/>
              </w:rPr>
            </w:pPr>
          </w:p>
        </w:tc>
      </w:tr>
      <w:tr>
        <w:trPr>
          <w:trHeight w:val="358"/>
        </w:trPr>
        <w:tc>
          <w:tcPr>
            <w:tcW w:w="7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4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7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Subject to depletion</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3,978,882</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3,429,742</w:t>
            </w:r>
          </w:p>
        </w:tc>
      </w:tr>
      <w:tr>
        <w:trPr>
          <w:trHeight w:val="27"/>
        </w:trPr>
        <w:tc>
          <w:tcPr>
            <w:tcW w:w="7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Not subject to depletion</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3,892,109</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1,730,519</w:t>
            </w:r>
          </w:p>
        </w:tc>
      </w:tr>
      <w:tr>
        <w:trPr>
          <w:trHeight w:val="237"/>
        </w:trPr>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oil and natural gas properties</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7,870,991</w:t>
            </w:r>
          </w:p>
        </w:tc>
        <w:tc>
          <w:tcPr>
            <w:tcW w:w="2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5,160,261</w:t>
            </w:r>
          </w:p>
        </w:tc>
      </w:tr>
      <w:tr>
        <w:trPr>
          <w:trHeight w:val="27"/>
        </w:trPr>
        <w:tc>
          <w:tcPr>
            <w:tcW w:w="7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depletion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(747,033)</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(687,685)</w:t>
            </w:r>
          </w:p>
        </w:tc>
      </w:tr>
      <w:tr>
        <w:trPr>
          <w:trHeight w:val="243"/>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impairment</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(1,143,498)</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(1,143,498)</w:t>
            </w:r>
          </w:p>
        </w:tc>
      </w:tr>
      <w:tr>
        <w:trPr>
          <w:trHeight w:val="27"/>
        </w:trPr>
        <w:tc>
          <w:tcPr>
            <w:tcW w:w="7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Oil and natural gas properties, net</w:t>
            </w: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5,980,460</w:t>
            </w: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3,329,078</w:t>
            </w:r>
          </w:p>
        </w:tc>
      </w:tr>
      <w:tr>
        <w:trPr>
          <w:trHeight w:val="237"/>
        </w:trPr>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Midstream assets</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56,833</w:t>
            </w:r>
          </w:p>
        </w:tc>
        <w:tc>
          <w:tcPr>
            <w:tcW w:w="2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8,362</w:t>
            </w:r>
          </w:p>
        </w:tc>
      </w:tr>
      <w:tr>
        <w:trPr>
          <w:trHeight w:val="27"/>
        </w:trPr>
        <w:tc>
          <w:tcPr>
            <w:tcW w:w="7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70,170</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58,290</w:t>
            </w:r>
          </w:p>
        </w:tc>
      </w:tr>
      <w:tr>
        <w:trPr>
          <w:trHeight w:val="243"/>
        </w:trPr>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w:t>
            </w:r>
          </w:p>
        </w:tc>
      </w:tr>
      <w:tr>
        <w:trPr>
          <w:trHeight w:val="27"/>
        </w:trPr>
        <w:tc>
          <w:tcPr>
            <w:tcW w:w="7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depletion, amortization and impairment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6,103,097</w:t>
            </w:r>
          </w:p>
        </w:tc>
        <w:tc>
          <w:tcPr>
            <w:tcW w:w="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3,390,857</w:t>
            </w:r>
          </w:p>
        </w:tc>
      </w:tr>
      <w:tr>
        <w:trPr>
          <w:trHeight w:val="20"/>
        </w:trPr>
        <w:tc>
          <w:tcPr>
            <w:tcW w:w="7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11"/>
        </w:trPr>
        <w:tc>
          <w:tcPr>
            <w:tcW w:w="7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of acquisition costs not subject to depletion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Incurred in 2017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2,184,601</w:t>
            </w: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Incurred in 2016</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788,662</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Incurred in 2015</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374,937</w:t>
            </w: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Incurred in 2014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442,159</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Incurred in 2013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47,174</w:t>
            </w: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7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Incurred in 2012</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54,576</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7"/>
        </w:trPr>
        <w:tc>
          <w:tcPr>
            <w:tcW w:w="7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 Capitalized internal costs were approximately $5.1 million and $5.0 million for the three months ended March 31, 2017 and 2016, respectively. Costs associated with unevaluated properties are excluded from the full cost pool until the Company has made a determination as to the existence of proved reserves. The inclusion of the Company’s unevaluated costs into the amortization base is expected to be completed within three to five years. Acquisition costs not currently being amortized are primarily related to unproved acreage that the Company plans to prove up through drilling. The Company has no plans to let any acreage expire.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9"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this method of accounting, the Company is required to perform a ceiling test each quarter. The test determines a limit, or ceiling, on the book value of the proved oil and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or financial derivatives, if any, that hedge the Company’s oil and natural gas revenue,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decline in prices, the Company recorded a non-cash impairment for the three months ended March 31, 2016 of $30.8 million, which is included in accumulated depletion, depreciation, amortization and impairment. The Company did not record an impairment for the three months ended March 31, 2017. The impairment charge affected the Company’s reported net income but did not reduce its cash flow. In addition to commodity prices, the Company’s production rates, levels of proved reserves, future development costs, transfers of unevaluated properties and other factors will determine its actual ceiling test calculation and impairment analysis in future periods.</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March 31, 2017, there was $16.8 million in exploration costs and development costs and $2.2 million in capitalized interest that are not subject to depletion. At December 31, 2016, there were no exploration costs, development costs or capitalized interest that are not subject to depletion.</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ASSET RETIREMENT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describes the changes to the Company’s asset retirement obligation liability for the following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p>
        </w:tc>
        <w:tc>
          <w:tcPr>
            <w:tcW w:w="32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7"/>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9"/>
              </w:rPr>
              <w:t>2016</w:t>
            </w:r>
          </w:p>
        </w:tc>
      </w:tr>
      <w:tr>
        <w:trPr>
          <w:trHeight w:val="27"/>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58"/>
        </w:trPr>
        <w:tc>
          <w:tcPr>
            <w:tcW w:w="8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20" w:type="dxa"/>
            <w:vAlign w:val="bottom"/>
          </w:tcPr>
          <w:p>
            <w:pPr>
              <w:spacing w:after="0"/>
              <w:rPr>
                <w:sz w:val="24"/>
                <w:szCs w:val="24"/>
                <w:color w:val="auto"/>
              </w:rPr>
            </w:pP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obligations, beginning of period</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w:t>
            </w:r>
          </w:p>
        </w:tc>
        <w:tc>
          <w:tcPr>
            <w:tcW w:w="62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12,711</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liabilities incurred</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 acquired</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796</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 settled</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Accretion expense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Revisions in estimated liabilities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8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obligations, end of period</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20,511</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13,629</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8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obligations - long-term</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13,562</w:t>
            </w:r>
          </w:p>
        </w:tc>
      </w:tr>
      <w:tr>
        <w:trPr>
          <w:trHeight w:val="20"/>
        </w:trPr>
        <w:tc>
          <w:tcPr>
            <w:tcW w:w="8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EQUITY METHOD INVESTMENTS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2014, the Company paid $0.6 million for a 25% interest in HMW Fluid Management LLC, which was formed to develop, own and operate an integrated water management system to gather, store, process, treat, distribute and dispose of water to exploration and production companies operating in Midland, Martin and Andrews Counties,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79"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Texas. The board of this entity may also authorize the entity to offer these services to other counties in the Permian Basin and to pursue other business opportunities. During the three months ended March 31, 2017 and 2016, the Company invested $0.2 million and $0.8 million, respectively, in this entity bringing its total investment to $6.5 million and $4.1 million at March 31, 2017 and 2016, respectively. The Company will retain a minority interest after all commitments are received. The entity was formed as a limited liability company and maintains a specific ownership account for each investor, similar to a partnership capital account structure. Therefore, the Company accounts for this investment under the equity method of accounting.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1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7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Long-term debt consisted of the following as of the dates indicated:</w:t>
            </w: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70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70"/>
        </w:trPr>
        <w:tc>
          <w:tcPr>
            <w:tcW w:w="7080" w:type="dxa"/>
            <w:vAlign w:val="bottom"/>
          </w:tcPr>
          <w:p>
            <w:pPr>
              <w:spacing w:after="0"/>
              <w:rPr>
                <w:sz w:val="23"/>
                <w:szCs w:val="23"/>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0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58"/>
        </w:trPr>
        <w:tc>
          <w:tcPr>
            <w:tcW w:w="7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4.750 % Senior Notes due 2024</w:t>
            </w: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500,000</w:t>
            </w:r>
          </w:p>
        </w:tc>
        <w:tc>
          <w:tcPr>
            <w:tcW w:w="58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5.375 % Senior Notes due 2025</w:t>
            </w:r>
          </w:p>
        </w:tc>
        <w:tc>
          <w:tcPr>
            <w:tcW w:w="1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500,000</w:t>
            </w:r>
          </w:p>
        </w:tc>
        <w:tc>
          <w:tcPr>
            <w:tcW w:w="5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27"/>
        </w:trPr>
        <w:tc>
          <w:tcPr>
            <w:tcW w:w="7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(14,214)</w:t>
            </w:r>
          </w:p>
        </w:tc>
        <w:tc>
          <w:tcPr>
            <w:tcW w:w="5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(14,588)</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Partnership revolving credit facility</w:t>
            </w:r>
          </w:p>
        </w:tc>
        <w:tc>
          <w:tcPr>
            <w:tcW w:w="1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120,500</w:t>
            </w:r>
          </w:p>
        </w:tc>
      </w:tr>
      <w:tr>
        <w:trPr>
          <w:trHeight w:val="27"/>
        </w:trPr>
        <w:tc>
          <w:tcPr>
            <w:tcW w:w="70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long-term debt</w:t>
            </w:r>
          </w:p>
        </w:tc>
        <w:tc>
          <w:tcPr>
            <w:tcW w:w="1480" w:type="dxa"/>
            <w:vAlign w:val="bottom"/>
            <w:tcBorders>
              <w:bottom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985,786</w:t>
            </w:r>
          </w:p>
        </w:tc>
        <w:tc>
          <w:tcPr>
            <w:tcW w:w="5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1,105,912</w:t>
            </w:r>
          </w:p>
        </w:tc>
      </w:tr>
      <w:tr>
        <w:trPr>
          <w:trHeight w:val="20"/>
        </w:trPr>
        <w:tc>
          <w:tcPr>
            <w:tcW w:w="7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Senior Notes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October 28, 2016, the Company issued $500.0 million in aggregate principal amount of 4.750% Senior Notes due 2024 (the “2024 Senior Notes”). The 2024 Senior Notes bear interest at a rate of 4.750% per annum, payable semi-annually, in arrears on May 1 and November 1 of each year, commencing on May 1, 2017 and will mature on November 1, 2024. All of the Company’s existing and future restricted subsidiaries that guarantee its revolving credit facility or certain other debt guarantee the 2024 Senior Notes; provided, however, that the 2024 Senior Notes are not guaranteed by the Partnership, the General Partner, Viper Energy Partners LLC or Rattler Midstream LLC, and will not be guaranteed by any of the Company’s future unrestricted subsidiaries.</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2024 Senior Notes were issued under, and are governed by, an indenture among the Company, the subsidiary guarantors party thereto and Wells Fargo, as the trustee, as supplemented (the “2024 Indenture”). The 2024 Indenture contains 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its assets, enter into transactions with affiliates, incur liens, engage in business other than the oil and gas business and designate certain of the Company’s subsidiaries as unrestricted subsidiaries.</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may on any one or more occasions redeem some or all of the 2024 Senior Notes at any time on or after November 1, 2019 at the redemption prices (expressed as percentages of principal amount) of 103.563% for the 12-month period beginning on November 1, 2019, 102.375% for the 12-month period beginning on November 1, 2020, 101.188% for the 12-month period beginning on November 1, 2021 and 100.000% beginning on November 1, 2022 and at any time thereafter with any accrued and unpaid interest to, but not including, the date of redemption. Prior to November 1, 2019, the Company may on any one or more occasions redeem all or a portion of the 2024 Senior Notes at a price equal to 100% of the principal amount of the 2024 Senior Notes plus a “make-whole” premium and accrued and unpaid interest to the redemption date. In addition, any time prior to November 1, 2019, the Company may on any one or more occasions redeem the 2024 Senior Notes in an aggregate principal amount not to exceed 35% of the aggregate principal amount of the 2024 Senior Notes issued prior to such date at a redemption price of 104.750%, plus accrued and unpaid interest to the redemption date, with an amount equal to the net cash proceeds from certain equity offerings.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9"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2024 Senior Notes, the Company and the subsidiary guarantors entered into a registration rights agreement (the “2024 Registration Rights Agreement”) with the initial purchasers on October 28, 2016, pursuant to which the Company agreed to file a registration statement with respect to an offer to exchange the 2024 Senior Notes for a new issue of substantially identical debt securities registered under the Securities Act. Under the 2024 Registration Rights Agreement, the Company also agreed to use its commercially reasonable efforts to have the registration statement declared effective by the SEC on or prior to the 360th day after the issue date of the 2024 Senior Notes and to keep the exchange offer open for not less than 30 days (or longer if required by applicable law). The Company may be required to file a shelf registration statement to cover resales of the 2024 Senior Notes under certain circumstances. If the Company fails to satisfy these obligations under the 2024 Registration Rights Agreement, it agreed to pay additional interest to the holders of the 2024 Senior Notes as specified in the 2024 Registration Rights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Senior Notes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December 20, 2016, the Company issued $500.0 million in aggregate principal amount of 5.375% Senior Notes due 2025 (the “2025 Senior Notes”). The 2025 Senior Notes bear interest at a rate of 5.375% per annum, payable semi-annually, in arrears on May 31 and November 30 of each year, commencing on May 31, 2017 and will mature on May 31, 2025. All of the Company’s existing and future restricted subsidiaries that guarantee its revolving credit facility or certain other debt guarantee the 2025 Senior Notes, provided, however, that the 2025 Senior Notes are not guaranteed by the Partnership, the General Partner, Viper Energy Partners LLC or Rattler Midstream LLC, and will not be guaranteed by any of the Company’s future unrestricted subsidiaries.</w:t>
      </w:r>
    </w:p>
    <w:p>
      <w:pPr>
        <w:spacing w:after="0" w:line="1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2025 Senior Notes were issued under an indenture, dated as of December 20, 2016, among the Company, the guarantors party thereto and Wells Fargo Bank, as the trustee (the “2025 Indenture”). The 2025 Indenture contains 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its assets, enter into transactions with affiliates, incur liens, engage in business other than the oil and gas business and designate certain of the Company’s subsidiaries as unrestricted subsidiaries.</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may on any one or more occasions redeem some or all of the 2025 Senior Notes at any time on or after May 31, 2020 at the redemption prices (expressed as percentages of principal amount) of 104.031% for the 12-month period beginning on May 31, 2020, 102.688% for the 12-month period beginning on May 31, 2021, 101.344% for the 12-month period beginning on May 31, 2022 and 100.000% beginning on May 31, 2023 and at any time thereafter with any accrued and unpaid interest to, but not including, the date of redemption. Prior to May 31, 2020, the Company may on any one or more occasions redeem all or a portion of the 2025 Senior Notes at a price equal to 100% of the principal amount of the 2025 Senior Notes plus a “make-whole” premium and accrued and unpaid interest to the redemption date. In addition, any time prior to May 31, 2020, the Company may on any one or more occasions redeem the 2025 Senior Notes in an aggregate principal amount not to exceed 35% of the aggregate principal amount of the 2025 Senior Notes issued prior to such date at a redemption price of 105.375%, plus accrued and unpaid interest to the redemption date, with an amount equal to the net cash proceeds from certain equity offerings.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2025 Senior Notes, the Company and the subsidiary guarantors entered into a registration rights agreement (the “2025 Registration Rights Agreement”) with the initial purchasers on December 20, 2016, pursuant to which the Company agreed to file a registration statement with respect to an offer to exchange the 2025 Senior Notes for a new issue of substantially identical debt securities registered under the Securities Act. Under the 2025 Registration Rights Agreement, the Company also agreed to use its commercially reasonable efforts to have the registration statement declared effective by the SEC on or prior to the 360th day after the issue date of the 2025 Senior Notes and to keep the exchange offer open for not less than 30 days (or longer if required by applicable law). The Company may be required to file a shelf registration statement to cover resales of the 2025 Senior Notes under certain circumstances. If the Company fails to satisfy these obligations under the 2025 Registration Rights Agreement, it agreed to pay additional interest to the holders of the 2025 Senior Notes as specified in the 2025 Registration Rights Agreement.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9"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26, 2017, the Company filed with the SEC its Registration Statement on Form S-4 relating to the exchange offers of the 2024 Senior Notes and the 2025 Senior Notes for substantially identical debt securities registered under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Credit Facility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9, 2014, Diamondback O&amp;G LLC, as borrower, entered into a first amendment and on November 13, 2014, Diamondback O&amp;G LLC entered into a second amendment to the second amended and restated credit agreement, dated November 1, 2013 (the “credit agreement”). The first amendment modified certain provisions of the credit agreement to, among other things, allow one or more of the Company’s subsidiaries to be designated as “Unrestricted Subsidiaries” that are not subject to certain restrictions contained in the credit agreement. In connection with the Viper Offering, the Partnership, the General Partner and Viper Energy Partners LLC were designated as unrestricted subsidiaries under the credit agreement. As of March 31, 2017, the credit agreement was guaranteed by Diamondback, Diamondback E&amp;P LLC and Rattler Midstream LLC and will also be guaranteed by any future restricted subsidiaries of Diamondback. The credit agreement is also secured by substantially all of the assets of Diamondback O&amp;G LLC, the Company and the other guarantors.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second amendment increased the maximum amount of the credit facility to $2.0 billion, modified the dates and deadlines of the credit agreement relating to the scheduled borrowing base redeterminations based on the Company’s oil and natural gas reserves and other factors and added new provisions that allow the Company to elect a commitment amount that is less than its borrowing base as determined by the lenders. The borrowing base is scheduled to be re-determined semi-annually with effective dates of May 1st and November 1st. In addition, the Company may request up to three additional redeterminations of the borrowing base during any 12-month period. As of March 31, 2017, the borrowing base was set at $1.0 billion, of which the Company had elected a commitment amount of $500.0 million, and the Company had no outstanding borrowings.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outstanding borrowings under the credit agreement bear interest at a rate elected by the Company that is equal to an alternative base rate (which is equal to the greatest of the prime rate, the Federal Funds effective rate plus 0.5% and 3-month LIBOR plus 1.0%) or LIBOR, in each case plus the applicable margin. The applicable margin ranges from 0.50% to 1.50% in the case of the alternative base rate and from 1.50% to 2.50% in the case of LIBOR, in each case depending on the amount of the loan outstanding in relation to the borrowing base. The Company is obligated to pay a quarterly commitment fee ranging from 0.375% to 0.500% per year on the unused portion of the borrowing base, which fee is also dependent on the amount of the loan outstanding in relation to the borrowing base. Loan principal may be optionally repaid from time to time without premium or penalty (other than customary LIBOR breakage), and is required to be repaid (a) to the extent that the loan amount exceeds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2018.</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434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Required Ratio</w:t>
            </w:r>
          </w:p>
        </w:tc>
      </w:tr>
      <w:tr>
        <w:trPr>
          <w:trHeight w:val="27"/>
        </w:trPr>
        <w:tc>
          <w:tcPr>
            <w:tcW w:w="70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total debt to EBITDAX</w:t>
            </w:r>
          </w:p>
        </w:tc>
        <w:tc>
          <w:tcPr>
            <w:tcW w:w="4340" w:type="dxa"/>
            <w:vAlign w:val="bottom"/>
            <w:tcBorders>
              <w:bottom w:val="single" w:sz="8" w:color="CCEEFF"/>
            </w:tcBorders>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rPr>
              <w:t>Not greater than 4.0 to 1.0</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current assets to liabilities, as defined in the credit agreement</w:t>
            </w:r>
          </w:p>
        </w:tc>
        <w:tc>
          <w:tcPr>
            <w:tcW w:w="434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Not less than 1.0 to 1.0</w:t>
            </w: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covenant prohibiting additional indebtedness, as amended in December 2016, allows for the issuance of unsecured debt of up to $1.0 billion in the form of senior or senior subordinated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 As of March 31, 2017, the Company had $1.0 billion in aggregate principal amount of senior unsecured notes outstanding.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2017 and December 31, 2016, the Company was in compliance with all financial covenants under its revolving credit facility, as then in effect. The lenders may accelerate all of the indebtedness under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9"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Company’s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Partnership’s Credit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Partnership entered into a $500.0 million secured revolving credit agreement, dated as of July 8, 2014, as amended, with Wells Fargo, as the administrative agent, sole book runner and lead arranger, and certain other lenders party thereto. The borrowing base is scheduled to be re-determined semi-annually with effective dates of April 1st and October 1st. In addition, the Partnership may request up to three additional redeterminations of the borrowing base during any 12-month period. As of March 31, 2017, the borrowing base was set at $275.0 million and the Partnership had no outstanding borrowings under the credit agreement.</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outstanding borrowings under the credit agreement bear interest at a rate elected by the Partnership that is equal to an alternative base rate (which is equal to the greatest of the prime rate, the Federal Funds effective rate plus 0.5% and 3-month LIBOR plus 1.0%) or LIBOR, in each case plus the applicable margin. The applicable margin ranges from 1.0% to 2.00% in the case of the alternative base rate and from 2.00% to 3.00% in the case of LIBOR, in each case depending on the amount of the loan outstanding in relation to the borrowing base. The Partnership is obligated to pay a quarterly commitment fee ranging from 0.375% to 0.500% per year on the unused portion of the borrowing base, which fee is also dependent on the amount of the loan outstanding in relation to the borrowing base. Loan principal may be optionally repaid from time to time without premium or penalty (other than customary LIBOR breakage), and is required to be repaid (a) to the extent that the loan amount exceeds the borrowing base, whether due to a borrowing base redetermination or otherwise (in some cases subject to a cure period) and (b) at the maturity date of July 8, 2019. The loan is secured by substantially all of the assets of the Partnership and its subsidiaries.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various affirmative, negative and financial maintenance covenants. These covenants, among other things, limit additional indebtedness, purchases of margin stock, additional liens, sales of assets, mergers and consolidations, dividends and distributions, transactions with affiliates and entering into certain swap agreements and require the maintenance of the financial ratios described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434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Required Ratio</w:t>
            </w:r>
          </w:p>
        </w:tc>
      </w:tr>
      <w:tr>
        <w:trPr>
          <w:trHeight w:val="27"/>
        </w:trPr>
        <w:tc>
          <w:tcPr>
            <w:tcW w:w="70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total debt to EBITDAX</w:t>
            </w:r>
          </w:p>
        </w:tc>
        <w:tc>
          <w:tcPr>
            <w:tcW w:w="4340" w:type="dxa"/>
            <w:vAlign w:val="bottom"/>
            <w:tcBorders>
              <w:bottom w:val="single" w:sz="8" w:color="CCEEFF"/>
            </w:tcBorders>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rPr>
              <w:t>Not greater than 4.0 to 1.0</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current assets to liabilities, as defined in the credit agreement</w:t>
            </w:r>
          </w:p>
        </w:tc>
        <w:tc>
          <w:tcPr>
            <w:tcW w:w="434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Not less than 1.0 to 1.0</w:t>
            </w: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covenant prohibiting additional indebtedness allows for the issuance of unsecured debt of up to $250.0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lenders may accelerate all of the indebtedness under the Partnership’s credit agreement upon the occurrence and during the continuance of any event of default. The Partnership’s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CAPITAL STOCK AND EARNINGS PER 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2016, the Company completed an underwritten public offering of 4,600,000 shares of common stock, which included 600,000 shares of common stock issued pursuant to an option to purchase additional shares granted to the underwriter. The stock was sold to the underwriter at $55.33 per share and the Company received proceeds of approximately $254.5 million from the sale of these shares of common stock, net of offering expenses and underwriting discounts and commissions.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Diamondback completed no other equity offerings during the three months ended March 31, 2017 and 2016.</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79"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Partnership Equity Offering</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2017, the Partnership completed an underwritten public offering of 9,775,000 common units, which included 1,275,000 common units issued pursuant to an option to purchase additional common units granted to the underwriters. The Partnership received net proceeds from this offering of approximately $147.6 million, after deducting underwriting discounts and commissions and estimated offering expenses, of which Partnership used $120.5 million to repay the outstanding borrowings under its revolving credit agreement and intends to use the remaining net proceeds for general partnership purposes, which may include additional acquisitions.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basic earnings per share amounts have been computed based on the weighted-average number of shares of common stock outstanding for the period. Diluted earnings per share include the effect of potentially dilutive shares outstanding for the period. Additionally, for the diluted earnings per share computation, the per share earnings of the Partnership are included in the consolidated earnings per share computation based on the consolidated group’s holdings of the subsidiary.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components of basic and diluted earnings per common share is presented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8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common stock</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136,273</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(32,912)</w:t>
            </w:r>
          </w:p>
        </w:tc>
        <w:tc>
          <w:tcPr>
            <w:tcW w:w="0" w:type="dxa"/>
            <w:vAlign w:val="bottom"/>
          </w:tcPr>
          <w:p>
            <w:pPr>
              <w:spacing w:after="0"/>
              <w:rPr>
                <w:sz w:val="1"/>
                <w:szCs w:val="1"/>
                <w:color w:val="auto"/>
              </w:rPr>
            </w:pPr>
          </w:p>
        </w:tc>
      </w:tr>
      <w:tr>
        <w:trPr>
          <w:trHeight w:val="20"/>
        </w:trPr>
        <w:tc>
          <w:tcPr>
            <w:tcW w:w="8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93,161</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71,026</w:t>
            </w:r>
          </w:p>
        </w:tc>
        <w:tc>
          <w:tcPr>
            <w:tcW w:w="0" w:type="dxa"/>
            <w:vAlign w:val="bottom"/>
          </w:tcPr>
          <w:p>
            <w:pPr>
              <w:spacing w:after="0"/>
              <w:rPr>
                <w:sz w:val="1"/>
                <w:szCs w:val="1"/>
                <w:color w:val="auto"/>
              </w:rPr>
            </w:pPr>
          </w:p>
        </w:tc>
      </w:tr>
      <w:tr>
        <w:trPr>
          <w:trHeight w:val="243"/>
        </w:trPr>
        <w:tc>
          <w:tcPr>
            <w:tcW w:w="8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Potential common shares issuable</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8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93,364</w:t>
            </w:r>
          </w:p>
        </w:tc>
        <w:tc>
          <w:tcPr>
            <w:tcW w:w="38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71,026</w:t>
            </w: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 (loss) attributable to common stock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income (loss) attributable to common stock</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2017 and 2016, there were 14 shares and 194,737 shares, respectively, that were not included in the computation of diluted earnings per share because their inclusion would have been anti-dilutive for the periods presented. These shares could dilute basic earnings per share in future periods.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EQUITY-BASED COMPENSATION</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8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following table presents the effects of the equity compensation plans and related costs: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8900" w:type="dxa"/>
            <w:vAlign w:val="bottom"/>
          </w:tcPr>
          <w:p>
            <w:pPr>
              <w:spacing w:after="0"/>
              <w:rPr>
                <w:sz w:val="24"/>
                <w:szCs w:val="24"/>
                <w:color w:val="auto"/>
              </w:rPr>
            </w:pPr>
          </w:p>
        </w:tc>
        <w:tc>
          <w:tcPr>
            <w:tcW w:w="25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7"/>
        </w:trPr>
        <w:tc>
          <w:tcPr>
            <w:tcW w:w="8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8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8,350</w:t>
            </w:r>
          </w:p>
        </w:tc>
      </w:tr>
      <w:tr>
        <w:trPr>
          <w:trHeight w:val="243"/>
        </w:trPr>
        <w:tc>
          <w:tcPr>
            <w:tcW w:w="8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Equity-based compensation capitalized pursuant to full cost method of accounting for oil and natural gas properties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2,764</w:t>
            </w:r>
          </w:p>
        </w:tc>
      </w:tr>
      <w:tr>
        <w:trPr>
          <w:trHeight w:val="702"/>
        </w:trPr>
        <w:tc>
          <w:tcPr>
            <w:tcW w:w="890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279"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stock option activity under the Company’s 2012 Equity Incentive Plan (“2012 Plan”) for the three months ended March 31, 2017.</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3"/>
                <w:szCs w:val="23"/>
                <w:color w:val="auto"/>
              </w:rPr>
            </w:pP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60" w:type="dxa"/>
            <w:vAlign w:val="bottom"/>
          </w:tcPr>
          <w:p>
            <w:pPr>
              <w:spacing w:after="0"/>
              <w:rPr>
                <w:sz w:val="23"/>
                <w:szCs w:val="23"/>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240" w:type="dxa"/>
            <w:vAlign w:val="bottom"/>
          </w:tcPr>
          <w:p>
            <w:pPr>
              <w:spacing w:after="0"/>
              <w:rPr>
                <w:sz w:val="23"/>
                <w:szCs w:val="23"/>
                <w:color w:val="auto"/>
              </w:rPr>
            </w:pPr>
          </w:p>
        </w:tc>
        <w:tc>
          <w:tcPr>
            <w:tcW w:w="15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40" w:type="dxa"/>
            <w:vAlign w:val="bottom"/>
          </w:tcPr>
          <w:p>
            <w:pPr>
              <w:spacing w:after="0"/>
              <w:rPr>
                <w:sz w:val="20"/>
                <w:szCs w:val="20"/>
                <w:color w:val="auto"/>
              </w:rPr>
            </w:pPr>
          </w:p>
        </w:tc>
        <w:tc>
          <w:tcPr>
            <w:tcW w:w="15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15,750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22.72</w:t>
            </w: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22.72</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31, 2017</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that were exercised during the three months ended March 31, 2017 and 2016 was $1.2 million and $0.9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restricted stock units activity under the 2012 Plan during the three months ended March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Weighted Average Grant-</w:t>
            </w:r>
          </w:p>
        </w:tc>
      </w:tr>
      <w:tr>
        <w:trPr>
          <w:trHeight w:val="216"/>
        </w:trPr>
        <w:tc>
          <w:tcPr>
            <w:tcW w:w="6860" w:type="dxa"/>
            <w:vAlign w:val="bottom"/>
          </w:tcPr>
          <w:p>
            <w:pPr>
              <w:spacing w:after="0"/>
              <w:rPr>
                <w:sz w:val="18"/>
                <w:szCs w:val="18"/>
                <w:color w:val="auto"/>
              </w:rPr>
            </w:pPr>
          </w:p>
        </w:tc>
        <w:tc>
          <w:tcPr>
            <w:tcW w:w="22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38"/>
        </w:trPr>
        <w:tc>
          <w:tcPr>
            <w:tcW w:w="6860" w:type="dxa"/>
            <w:vAlign w:val="bottom"/>
          </w:tcPr>
          <w:p>
            <w:pPr>
              <w:spacing w:after="0"/>
              <w:rPr>
                <w:sz w:val="20"/>
                <w:szCs w:val="20"/>
                <w:color w:val="auto"/>
              </w:rPr>
            </w:pPr>
          </w:p>
        </w:tc>
        <w:tc>
          <w:tcPr>
            <w:tcW w:w="2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Awards &amp; Units</w:t>
            </w:r>
          </w:p>
        </w:tc>
        <w:tc>
          <w:tcPr>
            <w:tcW w:w="140" w:type="dxa"/>
            <w:vAlign w:val="bottom"/>
          </w:tcPr>
          <w:p>
            <w:pPr>
              <w:spacing w:after="0"/>
              <w:rPr>
                <w:sz w:val="20"/>
                <w:szCs w:val="20"/>
                <w:color w:val="auto"/>
              </w:rPr>
            </w:pPr>
          </w:p>
        </w:tc>
        <w:tc>
          <w:tcPr>
            <w:tcW w:w="2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7"/>
        </w:trPr>
        <w:tc>
          <w:tcPr>
            <w:tcW w:w="68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2016</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206,004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70.33</w:t>
            </w:r>
          </w:p>
        </w:tc>
      </w:tr>
      <w:tr>
        <w:trPr>
          <w:trHeight w:val="243"/>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82,220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108.56</w:t>
            </w:r>
          </w:p>
        </w:tc>
      </w:tr>
      <w:tr>
        <w:trPr>
          <w:trHeight w:val="27"/>
        </w:trPr>
        <w:tc>
          <w:tcPr>
            <w:tcW w:w="68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(109,528)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75.44</w:t>
            </w:r>
          </w:p>
        </w:tc>
      </w:tr>
      <w:tr>
        <w:trPr>
          <w:trHeight w:val="243"/>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91.59</w:t>
            </w:r>
          </w:p>
        </w:tc>
      </w:tr>
      <w:tr>
        <w:trPr>
          <w:trHeight w:val="27"/>
        </w:trPr>
        <w:tc>
          <w:tcPr>
            <w:tcW w:w="68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March 31, 2017</w:t>
            </w:r>
          </w:p>
        </w:tc>
        <w:tc>
          <w:tcPr>
            <w:tcW w:w="2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178,627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84.78</w:t>
            </w:r>
          </w:p>
        </w:tc>
      </w:tr>
      <w:tr>
        <w:trPr>
          <w:trHeight w:val="20"/>
        </w:trPr>
        <w:tc>
          <w:tcPr>
            <w:tcW w:w="68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fair value of restricted stock units that vested during the three months ended March 31, 2017 and 2016 was $11.3 million and $8.2 million, respectively. As of March 31, 2017, the Company’s unrecognized compensation cost related to unvested restricted stock awards and units was $12.4 million. Such cost is expected to be recognized over a weighted-average period of 1.6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Based Restricted Stock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provide long-term incentives for the executive officers to deliver competitive returns to the Company’s stockholders, the Company has granted performance-based restricted stock units to eligible employees. The ultimate number of shares awarded from these conditional restricted stock units is based upon measurement of total stockholder return of the Company’s common stock (“TSR”) as compared to a designated peer group during a two-year or three-year performance period.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2017, eligible employees received performance restricted stock unit awards totaling 37,440 units from which a minimum of 0% and a maximum of 200% units could be awarded. The awards have a performance period of January 1, 2017 to December 31, 2018 and cliff vest at December 31, 2018. Eligible employees received additional performance restricted stock unit awards totaling 74,880 units from which a minimum of 0% and a maximum of 200% units could be awarded. The awards have a performance period of January 1, 2017 to December 31, 2019 and cliff vest at December 31, 2019.</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performance restricted stock unit is estimated at the date of grant using a Monte Carlo simulation, which results in an expected percentage of units to be earned during the performance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79"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grant-date fair values of performance restricted stock units granted and the related assumptions for the February 2017 awards.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3"/>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19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4"/>
        </w:trPr>
        <w:tc>
          <w:tcPr>
            <w:tcW w:w="19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Two-Year Performance</w:t>
            </w: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Three-Year Performance</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8"/>
        </w:trPr>
        <w:tc>
          <w:tcPr>
            <w:tcW w:w="19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194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4"/>
        </w:trPr>
        <w:tc>
          <w:tcPr>
            <w:tcW w:w="194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Grant-date fair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162.13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168.73</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43"/>
        </w:trPr>
        <w:tc>
          <w:tcPr>
            <w:tcW w:w="1940" w:type="dxa"/>
            <w:vAlign w:val="bottom"/>
          </w:tcPr>
          <w:p>
            <w:pPr>
              <w:spacing w:after="0"/>
              <w:rPr>
                <w:sz w:val="21"/>
                <w:szCs w:val="21"/>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194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volatility</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414"/>
        </w:trPr>
        <w:tc>
          <w:tcPr>
            <w:tcW w:w="114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The following table presents the Company’s performance restricted stock units activity under the 2012 Plan for the three months ended March 31,</w:t>
            </w:r>
          </w:p>
        </w:tc>
      </w:tr>
      <w:tr>
        <w:trPr>
          <w:trHeight w:val="234"/>
        </w:trPr>
        <w:tc>
          <w:tcPr>
            <w:tcW w:w="19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w w:val="98"/>
              </w:rPr>
              <w:t>2017.</w:t>
            </w: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56"/>
        </w:trPr>
        <w:tc>
          <w:tcPr>
            <w:tcW w:w="19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c>
          <w:tcPr>
            <w:tcW w:w="200" w:type="dxa"/>
            <w:vAlign w:val="bottom"/>
          </w:tcPr>
          <w:p>
            <w:pPr>
              <w:spacing w:after="0"/>
              <w:rPr>
                <w:sz w:val="24"/>
                <w:szCs w:val="24"/>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19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Grant-Date Fair Value</w:t>
            </w:r>
          </w:p>
        </w:tc>
      </w:tr>
      <w:tr>
        <w:trPr>
          <w:trHeight w:val="27"/>
        </w:trPr>
        <w:tc>
          <w:tcPr>
            <w:tcW w:w="53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2015</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252,471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103.06</w:t>
            </w:r>
          </w:p>
        </w:tc>
      </w:tr>
      <w:tr>
        <w:trPr>
          <w:trHeight w:val="243"/>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118,169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166.53</w:t>
            </w:r>
          </w:p>
        </w:tc>
      </w:tr>
      <w:tr>
        <w:trPr>
          <w:trHeight w:val="27"/>
        </w:trPr>
        <w:tc>
          <w:tcPr>
            <w:tcW w:w="53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64"/>
        </w:trPr>
        <w:tc>
          <w:tcPr>
            <w:tcW w:w="5360" w:type="dxa"/>
            <w:vAlign w:val="bottom"/>
            <w:tcBorders>
              <w:bottom w:val="single" w:sz="8" w:color="CCEEFF"/>
            </w:tcBorders>
            <w:gridSpan w:val="2"/>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Unvested at March 31, 2017</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370,640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123.29</w:t>
            </w:r>
          </w:p>
        </w:tc>
      </w:tr>
      <w:tr>
        <w:trPr>
          <w:trHeight w:val="20"/>
        </w:trPr>
        <w:tc>
          <w:tcPr>
            <w:tcW w:w="19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(1) A maximum of 741,280 units could be awarded based upon the Company’s final TSR ranking.</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2017, the Company’s unrecognized compensation cost related to unvested performance based restricted stock awards and units was $30.6 million. Such cost is expected to be recognized over a weighted-average period of 1.9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Phantom Units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Viper LTIP, the Board of Directors of the General Partner is authorized to issue phantom units to eligible employees. The Partnership estimates the fair value of phantom units as the closing price of the Partnership’s common units on the grant date of the award, which is expensed over the applicable vesting period. Upon vesting the phantom units entitle the recipient one common unit of the Partnership for each phantom unit.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phantom unit activity under the Viper LTIP for the three months ended March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Weighted Average Grant-</w:t>
            </w:r>
          </w:p>
        </w:tc>
      </w:tr>
      <w:tr>
        <w:trPr>
          <w:trHeight w:val="216"/>
        </w:trPr>
        <w:tc>
          <w:tcPr>
            <w:tcW w:w="7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38"/>
        </w:trPr>
        <w:tc>
          <w:tcPr>
            <w:tcW w:w="7660" w:type="dxa"/>
            <w:vAlign w:val="bottom"/>
          </w:tcPr>
          <w:p>
            <w:pPr>
              <w:spacing w:after="0"/>
              <w:rPr>
                <w:sz w:val="20"/>
                <w:szCs w:val="20"/>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Phantom Units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7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21,048</w:t>
            </w: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16.23</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3,126</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17.49</w:t>
            </w:r>
          </w:p>
        </w:tc>
      </w:tr>
      <w:tr>
        <w:trPr>
          <w:trHeight w:val="27"/>
        </w:trPr>
        <w:tc>
          <w:tcPr>
            <w:tcW w:w="7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March 31, 2017</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24,174</w:t>
            </w: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16.39</w:t>
            </w:r>
          </w:p>
        </w:tc>
      </w:tr>
      <w:tr>
        <w:trPr>
          <w:trHeight w:val="20"/>
        </w:trPr>
        <w:tc>
          <w:tcPr>
            <w:tcW w:w="7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2017, the unrecognized compensation cost related to unvested phantom units was $0.2 million. Such cost is expected to be recognized over a weighted-average period of 1.4 years.</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Immediately upon the completion of the Company’s initial public offering on October 17, 2012, Wexford beneficially owned approximately 44% of the Company’s outstanding common stock. As of December 31, 2016, Wexford beneficially owned less than 1% of the Company’s outstanding common stock. The Chairman of the Board of Directors of both the Company and the General Partner was a partner at Wexford until his retirement from Wexford effective December 31, 2016. Another partner at Wexford serves as a member of the Board of Directors of the General Partner. Beginning January 1, 2017, Wexford and entities affiliated with Wexford are no longer considered related parties of the Company and any expenses after December 31, 2016 are no longer classified as related party expenses.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79"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Revenue and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2016, the Company paid $0.3 million in lease operating expenses and $0.4 million in general and administrative expenses to related parties. During the three months ended March 31, 2016, the Company received less than $0.1 million in other income from related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Services Agreement - The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entered into an advisory services agreement (the “Advisory Services Agreement”) with Wexford, dated as of October 11, 2012, under which Wexford provides the Company with general financial and strategic advisory services related to the business in return for an annual fee of $0.5 million, plus reasonable out-of-pocket expenses. The Advisory Services Agreement had an initial term of two years commencing on October 18, 2012, and continues for additional one-year periods unless terminated in writing by either party at least ten days prior to the expiration of the then current term. The Company incurred total costs of $0.1 million during the three months ended March 31, 2016 under the Advisory Services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Services Agreement - The Partnership</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Viper Offering, the Partnership and the General Partner entered into an advisory services agreement (the “Viper Advisory Services Agreement”) with Wexford, dated as of June 23, 2014, under which Wexford provides the Partnership and the General Partner with general financial and strategic advisory services related to the business in return for an annual fee of $0.5 million, plus reasonable out-of-pocket expenses. The Viper Advisory Services Agreement has an initial term of two years commencing on June 23, 2014, and will continue for additional one-year periods unless terminated in writing by either party at least ten days prior to the expiration of the then current term. The Partnership did not incur any costs during the three months ended March 31, 2017 or March 31, 2016 under the Viper Advisory Services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Midland Corporate Lease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May 15, 2011, the Company occupied corporate office space in Midland, Texas under a lease with an initial five-year term, which was extended for an additional ten-years in November 2014. The office space is owned by Fasken, which is controlled by an affiliate of Wexford. The Company paid rent of $0.3 million for the three months ended March 31,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Field Office Lease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leased field office space in Midland, Texas from an unrelated third party commencing on March 1, 2011. On March 1, 2014, the building was purchased by WT Commercial Portfolio, LLC, which is controlled by an affiliate of Wexford. The term of the lease expires on February 28, 2018. During the third quarter of 2014, the Company entered into a sublease with Bison, in which Bison leased the field office space on the same terms as the Company’s lease for the remainder of the lease term. The Company paid rent of less than $0.1 million during the three months ended March 31, 2016. The Company received payments of less than $0.1 million from Bison in respect of this sublease during the three months ended March 31,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Partnership - Lease Bonus</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2017, the Company paid the Partnership $1,500 in lease bonus payments to extend the term of one lease, reflecting an average bonus of $400 per acre. During the three months ended March 31, 2016, the Company paid the Partnership $0.1 million in lease bonus payments to extend the term of one lease, reflecting an average bonus of $2,500 per acre.</w:t>
      </w:r>
    </w:p>
    <w:p>
      <w:pPr>
        <w:spacing w:after="0" w:line="9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rates were 1.4% and 0.0% for the three months ended March 31, 2017 and 2016, respectively. Total income tax expense for the three months ended March 31, 2017 differed from amounts computed by applying the United States federal statutory tax rate to pre-tax income primarily due to current and deferred state income taxes and the change in valuation allowance that offsets the Company’s federal net deferred tax asset position. The Company incurs state income tax obligations in Texas, the primary state in which it operates, pursuant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9"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Texas margin tax. Any positive net taxable income generated by the Company for federal income tax purposes for the three months ended March 31, 2017 is expected to be offset by federal net operating loss (“NOL”) carryforwards, for which a full valuation allowance has been provided. During the three months ended March 31, 2017, the Company reduced its valuation allowance against its federal NOL by $27.4 million, bringing the total valuation allowance to $87.0 million. The valuation allowance reduces the Company’s deferred assets to a zero value, as management does not believe that it is more-likely-than-not that this portion of the Company's NOLs are realizable. Management believes that the balance of the Company's NOLs are realizable only to the extent of future taxable income primarily related to the excess of book carrying value of properties over their respective tax bases. No other sources of future taxable income are considered in this judgment.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derivative financial instruments are recorded at fair value. The Company has not designated its derivative instruments as hedges for accounting purposes and, as a result, marks its derivative instruments to fair value and recognizes the cash and non-cash changes in fair value in the combined consolidated statements of operations under the caption “Gain (loss) on derivative instruments, net.”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used fixed price swap contracts, fixed price basis swap contracts and costless collars with corresponding put and call options to reduce price volatility associated with certain of its oil and natural gas sales. With respect to the Company’s fixed price swap contracts and fixed price basis swap contracts, the counterparty is required to make a payment to the Company if the settlement price for any settlement period is less than the swap or basis price, and the Company is required to make a payment to the counterparty if the settlement price for any settlement period is greater than the swap or basis price. The Company has fixed price basis swaps for the spread between the WTI Midland price and the WTI Cushing price. Under the Company’s costless collar contracts, the counterparty is required to make a payment to the Company if the settlement price for any settlement period is less than the put option price, and the Company is required to make a payment to the counterparty if the settlement price for any settlement period is greater than the call option price. If the settlement price is between the put and the call price, there is no payment required. The Company’s derivative contracts are based upon reported settlement prices on commodity exchanges, with crude oil derivative settlements based on New York Mercantile Exchange West Texas Intermediate pricing and with natural gas derivative settlements based on the New York Mercantile Exchange Henry Hub pricing.</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By using derivative instruments to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does not require collateral from its counterparties. The Company has entered into derivative instruments only with counterparties that are also lenders in our credit facility and have been deemed an acceptable credit risk.</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2017, the Company had the following outstanding derivative contracts. When aggregating multiple contracts, the weighted average contract price is disclosed.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1980" w:type="dxa"/>
            <w:vAlign w:val="bottom"/>
          </w:tcPr>
          <w:p>
            <w:pPr>
              <w:spacing w:after="0"/>
              <w:rPr>
                <w:sz w:val="20"/>
                <w:szCs w:val="20"/>
                <w:color w:val="auto"/>
              </w:rPr>
            </w:pPr>
          </w:p>
        </w:tc>
      </w:tr>
      <w:tr>
        <w:trPr>
          <w:trHeight w:val="27"/>
        </w:trPr>
        <w:tc>
          <w:tcPr>
            <w:tcW w:w="23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4"/>
        </w:trPr>
        <w:tc>
          <w:tcPr>
            <w:tcW w:w="2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Fixed Price Swap (per</w:t>
            </w:r>
          </w:p>
        </w:tc>
        <w:tc>
          <w:tcPr>
            <w:tcW w:w="2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Volume (Bbls/MMBtu)</w:t>
            </w:r>
          </w:p>
        </w:tc>
        <w:tc>
          <w:tcPr>
            <w:tcW w:w="180" w:type="dxa"/>
            <w:vAlign w:val="bottom"/>
          </w:tcPr>
          <w:p>
            <w:pPr>
              <w:spacing w:after="0"/>
              <w:rPr>
                <w:sz w:val="18"/>
                <w:szCs w:val="18"/>
                <w:color w:val="auto"/>
              </w:rPr>
            </w:pPr>
          </w:p>
        </w:tc>
        <w:tc>
          <w:tcPr>
            <w:tcW w:w="1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Fixed Price Swap (per</w:t>
            </w:r>
          </w:p>
        </w:tc>
      </w:tr>
      <w:tr>
        <w:trPr>
          <w:trHeight w:val="238"/>
        </w:trPr>
        <w:tc>
          <w:tcPr>
            <w:tcW w:w="2300" w:type="dxa"/>
            <w:vAlign w:val="bottom"/>
          </w:tcPr>
          <w:p>
            <w:pPr>
              <w:spacing w:after="0"/>
              <w:rPr>
                <w:sz w:val="20"/>
                <w:szCs w:val="20"/>
                <w:color w:val="auto"/>
              </w:rPr>
            </w:pP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Volume (Bbls/MMBtu)</w:t>
            </w:r>
          </w:p>
        </w:tc>
        <w:tc>
          <w:tcPr>
            <w:tcW w:w="180" w:type="dxa"/>
            <w:vAlign w:val="bottom"/>
          </w:tcPr>
          <w:p>
            <w:pPr>
              <w:spacing w:after="0"/>
              <w:rPr>
                <w:sz w:val="20"/>
                <w:szCs w:val="20"/>
                <w:color w:val="auto"/>
              </w:rPr>
            </w:pPr>
          </w:p>
        </w:tc>
        <w:tc>
          <w:tcPr>
            <w:tcW w:w="2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Bbl/MMBtu)</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Bbl/MMBtu)</w:t>
            </w:r>
          </w:p>
        </w:tc>
      </w:tr>
      <w:tr>
        <w:trPr>
          <w:trHeight w:val="27"/>
        </w:trPr>
        <w:tc>
          <w:tcPr>
            <w:tcW w:w="23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Swaps</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53.13</w:t>
            </w:r>
          </w:p>
        </w:tc>
        <w:tc>
          <w:tcPr>
            <w:tcW w:w="2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54.96</w:t>
            </w: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Oil Basis Swaps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27"/>
        </w:trPr>
        <w:tc>
          <w:tcPr>
            <w:tcW w:w="2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 Swaps</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r>
      <w:tr>
        <w:trPr>
          <w:trHeight w:val="675"/>
        </w:trPr>
        <w:tc>
          <w:tcPr>
            <w:tcW w:w="2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420"/>
          </w:cols>
          <w:pgMar w:left="240" w:top="279"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3200" w:type="dxa"/>
            <w:vAlign w:val="bottom"/>
            <w:gridSpan w:val="5"/>
          </w:tcPr>
          <w:p>
            <w:pPr>
              <w:ind w:left="1340"/>
              <w:spacing w:after="0"/>
              <w:rPr>
                <w:sz w:val="20"/>
                <w:szCs w:val="20"/>
                <w:color w:val="auto"/>
              </w:rPr>
            </w:pPr>
            <w:r>
              <w:rPr>
                <w:rFonts w:ascii="Times New Roman" w:cs="Times New Roman" w:eastAsia="Times New Roman" w:hAnsi="Times New Roman"/>
                <w:sz w:val="18"/>
                <w:szCs w:val="18"/>
                <w:b w:val="1"/>
                <w:bCs w:val="1"/>
                <w:color w:val="auto"/>
              </w:rPr>
              <w:t>Floor</w:t>
            </w:r>
          </w:p>
        </w:tc>
        <w:tc>
          <w:tcPr>
            <w:tcW w:w="3180" w:type="dxa"/>
            <w:vAlign w:val="bottom"/>
            <w:gridSpan w:val="4"/>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Ceiling</w:t>
            </w:r>
          </w:p>
        </w:tc>
      </w:tr>
      <w:tr>
        <w:trPr>
          <w:trHeight w:val="27"/>
        </w:trPr>
        <w:tc>
          <w:tcPr>
            <w:tcW w:w="50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4"/>
        </w:trPr>
        <w:tc>
          <w:tcPr>
            <w:tcW w:w="504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Volume</w:t>
            </w: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Fixed Price (per</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Volume</w:t>
            </w:r>
          </w:p>
        </w:tc>
        <w:tc>
          <w:tcPr>
            <w:tcW w:w="16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Fixed Price (per</w:t>
            </w:r>
          </w:p>
        </w:tc>
      </w:tr>
      <w:tr>
        <w:trPr>
          <w:trHeight w:val="238"/>
        </w:trPr>
        <w:tc>
          <w:tcPr>
            <w:tcW w:w="5040" w:type="dxa"/>
            <w:vAlign w:val="bottom"/>
          </w:tcPr>
          <w:p>
            <w:pPr>
              <w:spacing w:after="0"/>
              <w:rPr>
                <w:sz w:val="20"/>
                <w:szCs w:val="20"/>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1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Bbl)</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16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Bbl)</w:t>
            </w:r>
          </w:p>
        </w:tc>
      </w:tr>
      <w:tr>
        <w:trPr>
          <w:trHeight w:val="27"/>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January 2017 - December 2017</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Costless Collars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56.03</w:t>
            </w:r>
          </w:p>
        </w:tc>
      </w:tr>
      <w:tr>
        <w:trPr>
          <w:trHeight w:val="27"/>
        </w:trPr>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January 2018 - March 2018</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Costless Collars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offsetting of derivative assets and liabilities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swaps is generally determined using established index prices and other sources which are based upon, among other things, futures prices and time to maturity. These fair values are recorded by netting asset and liability positions that are with the same counterparty and are subject to contractual terms which provide for net settlement.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gross amounts of recognized derivative assets and liabilities, the amounts offset under master netting arrangements with counterparties and the resulting net amounts presented in the Company’s consolidated balance sheets as of March 31, 2017 and December 31, 2016.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28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40" w:type="dxa"/>
            <w:vAlign w:val="bottom"/>
            <w:gridSpan w:val="3"/>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amounts of assets presented in the Consolidated Balance Sheet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amounts of assets presented in the Consolidated Balance Sheet</w:t>
            </w:r>
          </w:p>
        </w:tc>
        <w:tc>
          <w:tcPr>
            <w:tcW w:w="300" w:type="dxa"/>
            <w:vAlign w:val="bottom"/>
            <w:tcBorders>
              <w:top w:val="single" w:sz="8" w:color="auto"/>
              <w:bottom w:val="single" w:sz="8" w:color="auto"/>
            </w:tcBorders>
          </w:tcPr>
          <w:p>
            <w:pPr>
              <w:spacing w:after="0"/>
              <w:rPr>
                <w:sz w:val="24"/>
                <w:szCs w:val="24"/>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17,476</w:t>
            </w:r>
          </w:p>
        </w:tc>
        <w:tc>
          <w:tcPr>
            <w:tcW w:w="280" w:type="dxa"/>
            <w:vAlign w:val="bottom"/>
            <w:tcBorders>
              <w:top w:val="single" w:sz="8" w:color="auto"/>
              <w:bottom w:val="single" w:sz="8" w:color="auto"/>
            </w:tcBorders>
          </w:tcPr>
          <w:p>
            <w:pPr>
              <w:spacing w:after="0"/>
              <w:rPr>
                <w:sz w:val="24"/>
                <w:szCs w:val="24"/>
                <w:color w:val="auto"/>
              </w:rPr>
            </w:pP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709</w:t>
            </w:r>
          </w:p>
        </w:tc>
      </w:tr>
      <w:tr>
        <w:trPr>
          <w:trHeight w:val="311"/>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amounts of liabilities presented in the Consolidated Balance Sheet</w:t>
            </w:r>
          </w:p>
        </w:tc>
        <w:tc>
          <w:tcPr>
            <w:tcW w:w="3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22,608</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amounts of liabilities presented in the Consolidated Balance Sheet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22,608</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net amounts are classified as current or noncurrent based on their anticipated settlement dates. The net fair value of the Company’s derivative assets and liabilities and their locations on the consolidated balance sheet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30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gridSpan w:val="3"/>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4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 derivative instruments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14,374</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 derivative instruments</w:t>
            </w:r>
          </w:p>
        </w:tc>
        <w:tc>
          <w:tcPr>
            <w:tcW w:w="3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30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709</w:t>
            </w: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17,476</w:t>
            </w:r>
          </w:p>
        </w:tc>
        <w:tc>
          <w:tcPr>
            <w:tcW w:w="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30"/>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 derivative instruments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22,608</w:t>
            </w: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22,608</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 of the Company’s derivatives have been designated as hedges. As such, all changes in fair value are immediately recognized in earnings. The following table summarizes the gains and losses on derivative instruments included in the combined consolidated statements of operations: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5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fair value of open non-hedge derivative instruments</w:t>
            </w:r>
          </w:p>
        </w:tc>
        <w:tc>
          <w:tcPr>
            <w:tcW w:w="4120" w:type="dxa"/>
            <w:vAlign w:val="bottom"/>
            <w:tcBorders>
              <w:bottom w:val="single" w:sz="8" w:color="CCEEFF"/>
            </w:tcBorders>
            <w:gridSpan w:val="2"/>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39,375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settlement of non-hedge derivative instruments</w:t>
            </w:r>
          </w:p>
        </w:tc>
        <w:tc>
          <w:tcPr>
            <w:tcW w:w="3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5,117</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derivative instruments</w:t>
            </w:r>
          </w:p>
        </w:tc>
        <w:tc>
          <w:tcPr>
            <w:tcW w:w="4120" w:type="dxa"/>
            <w:vAlign w:val="bottom"/>
            <w:gridSpan w:val="2"/>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37,701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jc w:val="right"/>
              <w:ind w:right="301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8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for identical assets or liabilities in active markets as of the reporting date.</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not corroborated by market data and may be used with internally developed methodologies that result in management’s best estimate of fair value.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and liabilities are classified based on the lowest level of input that is significant to the fair value measurement.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reported at fair value on a recurring basis, including the Company’s derivative instruments. The fair values of the Company’s fixed price swaps, fixed price basis swaps and costless collars are measured internally using established commodity futures price strips for the underlying commodity provided by a reputable third party, the contracted notional volumes, and time to maturity. These valuations are Level 2 inputs.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fair value measurement information for financial assets and liabilities measured at fair value on a recurring basis as of March 31, 2017 and December 31, 2016.</w:t>
      </w:r>
    </w:p>
    <w:p>
      <w:pPr>
        <w:spacing w:after="0" w:line="104" w:lineRule="exact"/>
        <w:rPr>
          <w:sz w:val="20"/>
          <w:szCs w:val="20"/>
          <w:color w:val="auto"/>
        </w:rPr>
      </w:pPr>
    </w:p>
    <w:p>
      <w:pPr>
        <w:ind w:left="7580"/>
        <w:spacing w:after="0"/>
        <w:tabs>
          <w:tab w:leader="none" w:pos="9600" w:val="left"/>
        </w:tabs>
        <w:rPr>
          <w:sz w:val="20"/>
          <w:szCs w:val="20"/>
          <w:color w:val="auto"/>
        </w:rPr>
      </w:pPr>
      <w:r>
        <w:rPr>
          <w:rFonts w:ascii="Times New Roman" w:cs="Times New Roman" w:eastAsia="Times New Roman" w:hAnsi="Times New Roman"/>
          <w:sz w:val="18"/>
          <w:szCs w:val="18"/>
          <w:b w:val="1"/>
          <w:bCs w:val="1"/>
          <w:color w:val="auto"/>
        </w:rPr>
        <w:t>March 31, 2017</w:t>
      </w:r>
      <w:r>
        <w:rPr>
          <w:sz w:val="20"/>
          <w:szCs w:val="20"/>
          <w:color w:val="auto"/>
        </w:rPr>
        <w:tab/>
      </w:r>
      <w:r>
        <w:rPr>
          <w:rFonts w:ascii="Times New Roman" w:cs="Times New Roman" w:eastAsia="Times New Roman" w:hAnsi="Times New Roman"/>
          <w:sz w:val="17"/>
          <w:szCs w:val="17"/>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36830</wp:posOffset>
            </wp:positionV>
            <wp:extent cx="2752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Fixed price swaps: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Quoted prices in active markets level 1</w:t>
            </w:r>
          </w:p>
        </w:tc>
        <w:tc>
          <w:tcPr>
            <w:tcW w:w="3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2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17,476</w:t>
            </w:r>
          </w:p>
        </w:tc>
        <w:tc>
          <w:tcPr>
            <w:tcW w:w="8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23,317</w:t>
            </w: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Significant unobservable inputs level 3</w:t>
            </w:r>
          </w:p>
        </w:tc>
        <w:tc>
          <w:tcPr>
            <w:tcW w:w="2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34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17,476</w:t>
            </w:r>
          </w:p>
        </w:tc>
        <w:tc>
          <w:tcPr>
            <w:tcW w:w="8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23,317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23</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8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fair value of financial instruments that are not recorded at fair value in the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2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31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4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720" w:type="dxa"/>
            <w:vAlign w:val="bottom"/>
          </w:tcPr>
          <w:p>
            <w:pPr>
              <w:spacing w:after="0"/>
              <w:rPr>
                <w:sz w:val="20"/>
                <w:szCs w:val="20"/>
                <w:color w:val="auto"/>
              </w:rPr>
            </w:pPr>
          </w:p>
        </w:tc>
        <w:tc>
          <w:tcPr>
            <w:tcW w:w="1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20" w:type="dxa"/>
            <w:vAlign w:val="bottom"/>
          </w:tcPr>
          <w:p>
            <w:pPr>
              <w:spacing w:after="0"/>
              <w:rPr>
                <w:sz w:val="20"/>
                <w:szCs w:val="20"/>
                <w:color w:val="auto"/>
              </w:rPr>
            </w:pPr>
          </w:p>
        </w:tc>
      </w:tr>
      <w:tr>
        <w:trPr>
          <w:trHeight w:val="270"/>
        </w:trPr>
        <w:tc>
          <w:tcPr>
            <w:tcW w:w="4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0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7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4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2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w:t>
            </w: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4.750% Senior Notes due 2024</w:t>
            </w: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500,000</w:t>
            </w:r>
          </w:p>
        </w:tc>
        <w:tc>
          <w:tcPr>
            <w:tcW w:w="17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504,200</w:t>
            </w:r>
          </w:p>
        </w:tc>
        <w:tc>
          <w:tcPr>
            <w:tcW w:w="16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500,000</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491,250</w:t>
            </w:r>
          </w:p>
        </w:tc>
      </w:tr>
      <w:tr>
        <w:trPr>
          <w:trHeight w:val="243"/>
        </w:trPr>
        <w:tc>
          <w:tcPr>
            <w:tcW w:w="4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5.375% Senior Notes due 2025</w:t>
            </w:r>
          </w:p>
        </w:tc>
        <w:tc>
          <w:tcPr>
            <w:tcW w:w="320" w:type="dxa"/>
            <w:vAlign w:val="bottom"/>
          </w:tcPr>
          <w:p>
            <w:pPr>
              <w:spacing w:after="0"/>
              <w:rPr>
                <w:sz w:val="21"/>
                <w:szCs w:val="21"/>
                <w:color w:val="auto"/>
              </w:rPr>
            </w:pPr>
          </w:p>
        </w:tc>
        <w:tc>
          <w:tcPr>
            <w:tcW w:w="17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500,000</w:t>
            </w:r>
          </w:p>
        </w:tc>
        <w:tc>
          <w:tcPr>
            <w:tcW w:w="17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516,250</w:t>
            </w: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500,000</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502,850</w:t>
            </w: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4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Partnership revolving credit facility</w:t>
            </w:r>
          </w:p>
        </w:tc>
        <w:tc>
          <w:tcPr>
            <w:tcW w:w="3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120,500</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120,500</w:t>
            </w:r>
          </w:p>
        </w:tc>
      </w:tr>
      <w:tr>
        <w:trPr>
          <w:trHeight w:val="27"/>
        </w:trPr>
        <w:tc>
          <w:tcPr>
            <w:tcW w:w="4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7"/>
          <w:szCs w:val="17"/>
          <w:color w:val="auto"/>
        </w:rPr>
        <w:t>The fair value of the revolving credit facility approximates its carrying value based on borrowing rates available to the Company for bank loans with similar terms and maturities and is classified as Level 2 in the fair value hierarchy. The fair value of the Senior Notes was determined using the March 31, 2017 quoted market price, a Level 1 classification in the fair value hierarchy. The fair value of the Partnership’s revolving credit facility approximates its carrying value based on borrowing rates available to us for bank loans with similar terms and maturities and is classified as Level 2 in the fair value hierarchy.</w:t>
      </w:r>
    </w:p>
    <w:p>
      <w:pPr>
        <w:spacing w:after="0" w:line="16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could be subject to various possible loss contingencies which arise primarily from interpretation of federal and state laws and regulations affecting the natural gas and crude oil industry. Such contingencies include differing interpretations as to the prices at which natural gas and crude oil sales may be made, the prices at which royalty owners may be paid for production from their leases, environmental issues and other matters. Management believes it has complied with the various laws and regulations, administrative rulings and interpretations.</w:t>
      </w:r>
    </w:p>
    <w:p>
      <w:pPr>
        <w:spacing w:after="0" w:line="176" w:lineRule="exact"/>
        <w:rPr>
          <w:sz w:val="20"/>
          <w:szCs w:val="20"/>
          <w:color w:val="auto"/>
        </w:rPr>
      </w:pPr>
    </w:p>
    <w:p>
      <w:pPr>
        <w:ind w:left="660" w:right="9040" w:hanging="652"/>
        <w:spacing w:after="0" w:line="533" w:lineRule="auto"/>
        <w:tabs>
          <w:tab w:leader="none" w:pos="417"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SUBSEQUENT EVENTS </w:t>
      </w:r>
      <w:r>
        <w:rPr>
          <w:rFonts w:ascii="Times New Roman" w:cs="Times New Roman" w:eastAsia="Times New Roman" w:hAnsi="Times New Roman"/>
          <w:sz w:val="17"/>
          <w:szCs w:val="17"/>
          <w:b w:val="1"/>
          <w:bCs w:val="1"/>
          <w:i w:val="1"/>
          <w:iCs w:val="1"/>
          <w:color w:val="auto"/>
        </w:rPr>
        <w:t>Commodity Contracts</w:t>
      </w: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Subsequent to March 31, 2017, the Company entered into new fixed price swaps. The Company’s derivative contracts are based upon reported settlement prices on commodity exchanges, with crude oil derivative settlements based on New York Mercantile Exchange West Texas Intermediate pricing and with natural gas derivative settlements based on the New York Mercantile Exchange Henry Hub pricing.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derivative contracts entered into by the Company subsequent to March 31, 2017. When aggregating multiple contracts, the weighted average contract price is disclosed.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Fixed Price Swap (per</w:t>
            </w:r>
          </w:p>
        </w:tc>
      </w:tr>
      <w:tr>
        <w:trPr>
          <w:trHeight w:val="238"/>
        </w:trPr>
        <w:tc>
          <w:tcPr>
            <w:tcW w:w="4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Volume (Bbls/MMBtu)</w:t>
            </w:r>
          </w:p>
        </w:tc>
        <w:tc>
          <w:tcPr>
            <w:tcW w:w="240" w:type="dxa"/>
            <w:vAlign w:val="bottom"/>
          </w:tcPr>
          <w:p>
            <w:pPr>
              <w:spacing w:after="0"/>
              <w:rPr>
                <w:sz w:val="20"/>
                <w:szCs w:val="20"/>
                <w:color w:val="auto"/>
              </w:rPr>
            </w:pP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Bbl/MMBtu)</w:t>
            </w:r>
          </w:p>
        </w:tc>
      </w:tr>
      <w:tr>
        <w:trPr>
          <w:trHeight w:val="27"/>
        </w:trPr>
        <w:tc>
          <w:tcPr>
            <w:tcW w:w="400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May 2017 - December 2017</w:t>
            </w:r>
          </w:p>
        </w:tc>
        <w:tc>
          <w:tcPr>
            <w:tcW w:w="26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Oil Swaps</w:t>
            </w:r>
          </w:p>
        </w:tc>
        <w:tc>
          <w:tcPr>
            <w:tcW w:w="4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184,000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53.99</w:t>
            </w:r>
          </w:p>
        </w:tc>
      </w:tr>
      <w:tr>
        <w:trPr>
          <w:trHeight w:val="27"/>
        </w:trPr>
        <w:tc>
          <w:tcPr>
            <w:tcW w:w="40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Natural Gas Swaps</w:t>
            </w:r>
          </w:p>
        </w:tc>
        <w:tc>
          <w:tcPr>
            <w:tcW w:w="4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January 2018 - December 2018</w:t>
            </w:r>
          </w:p>
        </w:tc>
        <w:tc>
          <w:tcPr>
            <w:tcW w:w="26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Oil Swaps</w:t>
            </w:r>
          </w:p>
        </w:tc>
        <w:tc>
          <w:tcPr>
            <w:tcW w:w="4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53.44</w:t>
            </w: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Natural Gas Swaps</w:t>
            </w:r>
          </w:p>
        </w:tc>
        <w:tc>
          <w:tcPr>
            <w:tcW w:w="4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3,650,000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r>
      <w:tr>
        <w:trPr>
          <w:trHeight w:val="702"/>
        </w:trPr>
        <w:tc>
          <w:tcPr>
            <w:tcW w:w="4000" w:type="dxa"/>
            <w:vAlign w:val="bottom"/>
          </w:tcPr>
          <w:p>
            <w:pPr>
              <w:spacing w:after="0"/>
              <w:rPr>
                <w:sz w:val="24"/>
                <w:szCs w:val="24"/>
                <w:color w:val="auto"/>
              </w:rPr>
            </w:pPr>
          </w:p>
        </w:tc>
        <w:tc>
          <w:tcPr>
            <w:tcW w:w="26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24</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420"/>
          </w:cols>
          <w:pgMar w:left="240" w:top="279"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Credit Facility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Company’s spring 2017 redetermination, the agent lender under the credit agreement has recommended that the Company’s borrowing base be increased to $1.5 billion. This increase is subject to the approval of the required other lenders. Regardless of such adjustment, the Company has elected to increase the lenders’ aggregate commitment to $750.0 million from $500.0 million at March 31,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Partnership’s Credit Facility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Partnership’s spring 2017 redetermination, the agent lender under the credit agreement has recommended that the Partnership’s borrowing base be increased to $315.0 million. This increase is subject to the approval of the required other lenders.</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GUARANTOR FINANCIAL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March 31, 2017, Diamondback E&amp;P LLC and Diamondback O&amp;G LLC (the “Guarantor Subsidiaries”) are guarantors under the Indentures relating to the 2024 Senior Notes and the 2025 Senior Notes. In connection with the issuance of the 2024 Senior Notes and the 2025 Senior Notes, the Partnership, the General Partner, Viper Energy Partners LLC and Rattler Midstream LLC were designated as Non-Guarantor Subsidiaries. The following presents condensed consolidated financial information for the Company (which for purposes of this Note 17 is referred to as the “Parent”), the Guarantor Subsidiaries and the Non–Guarantor Subsidiaries on a consolidated basis. Elimination entries presented are necessary to combine the entities. The information is presented in accordance with the requirements of Rule 3-10 under the SEC’s Regulation S-X. The financial information may not necessarily be indicative of results of operations, cash flows or financial position had the Guarantor Subsidiaries operated as independent entities. The Company has not presented separate financial and narrative information for each of the Guarantor Subsidiaries because it believes such financial and narrative information would not provide any additional information that would be material in evaluating the sufficiency of the Guarantor Subsidiaries.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9"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2017</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23"/>
                <w:szCs w:val="2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23"/>
                <w:szCs w:val="23"/>
                <w:color w:val="auto"/>
              </w:rPr>
            </w:pPr>
          </w:p>
        </w:tc>
        <w:tc>
          <w:tcPr>
            <w:tcW w:w="11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69"/>
        </w:trPr>
        <w:tc>
          <w:tcPr>
            <w:tcW w:w="4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7,966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28,563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37,440</w:t>
            </w:r>
          </w:p>
        </w:tc>
        <w:tc>
          <w:tcPr>
            <w:tcW w:w="0" w:type="dxa"/>
            <w:vAlign w:val="bottom"/>
          </w:tcPr>
          <w:p>
            <w:pPr>
              <w:spacing w:after="0"/>
              <w:rPr>
                <w:sz w:val="1"/>
                <w:szCs w:val="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130,161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139,378</w:t>
            </w:r>
          </w:p>
        </w:tc>
        <w:tc>
          <w:tcPr>
            <w:tcW w:w="0" w:type="dxa"/>
            <w:vAlign w:val="bottom"/>
          </w:tcPr>
          <w:p>
            <w:pPr>
              <w:spacing w:after="0"/>
              <w:rPr>
                <w:sz w:val="1"/>
                <w:szCs w:val="1"/>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receivable - related party</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6,951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Intercompany receivable</w:t>
            </w:r>
          </w:p>
        </w:tc>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3,140,469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593,099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(3,733,568)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3,027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3,027</w:t>
            </w:r>
          </w:p>
        </w:tc>
        <w:tc>
          <w:tcPr>
            <w:tcW w:w="0" w:type="dxa"/>
            <w:vAlign w:val="bottom"/>
          </w:tcPr>
          <w:p>
            <w:pPr>
              <w:spacing w:after="0"/>
              <w:rPr>
                <w:sz w:val="1"/>
                <w:szCs w:val="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18,210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18,831</w:t>
            </w:r>
          </w:p>
        </w:tc>
        <w:tc>
          <w:tcPr>
            <w:tcW w:w="0" w:type="dxa"/>
            <w:vAlign w:val="bottom"/>
          </w:tcPr>
          <w:p>
            <w:pPr>
              <w:spacing w:after="0"/>
              <w:rPr>
                <w:sz w:val="1"/>
                <w:szCs w:val="1"/>
                <w:color w:val="auto"/>
              </w:rPr>
            </w:pPr>
          </w:p>
        </w:tc>
      </w:tr>
      <w:tr>
        <w:trPr>
          <w:trHeight w:val="255"/>
        </w:trPr>
        <w:tc>
          <w:tcPr>
            <w:tcW w:w="436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3,141,793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752,561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44,939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(3,740,519)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198,774</w:t>
            </w:r>
          </w:p>
        </w:tc>
        <w:tc>
          <w:tcPr>
            <w:tcW w:w="0" w:type="dxa"/>
            <w:vAlign w:val="bottom"/>
          </w:tcPr>
          <w:p>
            <w:pPr>
              <w:spacing w:after="0"/>
              <w:rPr>
                <w:sz w:val="1"/>
                <w:szCs w:val="1"/>
                <w:color w:val="auto"/>
              </w:rPr>
            </w:pPr>
          </w:p>
        </w:tc>
      </w:tr>
      <w:tr>
        <w:trPr>
          <w:trHeight w:val="259"/>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Property and equipment:</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Oil and natural gas properties, at cost, full cost method of accounting</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7,102,157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769,393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7,870,991</w:t>
            </w:r>
          </w:p>
        </w:tc>
        <w:tc>
          <w:tcPr>
            <w:tcW w:w="0" w:type="dxa"/>
            <w:vAlign w:val="bottom"/>
          </w:tcPr>
          <w:p>
            <w:pPr>
              <w:spacing w:after="0"/>
              <w:rPr>
                <w:sz w:val="1"/>
                <w:szCs w:val="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Midstream assets</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56,833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56,833</w:t>
            </w:r>
          </w:p>
        </w:tc>
        <w:tc>
          <w:tcPr>
            <w:tcW w:w="0" w:type="dxa"/>
            <w:vAlign w:val="bottom"/>
          </w:tcPr>
          <w:p>
            <w:pPr>
              <w:spacing w:after="0"/>
              <w:rPr>
                <w:sz w:val="1"/>
                <w:szCs w:val="1"/>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property and equipment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70,170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70,170</w:t>
            </w:r>
          </w:p>
        </w:tc>
        <w:tc>
          <w:tcPr>
            <w:tcW w:w="0" w:type="dxa"/>
            <w:vAlign w:val="bottom"/>
          </w:tcPr>
          <w:p>
            <w:pPr>
              <w:spacing w:after="0"/>
              <w:rPr>
                <w:sz w:val="1"/>
                <w:szCs w:val="1"/>
                <w:color w:val="auto"/>
              </w:rPr>
            </w:pPr>
          </w:p>
        </w:tc>
      </w:tr>
      <w:tr>
        <w:trPr>
          <w:trHeight w:val="265"/>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Accumulated depletion, depreciation, amortization and impairment</w:t>
            </w: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(1,746,886)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(156,795)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8,784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(1,894,897)</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5,482,274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612,598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8,225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6,103,097</w:t>
            </w:r>
          </w:p>
        </w:tc>
        <w:tc>
          <w:tcPr>
            <w:tcW w:w="0" w:type="dxa"/>
            <w:vAlign w:val="bottom"/>
          </w:tcPr>
          <w:p>
            <w:pPr>
              <w:spacing w:after="0"/>
              <w:rPr>
                <w:sz w:val="1"/>
                <w:szCs w:val="1"/>
                <w:color w:val="auto"/>
              </w:rPr>
            </w:pPr>
          </w:p>
        </w:tc>
      </w:tr>
      <w:tr>
        <w:trPr>
          <w:trHeight w:val="250"/>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Funds held in escrow</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2,051</w:t>
            </w:r>
          </w:p>
        </w:tc>
        <w:tc>
          <w:tcPr>
            <w:tcW w:w="0" w:type="dxa"/>
            <w:vAlign w:val="bottom"/>
          </w:tcPr>
          <w:p>
            <w:pPr>
              <w:spacing w:after="0"/>
              <w:rPr>
                <w:sz w:val="1"/>
                <w:szCs w:val="1"/>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3,102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3,102</w:t>
            </w:r>
          </w:p>
        </w:tc>
        <w:tc>
          <w:tcPr>
            <w:tcW w:w="0" w:type="dxa"/>
            <w:vAlign w:val="bottom"/>
          </w:tcPr>
          <w:p>
            <w:pPr>
              <w:spacing w:after="0"/>
              <w:rPr>
                <w:sz w:val="1"/>
                <w:szCs w:val="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in subsidiaries</w:t>
            </w:r>
          </w:p>
        </w:tc>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2,564,063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(2,564,063)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27,500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35,053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62,553</w:t>
            </w:r>
          </w:p>
        </w:tc>
        <w:tc>
          <w:tcPr>
            <w:tcW w:w="0" w:type="dxa"/>
            <w:vAlign w:val="bottom"/>
          </w:tcPr>
          <w:p>
            <w:pPr>
              <w:spacing w:after="0"/>
              <w:rPr>
                <w:sz w:val="1"/>
                <w:szCs w:val="1"/>
                <w:color w:val="auto"/>
              </w:rPr>
            </w:pPr>
          </w:p>
        </w:tc>
      </w:tr>
      <w:tr>
        <w:trPr>
          <w:trHeight w:val="242"/>
        </w:trPr>
        <w:tc>
          <w:tcPr>
            <w:tcW w:w="43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5,705,979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6,267,488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692,590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(6,296,357)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6,369,700</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3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Accounts payable-trade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19,658</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3"/>
                <w:szCs w:val="23"/>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19,689</w:t>
            </w:r>
          </w:p>
        </w:tc>
        <w:tc>
          <w:tcPr>
            <w:tcW w:w="0" w:type="dxa"/>
            <w:vAlign w:val="bottom"/>
          </w:tcPr>
          <w:p>
            <w:pPr>
              <w:spacing w:after="0"/>
              <w:rPr>
                <w:sz w:val="1"/>
                <w:szCs w:val="1"/>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Intercompany payable</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48,003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3,692,516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(3,740,519)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18,775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204,764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224,380</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66,778</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3,916,938</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872</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(3,740,519)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244,069</w:t>
            </w:r>
          </w:p>
        </w:tc>
        <w:tc>
          <w:tcPr>
            <w:tcW w:w="0" w:type="dxa"/>
            <w:vAlign w:val="bottom"/>
          </w:tcPr>
          <w:p>
            <w:pPr>
              <w:spacing w:after="0"/>
              <w:rPr>
                <w:sz w:val="1"/>
                <w:szCs w:val="1"/>
                <w:color w:val="auto"/>
              </w:rPr>
            </w:pPr>
          </w:p>
        </w:tc>
      </w:tr>
      <w:tr>
        <w:trPr>
          <w:trHeight w:val="250"/>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debt</w:t>
            </w:r>
          </w:p>
        </w:tc>
        <w:tc>
          <w:tcPr>
            <w:tcW w:w="26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985,786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985,786</w:t>
            </w:r>
          </w:p>
        </w:tc>
        <w:tc>
          <w:tcPr>
            <w:tcW w:w="0" w:type="dxa"/>
            <w:vAlign w:val="bottom"/>
          </w:tcPr>
          <w:p>
            <w:pPr>
              <w:spacing w:after="0"/>
              <w:rPr>
                <w:sz w:val="1"/>
                <w:szCs w:val="1"/>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18,939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18,939</w:t>
            </w:r>
          </w:p>
        </w:tc>
        <w:tc>
          <w:tcPr>
            <w:tcW w:w="0" w:type="dxa"/>
            <w:vAlign w:val="bottom"/>
          </w:tcPr>
          <w:p>
            <w:pPr>
              <w:spacing w:after="0"/>
              <w:rPr>
                <w:sz w:val="1"/>
                <w:szCs w:val="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1,548</w:t>
            </w:r>
          </w:p>
        </w:tc>
        <w:tc>
          <w:tcPr>
            <w:tcW w:w="0" w:type="dxa"/>
            <w:vAlign w:val="bottom"/>
          </w:tcPr>
          <w:p>
            <w:pPr>
              <w:spacing w:after="0"/>
              <w:rPr>
                <w:sz w:val="1"/>
                <w:szCs w:val="1"/>
                <w:color w:val="auto"/>
              </w:rPr>
            </w:pPr>
          </w:p>
        </w:tc>
      </w:tr>
      <w:tr>
        <w:trPr>
          <w:trHeight w:val="255"/>
        </w:trPr>
        <w:tc>
          <w:tcPr>
            <w:tcW w:w="436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1,054,112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3,935,877</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(3,740,519)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1,250,342</w:t>
            </w:r>
          </w:p>
        </w:tc>
        <w:tc>
          <w:tcPr>
            <w:tcW w:w="0" w:type="dxa"/>
            <w:vAlign w:val="bottom"/>
          </w:tcPr>
          <w:p>
            <w:pPr>
              <w:spacing w:after="0"/>
              <w:rPr>
                <w:sz w:val="1"/>
                <w:szCs w:val="1"/>
                <w:color w:val="auto"/>
              </w:rPr>
            </w:pPr>
          </w:p>
        </w:tc>
      </w:tr>
      <w:tr>
        <w:trPr>
          <w:trHeight w:val="259"/>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4,651,867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2,331,611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691,718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(3,023,329)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4,651,867</w:t>
            </w:r>
          </w:p>
        </w:tc>
        <w:tc>
          <w:tcPr>
            <w:tcW w:w="0" w:type="dxa"/>
            <w:vAlign w:val="bottom"/>
          </w:tcPr>
          <w:p>
            <w:pPr>
              <w:spacing w:after="0"/>
              <w:rPr>
                <w:sz w:val="1"/>
                <w:szCs w:val="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467,491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467,491</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equity</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4,651,867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2,331,611</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691,718</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(2,555,838)</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5,119,358</w:t>
            </w:r>
          </w:p>
        </w:tc>
        <w:tc>
          <w:tcPr>
            <w:tcW w:w="0" w:type="dxa"/>
            <w:vAlign w:val="bottom"/>
          </w:tcPr>
          <w:p>
            <w:pPr>
              <w:spacing w:after="0"/>
              <w:rPr>
                <w:sz w:val="1"/>
                <w:szCs w:val="1"/>
                <w:color w:val="auto"/>
              </w:rPr>
            </w:pPr>
          </w:p>
        </w:tc>
      </w:tr>
      <w:tr>
        <w:trPr>
          <w:trHeight w:val="242"/>
        </w:trPr>
        <w:tc>
          <w:tcPr>
            <w:tcW w:w="43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5,705,979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6,267,488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692,590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(6,296,357)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6,369,700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79"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2016</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23"/>
                <w:szCs w:val="2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23"/>
                <w:szCs w:val="23"/>
                <w:color w:val="auto"/>
              </w:rPr>
            </w:pPr>
          </w:p>
        </w:tc>
        <w:tc>
          <w:tcPr>
            <w:tcW w:w="10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69"/>
        </w:trPr>
        <w:tc>
          <w:tcPr>
            <w:tcW w:w="49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1,643,226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14,135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1,666,574</w:t>
            </w:r>
          </w:p>
        </w:tc>
        <w:tc>
          <w:tcPr>
            <w:tcW w:w="0" w:type="dxa"/>
            <w:vAlign w:val="bottom"/>
          </w:tcPr>
          <w:p>
            <w:pPr>
              <w:spacing w:after="0"/>
              <w:rPr>
                <w:sz w:val="1"/>
                <w:szCs w:val="1"/>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109,782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119,825</w:t>
            </w:r>
          </w:p>
        </w:tc>
        <w:tc>
          <w:tcPr>
            <w:tcW w:w="0" w:type="dxa"/>
            <w:vAlign w:val="bottom"/>
          </w:tcPr>
          <w:p>
            <w:pPr>
              <w:spacing w:after="0"/>
              <w:rPr>
                <w:sz w:val="1"/>
                <w:szCs w:val="1"/>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Accounts receivable - related party</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Intercompany receivable</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3,060,566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359,502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(3,420,068)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1,983</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2,987</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4,704,273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488,018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23,413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(3,423,538)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1,792,166</w:t>
            </w:r>
          </w:p>
        </w:tc>
        <w:tc>
          <w:tcPr>
            <w:tcW w:w="0" w:type="dxa"/>
            <w:vAlign w:val="bottom"/>
          </w:tcPr>
          <w:p>
            <w:pPr>
              <w:spacing w:after="0"/>
              <w:rPr>
                <w:sz w:val="1"/>
                <w:szCs w:val="1"/>
                <w:color w:val="auto"/>
              </w:rPr>
            </w:pPr>
          </w:p>
        </w:tc>
      </w:tr>
      <w:tr>
        <w:trPr>
          <w:trHeight w:val="269"/>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Property and equipment: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Oil and natural gas properties, at cost, full cost method of accounting</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4,400,002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760,818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5,160,261</w:t>
            </w:r>
          </w:p>
        </w:tc>
        <w:tc>
          <w:tcPr>
            <w:tcW w:w="0" w:type="dxa"/>
            <w:vAlign w:val="bottom"/>
          </w:tcPr>
          <w:p>
            <w:pPr>
              <w:spacing w:after="0"/>
              <w:rPr>
                <w:sz w:val="1"/>
                <w:szCs w:val="1"/>
                <w:color w:val="auto"/>
              </w:rPr>
            </w:pP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Midstream assets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8,362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8,362</w:t>
            </w:r>
          </w:p>
        </w:tc>
        <w:tc>
          <w:tcPr>
            <w:tcW w:w="0" w:type="dxa"/>
            <w:vAlign w:val="bottom"/>
          </w:tcPr>
          <w:p>
            <w:pPr>
              <w:spacing w:after="0"/>
              <w:rPr>
                <w:sz w:val="1"/>
                <w:szCs w:val="1"/>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property and equipment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58,290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58,290</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Accumulated depletion, depreciation, amortization and impairment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(1,695,701)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(148,948)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8,593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(1,836,056)</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2,770,953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611,870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8,034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3,390,857</w:t>
            </w:r>
          </w:p>
        </w:tc>
        <w:tc>
          <w:tcPr>
            <w:tcW w:w="0" w:type="dxa"/>
            <w:vAlign w:val="bottom"/>
          </w:tcPr>
          <w:p>
            <w:pPr>
              <w:spacing w:after="0"/>
              <w:rPr>
                <w:sz w:val="1"/>
                <w:szCs w:val="1"/>
                <w:color w:val="auto"/>
              </w:rPr>
            </w:pP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Funds held in escrow</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121,391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121,391</w:t>
            </w:r>
          </w:p>
        </w:tc>
        <w:tc>
          <w:tcPr>
            <w:tcW w:w="0" w:type="dxa"/>
            <w:vAlign w:val="bottom"/>
          </w:tcPr>
          <w:p>
            <w:pPr>
              <w:spacing w:after="0"/>
              <w:rPr>
                <w:sz w:val="1"/>
                <w:szCs w:val="1"/>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Derivative instruments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709</w:t>
            </w:r>
          </w:p>
        </w:tc>
        <w:tc>
          <w:tcPr>
            <w:tcW w:w="0" w:type="dxa"/>
            <w:vAlign w:val="bottom"/>
          </w:tcPr>
          <w:p>
            <w:pPr>
              <w:spacing w:after="0"/>
              <w:rPr>
                <w:sz w:val="1"/>
                <w:szCs w:val="1"/>
                <w:color w:val="auto"/>
              </w:rPr>
            </w:pP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Investment in subsidiaries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15,500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9,291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35,266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44,557</w:t>
            </w:r>
          </w:p>
        </w:tc>
        <w:tc>
          <w:tcPr>
            <w:tcW w:w="0" w:type="dxa"/>
            <w:vAlign w:val="bottom"/>
          </w:tcPr>
          <w:p>
            <w:pPr>
              <w:spacing w:after="0"/>
              <w:rPr>
                <w:sz w:val="1"/>
                <w:szCs w:val="1"/>
                <w:color w:val="auto"/>
              </w:rPr>
            </w:pPr>
          </w:p>
        </w:tc>
      </w:tr>
      <w:tr>
        <w:trPr>
          <w:trHeight w:val="242"/>
        </w:trPr>
        <w:tc>
          <w:tcPr>
            <w:tcW w:w="49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4,688,773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3,390,362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670,549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(3,400,004)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5,349,680</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9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Accounts payable-trade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45,838</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1,780</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47,648</w:t>
            </w:r>
          </w:p>
        </w:tc>
        <w:tc>
          <w:tcPr>
            <w:tcW w:w="0" w:type="dxa"/>
            <w:vAlign w:val="bottom"/>
          </w:tcPr>
          <w:p>
            <w:pPr>
              <w:spacing w:after="0"/>
              <w:rPr>
                <w:sz w:val="1"/>
                <w:szCs w:val="1"/>
                <w:color w:val="auto"/>
              </w:rPr>
            </w:pP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payable-related party</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Intercompany payable</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3,423,538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(3,423,538)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5,868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155,454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161,693</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5,899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3,624,830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2,151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(3,423,538)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209,342</w:t>
            </w:r>
          </w:p>
        </w:tc>
        <w:tc>
          <w:tcPr>
            <w:tcW w:w="0" w:type="dxa"/>
            <w:vAlign w:val="bottom"/>
          </w:tcPr>
          <w:p>
            <w:pPr>
              <w:spacing w:after="0"/>
              <w:rPr>
                <w:sz w:val="1"/>
                <w:szCs w:val="1"/>
                <w:color w:val="auto"/>
              </w:rPr>
            </w:pP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985,412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120,500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1,105,912</w:t>
            </w:r>
          </w:p>
        </w:tc>
        <w:tc>
          <w:tcPr>
            <w:tcW w:w="0" w:type="dxa"/>
            <w:vAlign w:val="bottom"/>
          </w:tcPr>
          <w:p>
            <w:pPr>
              <w:spacing w:after="0"/>
              <w:rPr>
                <w:sz w:val="1"/>
                <w:szCs w:val="1"/>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16,134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16,134</w:t>
            </w:r>
          </w:p>
        </w:tc>
        <w:tc>
          <w:tcPr>
            <w:tcW w:w="0" w:type="dxa"/>
            <w:vAlign w:val="bottom"/>
          </w:tcPr>
          <w:p>
            <w:pPr>
              <w:spacing w:after="0"/>
              <w:rPr>
                <w:sz w:val="1"/>
                <w:szCs w:val="1"/>
                <w:color w:val="auto"/>
              </w:rPr>
            </w:pPr>
          </w:p>
        </w:tc>
      </w:tr>
      <w:tr>
        <w:trPr>
          <w:trHeight w:val="255"/>
        </w:trPr>
        <w:tc>
          <w:tcPr>
            <w:tcW w:w="492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991,311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3,640,964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122,651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(3,423,538)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1,331,388</w:t>
            </w:r>
          </w:p>
        </w:tc>
        <w:tc>
          <w:tcPr>
            <w:tcW w:w="0" w:type="dxa"/>
            <w:vAlign w:val="bottom"/>
          </w:tcPr>
          <w:p>
            <w:pPr>
              <w:spacing w:after="0"/>
              <w:rPr>
                <w:sz w:val="1"/>
                <w:szCs w:val="1"/>
                <w:color w:val="auto"/>
              </w:rPr>
            </w:pPr>
          </w:p>
        </w:tc>
      </w:tr>
      <w:tr>
        <w:trPr>
          <w:trHeight w:val="24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3,697,462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547,898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(297,296)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3,697,462</w:t>
            </w:r>
          </w:p>
        </w:tc>
        <w:tc>
          <w:tcPr>
            <w:tcW w:w="0" w:type="dxa"/>
            <w:vAlign w:val="bottom"/>
          </w:tcPr>
          <w:p>
            <w:pPr>
              <w:spacing w:after="0"/>
              <w:rPr>
                <w:sz w:val="1"/>
                <w:szCs w:val="1"/>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320,830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320,830</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equity</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3,697,462</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(250,602)</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547,898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23,534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4,018,292</w:t>
            </w:r>
          </w:p>
        </w:tc>
        <w:tc>
          <w:tcPr>
            <w:tcW w:w="0" w:type="dxa"/>
            <w:vAlign w:val="bottom"/>
          </w:tcPr>
          <w:p>
            <w:pPr>
              <w:spacing w:after="0"/>
              <w:rPr>
                <w:sz w:val="1"/>
                <w:szCs w:val="1"/>
                <w:color w:val="auto"/>
              </w:rPr>
            </w:pPr>
          </w:p>
        </w:tc>
      </w:tr>
      <w:tr>
        <w:trPr>
          <w:trHeight w:val="242"/>
        </w:trPr>
        <w:tc>
          <w:tcPr>
            <w:tcW w:w="4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4,688,773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3,390,362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670,549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(3,400,004)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5,349,680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9"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79" w:right="2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2017</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2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23"/>
                <w:szCs w:val="23"/>
                <w:color w:val="auto"/>
              </w:rPr>
            </w:pPr>
          </w:p>
        </w:tc>
        <w:tc>
          <w:tcPr>
            <w:tcW w:w="11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9"/>
        </w:trPr>
        <w:tc>
          <w:tcPr>
            <w:tcW w:w="4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Oil sales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178,230</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28,844</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207,074</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Natural gas sales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1,347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9,922</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Natural gas liquid sales</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13,643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15,502</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Royalty income</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32,050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bonus income</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1,602</w:t>
            </w:r>
          </w:p>
        </w:tc>
      </w:tr>
      <w:tr>
        <w:trPr>
          <w:trHeight w:val="27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services</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1,130</w:t>
            </w:r>
          </w:p>
        </w:tc>
      </w:tr>
      <w:tr>
        <w:trPr>
          <w:trHeight w:val="250"/>
        </w:trPr>
        <w:tc>
          <w:tcPr>
            <w:tcW w:w="4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201,578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33,652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235,230</w:t>
            </w:r>
          </w:p>
        </w:tc>
      </w:tr>
      <w:tr>
        <w:trPr>
          <w:trHeight w:val="269"/>
        </w:trPr>
        <w:tc>
          <w:tcPr>
            <w:tcW w:w="4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operating expenses</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26,626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26,626</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15,725</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Gathering and transportation</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2,619</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services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854</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50,891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58,929</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7,108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5,109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2,142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13,744</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Asset retirement obligation accretion</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323</w:t>
            </w:r>
          </w:p>
        </w:tc>
      </w:tr>
      <w:tr>
        <w:trPr>
          <w:trHeight w:val="255"/>
        </w:trPr>
        <w:tc>
          <w:tcPr>
            <w:tcW w:w="43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7,108</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99,934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12,202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118,820</w:t>
            </w:r>
          </w:p>
        </w:tc>
      </w:tr>
      <w:tr>
        <w:trPr>
          <w:trHeight w:val="24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101,644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21,450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116,410</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(10,808)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(12,225)</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income</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1,145</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Gain on derivative instruments, net</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37,701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37,701</w:t>
            </w:r>
          </w:p>
        </w:tc>
      </w:tr>
      <w:tr>
        <w:trPr>
          <w:trHeight w:val="250"/>
        </w:trPr>
        <w:tc>
          <w:tcPr>
            <w:tcW w:w="43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other expense, net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(9,716)</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37,750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26,621</w:t>
            </w:r>
          </w:p>
        </w:tc>
      </w:tr>
      <w:tr>
        <w:trPr>
          <w:trHeight w:val="250"/>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139,394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20,652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143,031</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1,957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1,957</w:t>
            </w:r>
          </w:p>
        </w:tc>
      </w:tr>
      <w:tr>
        <w:trPr>
          <w:trHeight w:val="24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(18,781)</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139,394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20,652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141,074</w:t>
            </w:r>
          </w:p>
        </w:tc>
      </w:tr>
      <w:tr>
        <w:trPr>
          <w:trHeight w:val="270"/>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4,801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4,801</w:t>
            </w:r>
          </w:p>
        </w:tc>
      </w:tr>
      <w:tr>
        <w:trPr>
          <w:trHeight w:val="242"/>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 (loss) attributable to Diamondback Energy, Inc.</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(18,781)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139,394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20,652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136,273</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9"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2016</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70"/>
        </w:trPr>
        <w:tc>
          <w:tcPr>
            <w:tcW w:w="4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5"/>
        </w:trPr>
        <w:tc>
          <w:tcPr>
            <w:tcW w:w="4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0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23"/>
                <w:szCs w:val="23"/>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23"/>
                <w:szCs w:val="23"/>
                <w:color w:val="auto"/>
              </w:rPr>
            </w:pPr>
          </w:p>
        </w:tc>
        <w:tc>
          <w:tcPr>
            <w:tcW w:w="11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Oil sales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66,095</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12,925</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79,020</w:t>
            </w: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Natural gas sales</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3,409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4,022</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Natural gas liquid sales</w:t>
            </w:r>
          </w:p>
        </w:tc>
        <w:tc>
          <w:tcPr>
            <w:tcW w:w="2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3,891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4,439</w:t>
            </w: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Royalty income</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14,086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Lease bonus income</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5"/>
        </w:trPr>
        <w:tc>
          <w:tcPr>
            <w:tcW w:w="4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73,395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14,194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87,481</w:t>
            </w:r>
          </w:p>
        </w:tc>
      </w:tr>
      <w:tr>
        <w:trPr>
          <w:trHeight w:val="259"/>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Lease operating expenses</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18,223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18,223</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2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7,962</w:t>
            </w: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Gathering and transportation</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2,789</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2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35,128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42,069</w:t>
            </w: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Impairment of oil and natural gas properties</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4,805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26,011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30,816</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8,307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12,979</w:t>
            </w:r>
          </w:p>
        </w:tc>
      </w:tr>
      <w:tr>
        <w:trPr>
          <w:trHeight w:val="270"/>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Asset retirement obligation accretion</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246</w:t>
            </w:r>
          </w:p>
        </w:tc>
      </w:tr>
      <w:tr>
        <w:trPr>
          <w:trHeight w:val="250"/>
        </w:trPr>
        <w:tc>
          <w:tcPr>
            <w:tcW w:w="4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8,307</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70,686</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37,298</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115,084</w:t>
            </w:r>
          </w:p>
        </w:tc>
      </w:tr>
      <w:tr>
        <w:trPr>
          <w:trHeight w:val="25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(8,307)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(27,603)</w:t>
            </w:r>
          </w:p>
        </w:tc>
      </w:tr>
      <w:tr>
        <w:trPr>
          <w:trHeight w:val="265"/>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(8,858)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(10,013)</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income</w:t>
            </w:r>
          </w:p>
        </w:tc>
        <w:tc>
          <w:tcPr>
            <w:tcW w:w="2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563</w:t>
            </w:r>
          </w:p>
        </w:tc>
      </w:tr>
      <w:tr>
        <w:trPr>
          <w:trHeight w:val="270"/>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Gain on derivative instruments, net</w:t>
            </w: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1,426</w:t>
            </w:r>
          </w:p>
        </w:tc>
      </w:tr>
      <w:tr>
        <w:trPr>
          <w:trHeight w:val="250"/>
        </w:trPr>
        <w:tc>
          <w:tcPr>
            <w:tcW w:w="43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26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(8,024)</w:t>
            </w:r>
          </w:p>
        </w:tc>
      </w:tr>
      <w:tr>
        <w:trPr>
          <w:trHeight w:val="25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(17,108)</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3,717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(35,627)</w:t>
            </w:r>
          </w:p>
        </w:tc>
      </w:tr>
      <w:tr>
        <w:trPr>
          <w:trHeight w:val="265"/>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2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w:t>
            </w:r>
          </w:p>
        </w:tc>
      </w:tr>
      <w:tr>
        <w:trPr>
          <w:trHeight w:val="242"/>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Diamondback Energy, Inc.</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(32,912)</w:t>
            </w:r>
          </w:p>
        </w:tc>
      </w:tr>
      <w:tr>
        <w:trPr>
          <w:trHeight w:val="20"/>
        </w:trPr>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00"/>
          </w:cols>
          <w:pgMar w:left="300" w:top="279" w:right="29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2017</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149,822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26,065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175,927</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Additions to oil and natural gas properties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(116,174)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(116,174)</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Acquisition of leasehold interests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(1,760,810)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(1,760,810)</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Acquisition of mineral interests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(8,579)</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Additions to midstream assets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Acquisition of midstream assets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(48,329)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(48,329)</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 of other property and equipment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(11,918)</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1,238</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Funds held in escrow</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119,340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119,340</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Equity investments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r>
      <w:tr>
        <w:trPr>
          <w:trHeight w:val="265"/>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Intercompany transfers</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(1,660,917)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1,660,917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(1,660,917)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(155,983)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(1,825,479)</w:t>
            </w:r>
          </w:p>
        </w:tc>
      </w:tr>
      <w:tr>
        <w:trPr>
          <w:trHeight w:val="259"/>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Repayment on credit facility</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(120,500)</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Debt issuance costs</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Public offering costs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public offerings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147,725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147,725</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Distribution from subsidiary</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18,692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358</w:t>
            </w:r>
          </w:p>
        </w:tc>
      </w:tr>
      <w:tr>
        <w:trPr>
          <w:trHeight w:val="270"/>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18,692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(6,482)</w:t>
            </w:r>
          </w:p>
        </w:tc>
      </w:tr>
      <w:tr>
        <w:trPr>
          <w:trHeight w:val="250"/>
        </w:trPr>
        <w:tc>
          <w:tcPr>
            <w:tcW w:w="4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18,562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1,864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20,418</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(1,642,315)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19,350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(1,629,134)</w:t>
            </w:r>
          </w:p>
        </w:tc>
      </w:tr>
      <w:tr>
        <w:trPr>
          <w:trHeight w:val="265"/>
        </w:trPr>
        <w:tc>
          <w:tcPr>
            <w:tcW w:w="4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1,643,226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14,135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9,213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1,666,574</w:t>
            </w:r>
          </w:p>
        </w:tc>
      </w:tr>
      <w:tr>
        <w:trPr>
          <w:trHeight w:val="242"/>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7,966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28,563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37,440</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79"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2016</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57,400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15,886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72,760</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Additions to oil and natural gas properties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(86,333)</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Acquisition of leasehold interests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(16,923)</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Acquisition of mineral interests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 of other property and equipment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Equity investments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270"/>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Intercompany transfers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(41,161)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41,161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(107,157)</w:t>
            </w:r>
          </w:p>
        </w:tc>
      </w:tr>
      <w:tr>
        <w:trPr>
          <w:trHeight w:val="269"/>
        </w:trPr>
        <w:tc>
          <w:tcPr>
            <w:tcW w:w="49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borrowing on credit facility</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8,500</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Repayment on credit facility</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Debt issuance costs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Public offering costs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public offerings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254,518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254,518</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Distribution from subsidiary</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16,063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372</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16,063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w:t>
            </w:r>
          </w:p>
        </w:tc>
      </w:tr>
      <w:tr>
        <w:trPr>
          <w:trHeight w:val="265"/>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Intercompany transfers</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11,000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259,774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250,092</w:t>
            </w:r>
          </w:p>
        </w:tc>
      </w:tr>
      <w:tr>
        <w:trPr>
          <w:trHeight w:val="250"/>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218,087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215,695</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19,428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20,115</w:t>
            </w:r>
          </w:p>
        </w:tc>
      </w:tr>
      <w:tr>
        <w:trPr>
          <w:trHeight w:val="242"/>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218,235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12,912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4,663</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235,810</w:t>
            </w:r>
          </w:p>
        </w:tc>
      </w:tr>
      <w:tr>
        <w:trPr>
          <w:trHeight w:val="20"/>
        </w:trPr>
        <w:tc>
          <w:tcPr>
            <w:tcW w:w="4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279" w:right="239" w:bottom="1440" w:gutter="0" w:footer="0" w:header="0"/>
        </w:sectPr>
      </w:pPr>
    </w:p>
    <w:bookmarkStart w:id="37" w:name="page38"/>
    <w:bookmarkEnd w:id="37"/>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unaudited consolidated financial statements and notes thereto presented in this report as well as our audited consolidated financial statements and notes thereto included in our Annual Report on Form 10-K for the year ended December 31, 2016.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“Part II. Item 1A. Risk Factors” and “Cautionary Statement Regarding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an independent oil and natural gas company focused on the acquisition, development, exploration and exploitation of unconventional, onshore oil and natural gas reserves in the Permian Basin in West Texas. Our activities are primarily directed at the horizontal development of the Wolfcamp and Spraberry formations in the Midland Basin and the Wolfcamp and Bone Spring formations in the Delaware Basin. 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 Substantially all of our revenues are generated through the sale of oil, natural gas liquids and natural gas production.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production data for the periods indicated:</w:t>
            </w:r>
          </w:p>
        </w:tc>
        <w:tc>
          <w:tcPr>
            <w:tcW w:w="1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8780" w:type="dxa"/>
            <w:vAlign w:val="bottom"/>
          </w:tcPr>
          <w:p>
            <w:pPr>
              <w:spacing w:after="0"/>
              <w:rPr>
                <w:sz w:val="24"/>
                <w:szCs w:val="24"/>
                <w:color w:val="auto"/>
              </w:rPr>
            </w:pP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7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780" w:type="dxa"/>
            <w:vAlign w:val="bottom"/>
          </w:tcPr>
          <w:p>
            <w:pPr>
              <w:spacing w:after="0"/>
              <w:rPr>
                <w:sz w:val="20"/>
                <w:szCs w:val="20"/>
                <w:color w:val="auto"/>
              </w:rPr>
            </w:pPr>
          </w:p>
        </w:tc>
        <w:tc>
          <w:tcPr>
            <w:tcW w:w="15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87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(Bbls)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75%</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 (Mcf)</w:t>
            </w: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 liquids (Bbls)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8780" w:type="dxa"/>
            <w:vAlign w:val="bottom"/>
          </w:tcPr>
          <w:p>
            <w:pPr>
              <w:spacing w:after="0"/>
              <w:rPr>
                <w:sz w:val="20"/>
                <w:szCs w:val="20"/>
                <w:color w:val="auto"/>
              </w:rPr>
            </w:pPr>
          </w:p>
        </w:tc>
        <w:tc>
          <w:tcPr>
            <w:tcW w:w="15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87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7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31, 2017, our net acreage position in the Permian Basin was approximately 191,727 net acres.</w:t>
      </w:r>
    </w:p>
    <w:p>
      <w:pPr>
        <w:spacing w:after="0" w:line="23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The challenging commodity price environment that we experienced in 2016 has continued in 2017. Commodity prices improved during the first quarter of 2017, but continue to be volatile. We believe we remain well-positioned in this environment. During 2016, we again demonstrated our operational focus on achieving best-in-class execution, low-cost operations and a conservative balance sheet as we continued to reduce drilling days, well costs and operating expenses while maintaining what we believe to be a peer leading leverage ratio. We have continued our operational focus in 2017 and have further decreased drilling times, well costs and operating expenses. Our leading-edge Midland Basin costs to drill, complete and equip wells are currently below $6.0 million for a 10,000 foot lateral well and below $5.0 million for a 7,500 foot lateral well. We have successfully drilled three 13,000 foot lateral wells in Midland County to date. During the first quarter of 2017, we drilled one well in Ward County and one well in Reeves County. We also drilled a three-well pad (7,500 foot lateral each) in Howard County. With recent improvement in oil prices, we are currently operating eight rigs and three completion crews. We will continue monitoring commodity prices and overall market conditions and can adjust our rig cadence up or down in response to changes in commodity prices and overall market conditions. We will continue to evaluate adding additional rigs throughout the year if commodity prices strengthen.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Highlights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Recent Acquisition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28, 2017, we completed our acquisition of oil and natural gas properties, midstream assets and other related assets in the Delaware Basin for an aggregate purchase price consisting of $1.74 billion in cash and 7.69 million shares of our common stock, of which approximately 1.15 million shares were placed in an indemnity escrow. This transaction includes the acquisition of (i) approximately 100,306 gross (80,339 net) acres primarily in Pecos and Reeves counties for approximately $2.5 billion and (ii) midstream assets for approximately $47.6 million. We used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576" w:right="2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net proceeds from the December 2016 equity offering, net proceeds from the December 2016 debt offering, cash on hand and other financing sources to fund the cash portion of the purchase price for this acquisition.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Viper Equity Offering</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2017, Viper completed an underwritten public offering of 9,775,000 common units, which included 1,275,000 common units issued pursuant to an option to purchase additional common units granted to the underwriters. Viper received net proceeds from this offering of approximately $147.6 million, after deducting underwriting discounts and commissions and estimated offering expenses, of which Viper used $120.5 million to repay the outstanding borrowings under its revolving credit agreement and intends to use the remaining net proceeds for general partnership purposes, which may include additional acquisitions.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Update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first quarter of 2017, we drilled 28 gross (23 net) horizontal wells, two gross (two net) of which were in the Delaware Basin. We turned 26 gross (20 net) wells into production, of which two gross (two net) were wells in the Delaware Basin that were drilled by the prior operator. We also participated in the drilling of six gross (one net) wells and in the completion of eight gross (one net) non-operated wells.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currently operating eight rigs and intend to operate between six and ten drilling rigs in 2017 across our asset base in the Midland and Delaware Basins. We plan to operate four to six of these rigs in the Midland Basin targeting horizontal development of the Wolfcamp and Spraberry formations, while the remainder of the rigs are expected to operate in the Delaware Basin targeting the Wolfcamp and Bone Spring formations.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Midland Basin, we continue to see positive well results from our core development areas in Midland, Glasscock, Howard, Andrews and Martin Counties. Assuming commodity prices at current levels, we anticipate operating one rig in Glasscock County, one rig in Howard County and three or more rigs in Midland, Martin and Andrews Counties through the remainder of 2017.</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Delaware Basin, we are currently operating two drilling rigs and plan to operate three rigs on this acreage through 2017 targeting the Wolfcamp and Bone Spring formations. Our first operated well results in the Delaware Basin confirm the productivity of the asset base, and we are focused on transferring our best practices on cost control from the Midland Basin to the Delaware Basin.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continue to focus on low cost operations and best in class execution. In doing so, we are focused on controlling oilfield service costs as our service providers seek to increase pricing after two years of declining service costs during the downturn in the oil market. To combat rising service costs, we have looked to lock in pricing for dedicated activity levels and will continue to seek opportunities to control additional well cost where possible, including de-bundling of completion costs. We believe that our 2017 drilling and completion budget will cover potential increases in our service costs during the year.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average daily production for the periods presented:</w:t>
      </w:r>
    </w:p>
    <w:p>
      <w:pPr>
        <w:spacing w:after="0" w:line="167"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8"/>
          <w:szCs w:val="18"/>
          <w:b w:val="1"/>
          <w:bCs w:val="1"/>
          <w:color w:val="auto"/>
        </w:rPr>
        <w:t>Three Months Ended March</w:t>
      </w:r>
    </w:p>
    <w:p>
      <w:pPr>
        <w:spacing w:after="0" w:line="31"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22860</wp:posOffset>
            </wp:positionV>
            <wp:extent cx="15862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2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89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(Bbls)/d</w:t>
            </w: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46,201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28,951</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 (Mcf)/d</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40,923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25,458</w:t>
            </w:r>
          </w:p>
        </w:tc>
      </w:tr>
      <w:tr>
        <w:trPr>
          <w:trHeight w:val="27"/>
        </w:trPr>
        <w:tc>
          <w:tcPr>
            <w:tcW w:w="8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 Liquids (Bbls)/d</w:t>
            </w: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8,589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average production per day</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61,610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38,308</w:t>
            </w: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average daily production for the three months ended March 31, 2017 as compared to the three months ended March 31, 2016 increased 23,302 BOE/d, or 60.8%.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Sources of Our Revenue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main source of revenues are derived from the sale of oil and natural gas production, as well as the sale of natural gas liquids that are extracted from our natural gas during processing. Our oil and natural gas revenues do not include the effects of derivatives. Our revenues may vary significantly from period to period as a result of changes in volumes of production sold, production mix or commodity prices.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breakdown of our revenues for the following periods:</w:t>
            </w: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880" w:type="dxa"/>
            <w:vAlign w:val="bottom"/>
          </w:tcPr>
          <w:p>
            <w:pPr>
              <w:spacing w:after="0"/>
              <w:rPr>
                <w:sz w:val="24"/>
                <w:szCs w:val="24"/>
                <w:color w:val="auto"/>
              </w:rPr>
            </w:pP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8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88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80" w:type="dxa"/>
            <w:vAlign w:val="bottom"/>
            <w:vMerge w:val="continue"/>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Oil sales</w:t>
            </w:r>
          </w:p>
        </w:tc>
        <w:tc>
          <w:tcPr>
            <w:tcW w:w="1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3"/>
        </w:trPr>
        <w:tc>
          <w:tcPr>
            <w:tcW w:w="8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Natural gas sales</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Natural gas liquid sales</w:t>
            </w:r>
          </w:p>
        </w:tc>
        <w:tc>
          <w:tcPr>
            <w:tcW w:w="1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8880" w:type="dxa"/>
            <w:vAlign w:val="bottom"/>
          </w:tcPr>
          <w:p>
            <w:pPr>
              <w:spacing w:after="0"/>
              <w:rPr>
                <w:sz w:val="20"/>
                <w:szCs w:val="20"/>
                <w:color w:val="auto"/>
              </w:rPr>
            </w:pPr>
          </w:p>
        </w:tc>
        <w:tc>
          <w:tcPr>
            <w:tcW w:w="14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our production consists primarily of oil, our revenues are more sensitive to fluctuations in oil prices than they are to fluctuations in natural gas liquids or natural gas prices. Oil, natural gas liquids and natural gas prices have historically been volatile. During 2016, West Texas Intermediate posted prices ranged from $26.19 to $54.01 per Bbl and the Henry Hub spot market price of natural gas ranged from $1.49 to $3.80 per MMBtu. On March 31, 2017, the West Texas Intermediate posted price for crude oil was $50.54 per Bbl and the Henry Hub spot market price of natural gas was $3.13 per MMBtu. Lower commodity prices may not only decrease our revenues, but also potentially the amount of oil and natural gas that we can produce economically. Lower oil and natural gas prices may also result in a reduction in the borrowing base under our credit agreement, which may be redetermined at the discretion of our lenders.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576"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selected historical operating data for the periods indicated.</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8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 thousands, except Bbl, Mcf and</w:t>
            </w:r>
          </w:p>
        </w:tc>
        <w:tc>
          <w:tcPr>
            <w:tcW w:w="0" w:type="dxa"/>
            <w:vAlign w:val="bottom"/>
          </w:tcPr>
          <w:p>
            <w:pPr>
              <w:spacing w:after="0"/>
              <w:rPr>
                <w:sz w:val="1"/>
                <w:szCs w:val="1"/>
                <w:color w:val="auto"/>
              </w:rPr>
            </w:pPr>
          </w:p>
        </w:tc>
      </w:tr>
      <w:tr>
        <w:trPr>
          <w:trHeight w:val="238"/>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BOE amounts)</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Oil, natural gas liquids and natural gas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232,498</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87,481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Lease bonus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Midstream services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1,130</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235,230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87,481</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Lease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26,626</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18,223</w:t>
            </w: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15,725</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7,962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Gathering and 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2,789</w:t>
            </w: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Midstream services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854</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58,929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42,069</w:t>
            </w: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Impairment of oil and natural gas properties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30,816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13,744</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12,979</w:t>
            </w: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Asset retirement obligation accretion</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118,820</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115,084</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116,410</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1,145</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derivative instruments, net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37,701</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26,621</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143,031</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(35,627)</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1,957</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141,074</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(35,627)</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Diamondback Energy,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136,273</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(32,912)</w:t>
            </w:r>
          </w:p>
        </w:tc>
        <w:tc>
          <w:tcPr>
            <w:tcW w:w="0" w:type="dxa"/>
            <w:vAlign w:val="bottom"/>
          </w:tcPr>
          <w:p>
            <w:pPr>
              <w:spacing w:after="0"/>
              <w:rPr>
                <w:sz w:val="1"/>
                <w:szCs w:val="1"/>
                <w:color w:val="auto"/>
              </w:rPr>
            </w:pPr>
          </w:p>
        </w:tc>
      </w:tr>
      <w:tr>
        <w:trPr>
          <w:trHeight w:val="20"/>
        </w:trPr>
        <w:tc>
          <w:tcPr>
            <w:tcW w:w="846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1135380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Production Data:</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Oil (Bbls)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Natural gas (Mcf)</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Natural gas liquids (Bbls)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Combined volumes (BOE)</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Daily combined volumes (BOE/d)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Average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Oil (per Bbl)</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Natural gas (per Mcf)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Natural gas liquids (per Bbl)</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Combined (per BOE)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Oil, hedged($ per Bbl)</w:t>
      </w:r>
      <w:r>
        <w:rPr>
          <w:rFonts w:ascii="Times New Roman" w:cs="Times New Roman" w:eastAsia="Times New Roman" w:hAnsi="Times New Roman"/>
          <w:sz w:val="25"/>
          <w:szCs w:val="25"/>
          <w:color w:val="auto"/>
          <w:vertAlign w:val="superscript"/>
        </w:rPr>
        <w:t>(1)</w:t>
      </w:r>
    </w:p>
    <w:p>
      <w:pPr>
        <w:ind w:left="500"/>
        <w:spacing w:after="0" w:line="225" w:lineRule="auto"/>
        <w:rPr>
          <w:sz w:val="20"/>
          <w:szCs w:val="20"/>
          <w:color w:val="auto"/>
        </w:rPr>
      </w:pPr>
      <w:r>
        <w:rPr>
          <w:rFonts w:ascii="Times New Roman" w:cs="Times New Roman" w:eastAsia="Times New Roman" w:hAnsi="Times New Roman"/>
          <w:sz w:val="18"/>
          <w:szCs w:val="18"/>
          <w:color w:val="auto"/>
        </w:rPr>
        <w:t>Natural gas, hedged ($ per MMbtu)</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Average price, hedged($ per BOE)</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Average Costs per BOE:</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Lease operating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Production and ad valorem taxes</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Gathering and transportation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General and administrative - cash component</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operating expense -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General and administrative - non-cash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Depreciation, depletion, and amortization</w:t>
      </w:r>
    </w:p>
    <w:p>
      <w:pPr>
        <w:spacing w:after="0" w:line="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Average realized oil price ($/Bbl)</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Average NYMEX ($/Bbl)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Differential to NYMEX</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Average realized oil price to NYMEX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Average realized natural gas price ($/Mcf)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Average NYMEX ($/Mcf)</w:t>
      </w:r>
    </w:p>
    <w:p>
      <w:pPr>
        <w:spacing w:after="0" w:line="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Differential to NYMEX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Average realized natural gas price to NYMEX</w:t>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19723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60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2017</w:t>
      </w:r>
      <w:r>
        <w:rPr>
          <w:sz w:val="20"/>
          <w:szCs w:val="20"/>
          <w:color w:val="auto"/>
        </w:rPr>
        <w:tab/>
      </w:r>
      <w:r>
        <w:rPr>
          <w:rFonts w:ascii="Times New Roman" w:cs="Times New Roman" w:eastAsia="Times New Roman" w:hAnsi="Times New Roman"/>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19723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Bbl, Mcf 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4,158,083</w:t>
            </w: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2,634,511</w:t>
            </w:r>
          </w:p>
        </w:tc>
      </w:tr>
      <w:tr>
        <w:trPr>
          <w:trHeight w:val="270"/>
        </w:trPr>
        <w:tc>
          <w:tcPr>
            <w:tcW w:w="38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3,683,072</w:t>
            </w:r>
          </w:p>
        </w:tc>
        <w:tc>
          <w:tcPr>
            <w:tcW w:w="38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2,316,649</w:t>
            </w:r>
          </w:p>
        </w:tc>
      </w:tr>
      <w:tr>
        <w:trPr>
          <w:trHeight w:val="270"/>
        </w:trPr>
        <w:tc>
          <w:tcPr>
            <w:tcW w:w="38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772,995</w:t>
            </w:r>
          </w:p>
        </w:tc>
        <w:tc>
          <w:tcPr>
            <w:tcW w:w="38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465,391</w:t>
            </w:r>
          </w:p>
        </w:tc>
      </w:tr>
      <w:tr>
        <w:trPr>
          <w:trHeight w:val="270"/>
        </w:trPr>
        <w:tc>
          <w:tcPr>
            <w:tcW w:w="38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5,544,923</w:t>
            </w:r>
          </w:p>
        </w:tc>
        <w:tc>
          <w:tcPr>
            <w:tcW w:w="38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3,486,010</w:t>
            </w:r>
          </w:p>
        </w:tc>
      </w:tr>
      <w:tr>
        <w:trPr>
          <w:trHeight w:val="270"/>
        </w:trPr>
        <w:tc>
          <w:tcPr>
            <w:tcW w:w="38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61,610</w:t>
            </w:r>
          </w:p>
        </w:tc>
        <w:tc>
          <w:tcPr>
            <w:tcW w:w="38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38,308</w:t>
            </w:r>
          </w:p>
        </w:tc>
      </w:tr>
      <w:tr>
        <w:trPr>
          <w:trHeight w:val="864"/>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49.80</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29.99</w:t>
            </w:r>
          </w:p>
        </w:tc>
      </w:tr>
      <w:tr>
        <w:trPr>
          <w:trHeight w:val="270"/>
        </w:trPr>
        <w:tc>
          <w:tcPr>
            <w:tcW w:w="38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2.69</w:t>
            </w:r>
          </w:p>
        </w:tc>
        <w:tc>
          <w:tcPr>
            <w:tcW w:w="38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1.74</w:t>
            </w:r>
          </w:p>
        </w:tc>
      </w:tr>
      <w:tr>
        <w:trPr>
          <w:trHeight w:val="270"/>
        </w:trPr>
        <w:tc>
          <w:tcPr>
            <w:tcW w:w="38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20.05</w:t>
            </w:r>
          </w:p>
        </w:tc>
        <w:tc>
          <w:tcPr>
            <w:tcW w:w="38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9.54</w:t>
            </w:r>
          </w:p>
        </w:tc>
      </w:tr>
      <w:tr>
        <w:trPr>
          <w:trHeight w:val="270"/>
        </w:trPr>
        <w:tc>
          <w:tcPr>
            <w:tcW w:w="38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41.93</w:t>
            </w:r>
          </w:p>
        </w:tc>
        <w:tc>
          <w:tcPr>
            <w:tcW w:w="38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25.09</w:t>
            </w:r>
          </w:p>
        </w:tc>
      </w:tr>
      <w:tr>
        <w:trPr>
          <w:trHeight w:val="270"/>
        </w:trPr>
        <w:tc>
          <w:tcPr>
            <w:tcW w:w="38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49.40</w:t>
            </w:r>
          </w:p>
        </w:tc>
        <w:tc>
          <w:tcPr>
            <w:tcW w:w="38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31.94</w:t>
            </w:r>
          </w:p>
        </w:tc>
      </w:tr>
      <w:tr>
        <w:trPr>
          <w:trHeight w:val="270"/>
        </w:trPr>
        <w:tc>
          <w:tcPr>
            <w:tcW w:w="38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2.69</w:t>
            </w:r>
          </w:p>
        </w:tc>
        <w:tc>
          <w:tcPr>
            <w:tcW w:w="38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1.74</w:t>
            </w:r>
          </w:p>
        </w:tc>
      </w:tr>
      <w:tr>
        <w:trPr>
          <w:trHeight w:val="270"/>
        </w:trPr>
        <w:tc>
          <w:tcPr>
            <w:tcW w:w="38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41.63</w:t>
            </w:r>
          </w:p>
        </w:tc>
        <w:tc>
          <w:tcPr>
            <w:tcW w:w="38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26.56</w:t>
            </w:r>
          </w:p>
        </w:tc>
      </w:tr>
      <w:tr>
        <w:trPr>
          <w:trHeight w:val="864"/>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4.80</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5.23</w:t>
            </w:r>
          </w:p>
        </w:tc>
      </w:tr>
      <w:tr>
        <w:trPr>
          <w:trHeight w:val="270"/>
        </w:trPr>
        <w:tc>
          <w:tcPr>
            <w:tcW w:w="38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2.84</w:t>
            </w:r>
          </w:p>
        </w:tc>
        <w:tc>
          <w:tcPr>
            <w:tcW w:w="38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2.28</w:t>
            </w:r>
          </w:p>
        </w:tc>
      </w:tr>
      <w:tr>
        <w:trPr>
          <w:trHeight w:val="270"/>
        </w:trPr>
        <w:tc>
          <w:tcPr>
            <w:tcW w:w="38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0.80</w:t>
            </w:r>
          </w:p>
        </w:tc>
      </w:tr>
      <w:tr>
        <w:trPr>
          <w:trHeight w:val="270"/>
        </w:trPr>
        <w:tc>
          <w:tcPr>
            <w:tcW w:w="38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1.20</w:t>
            </w:r>
          </w:p>
        </w:tc>
        <w:tc>
          <w:tcPr>
            <w:tcW w:w="38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9.31</w:t>
            </w: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9.64</w:t>
            </w:r>
          </w:p>
        </w:tc>
      </w:tr>
      <w:tr>
        <w:trPr>
          <w:trHeight w:val="27"/>
        </w:trPr>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48"/>
        </w:trPr>
        <w:tc>
          <w:tcPr>
            <w:tcW w:w="38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2.39</w:t>
            </w:r>
          </w:p>
        </w:tc>
      </w:tr>
      <w:tr>
        <w:trPr>
          <w:trHeight w:val="270"/>
        </w:trPr>
        <w:tc>
          <w:tcPr>
            <w:tcW w:w="38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10.63</w:t>
            </w:r>
          </w:p>
        </w:tc>
        <w:tc>
          <w:tcPr>
            <w:tcW w:w="38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12.07</w:t>
            </w:r>
          </w:p>
        </w:tc>
      </w:tr>
      <w:tr>
        <w:trPr>
          <w:trHeight w:val="270"/>
        </w:trPr>
        <w:tc>
          <w:tcPr>
            <w:tcW w:w="38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2.20</w:t>
            </w:r>
          </w:p>
        </w:tc>
        <w:tc>
          <w:tcPr>
            <w:tcW w:w="38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2.87</w:t>
            </w:r>
          </w:p>
        </w:tc>
      </w:tr>
      <w:tr>
        <w:trPr>
          <w:trHeight w:val="27"/>
        </w:trPr>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14.11</w:t>
            </w: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17.33</w:t>
            </w:r>
          </w:p>
        </w:tc>
      </w:tr>
      <w:tr>
        <w:trPr>
          <w:trHeight w:val="27"/>
        </w:trPr>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48"/>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49.80</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29.99</w:t>
            </w:r>
          </w:p>
        </w:tc>
      </w:tr>
      <w:tr>
        <w:trPr>
          <w:trHeight w:val="270"/>
        </w:trPr>
        <w:tc>
          <w:tcPr>
            <w:tcW w:w="38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51.62</w:t>
            </w:r>
          </w:p>
        </w:tc>
        <w:tc>
          <w:tcPr>
            <w:tcW w:w="38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33.35</w:t>
            </w:r>
          </w:p>
        </w:tc>
      </w:tr>
      <w:tr>
        <w:trPr>
          <w:trHeight w:val="270"/>
        </w:trPr>
        <w:tc>
          <w:tcPr>
            <w:tcW w:w="3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c>
          <w:tcPr>
            <w:tcW w:w="38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r>
      <w:tr>
        <w:trPr>
          <w:trHeight w:val="270"/>
        </w:trPr>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594"/>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2.69</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1.74</w:t>
            </w:r>
          </w:p>
        </w:tc>
      </w:tr>
      <w:tr>
        <w:trPr>
          <w:trHeight w:val="270"/>
        </w:trPr>
        <w:tc>
          <w:tcPr>
            <w:tcW w:w="38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3.02</w:t>
            </w:r>
          </w:p>
        </w:tc>
        <w:tc>
          <w:tcPr>
            <w:tcW w:w="38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1.99</w:t>
            </w:r>
          </w:p>
        </w:tc>
      </w:tr>
      <w:tr>
        <w:trPr>
          <w:trHeight w:val="270"/>
        </w:trPr>
        <w:tc>
          <w:tcPr>
            <w:tcW w:w="3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(0.33)</w:t>
            </w:r>
          </w:p>
        </w:tc>
        <w:tc>
          <w:tcPr>
            <w:tcW w:w="38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(0.25)</w:t>
            </w:r>
          </w:p>
        </w:tc>
      </w:tr>
      <w:tr>
        <w:trPr>
          <w:trHeight w:val="270"/>
        </w:trPr>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bl>
    <w:p>
      <w:pPr>
        <w:spacing w:after="0" w:line="200" w:lineRule="exact"/>
        <w:rPr>
          <w:sz w:val="20"/>
          <w:szCs w:val="20"/>
          <w:color w:val="auto"/>
        </w:rPr>
      </w:pPr>
    </w:p>
    <w:p>
      <w:pPr>
        <w:sectPr>
          <w:pgSz w:w="11900" w:h="16838" w:orient="portrait"/>
          <w:cols w:equalWidth="0" w:num="2">
            <w:col w:w="7600" w:space="720"/>
            <w:col w:w="3100"/>
          </w:cols>
          <w:pgMar w:left="240" w:top="738" w:right="239" w:bottom="1440" w:gutter="0" w:footer="0" w:header="0"/>
        </w:sectPr>
      </w:pP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realized natural gas liquids price ($/Bbl)</w:t>
            </w:r>
          </w:p>
        </w:tc>
        <w:tc>
          <w:tcPr>
            <w:tcW w:w="24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20.05</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9.54</w:t>
            </w:r>
          </w:p>
        </w:tc>
      </w:tr>
      <w:tr>
        <w:trPr>
          <w:trHeight w:val="243"/>
        </w:trPr>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NYMEX oil price ($/Bbl)</w:t>
            </w:r>
          </w:p>
        </w:tc>
        <w:tc>
          <w:tcPr>
            <w:tcW w:w="242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51.62</w:t>
            </w:r>
          </w:p>
        </w:tc>
        <w:tc>
          <w:tcPr>
            <w:tcW w:w="54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33.35</w:t>
            </w:r>
          </w:p>
        </w:tc>
      </w:tr>
      <w:tr>
        <w:trPr>
          <w:trHeight w:val="27"/>
        </w:trPr>
        <w:tc>
          <w:tcPr>
            <w:tcW w:w="64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realized natural gas liquids price to NYMEX oil price</w:t>
            </w:r>
          </w:p>
        </w:tc>
        <w:tc>
          <w:tcPr>
            <w:tcW w:w="24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64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ind w:left="340" w:right="2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Hedged prices reflect the effect of our commodity derivative transactions on our average sales prices. Our calculation of such effects include realized gains and losses on cash settlements for commodity derivatives, which we do not designate for hedge accounting.</w:t>
      </w:r>
    </w:p>
    <w:p>
      <w:pPr>
        <w:sectPr>
          <w:pgSz w:w="11900" w:h="16838" w:orient="portrait"/>
          <w:cols w:equalWidth="0" w:num="1">
            <w:col w:w="11420"/>
          </w:cols>
          <w:pgMar w:left="240" w:top="738" w:right="239" w:bottom="1440" w:gutter="0" w:footer="0" w:header="0"/>
          <w:type w:val="continuous"/>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738" w:right="2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2017 and 2016</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Oil, Natural Gas Liquids and Natural Gas Revenues. </w:t>
      </w:r>
      <w:r>
        <w:rPr>
          <w:rFonts w:ascii="Times New Roman" w:cs="Times New Roman" w:eastAsia="Times New Roman" w:hAnsi="Times New Roman"/>
          <w:sz w:val="18"/>
          <w:szCs w:val="18"/>
          <w:color w:val="auto"/>
        </w:rPr>
        <w:t>Our oil, natural gas liquids and natural gas revenues increased by approximately $145.0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166%, to $232.5 million for the three months ended March 31, 2017 from $87.5 million for the three months ended March 31, 2016. Our revenues are a function of oil, natural gas liquids and natural gas production volumes sold and average sales prices received for those volumes. Average daily production sold increased by 23,302 BOE/d to 61,610 BOE/d during the three months ended March 31, 2017 from 38,308 BOE/d during the three months ended March 31, 2016. The total increase in revenue of approximately $145.0 million is largely attributable to higher oil, natural gas liquids and natural gas production volumes and higher average sales prices for the three months ended March 31, 2017 as compared to the three months ended March 31, 2016. The increases in production volumes were due to a combination of increased drilling activity and growth through acquisitions. Our production increased by 1,523,572 Bbls of oil, 307,604 Bbls of natural gas liquids and 1,366,423 Mcf of natural gas for the three months ended March 31, 2017 as compared to the three months ended March 31, 2016.</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net dollar effect of the increases in prices of approximately $94.0 million (calculated as the change in period-to-period average prices multiplied by current period production volumes of oil, natural gas liquids and natural gas) and the net dollar effect of the increase in production of approximately $51.0 million (calculated as the increase in period-to-period volumes for oil, natural gas liquids and natural gas multiplied by the period average prices) are shown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Production</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Total net dollar effect</w:t>
            </w:r>
          </w:p>
        </w:tc>
      </w:tr>
      <w:tr>
        <w:trPr>
          <w:trHeight w:val="265"/>
        </w:trPr>
        <w:tc>
          <w:tcPr>
            <w:tcW w:w="65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Change in prices</w:t>
            </w: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center"/>
              <w:ind w:right="90"/>
              <w:spacing w:after="0" w:line="265" w:lineRule="exact"/>
              <w:rPr>
                <w:sz w:val="20"/>
                <w:szCs w:val="20"/>
                <w:color w:val="auto"/>
              </w:rPr>
            </w:pPr>
            <w:r>
              <w:rPr>
                <w:rFonts w:ascii="Times New Roman" w:cs="Times New Roman" w:eastAsia="Times New Roman" w:hAnsi="Times New Roman"/>
                <w:sz w:val="18"/>
                <w:szCs w:val="18"/>
                <w:b w:val="1"/>
                <w:bCs w:val="1"/>
                <w:color w:val="auto"/>
                <w:w w:val="92"/>
              </w:rPr>
              <w:t>volumes</w:t>
            </w:r>
            <w:r>
              <w:rPr>
                <w:rFonts w:ascii="Times New Roman" w:cs="Times New Roman" w:eastAsia="Times New Roman" w:hAnsi="Times New Roman"/>
                <w:sz w:val="25"/>
                <w:szCs w:val="25"/>
                <w:b w:val="1"/>
                <w:bCs w:val="1"/>
                <w:color w:val="auto"/>
                <w:w w:val="92"/>
                <w:vertAlign w:val="superscript"/>
              </w:rPr>
              <w:t>(1)</w:t>
            </w: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changes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Oil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4,158,083</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82,381</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Natural gas liquids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772,995</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8,124</w:t>
            </w:r>
          </w:p>
        </w:tc>
      </w:tr>
      <w:tr>
        <w:trPr>
          <w:trHeight w:val="243"/>
        </w:trPr>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3,683,072</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3,499</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 due to change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94,004</w:t>
            </w:r>
          </w:p>
        </w:tc>
      </w:tr>
      <w:tr>
        <w:trPr>
          <w:trHeight w:val="383"/>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production</w:t>
            </w:r>
          </w:p>
        </w:tc>
        <w:tc>
          <w:tcPr>
            <w:tcW w:w="22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Prior period</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Total net dollar effect</w:t>
            </w:r>
          </w:p>
        </w:tc>
      </w:tr>
      <w:tr>
        <w:trPr>
          <w:trHeight w:val="265"/>
        </w:trPr>
        <w:tc>
          <w:tcPr>
            <w:tcW w:w="65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center"/>
              <w:ind w:right="10"/>
              <w:spacing w:after="0" w:line="265" w:lineRule="exact"/>
              <w:rPr>
                <w:sz w:val="20"/>
                <w:szCs w:val="20"/>
                <w:color w:val="auto"/>
              </w:rPr>
            </w:pPr>
            <w:r>
              <w:rPr>
                <w:rFonts w:ascii="Times New Roman" w:cs="Times New Roman" w:eastAsia="Times New Roman" w:hAnsi="Times New Roman"/>
                <w:sz w:val="18"/>
                <w:szCs w:val="18"/>
                <w:b w:val="1"/>
                <w:bCs w:val="1"/>
                <w:color w:val="auto"/>
                <w:w w:val="92"/>
              </w:rPr>
              <w:t>volumes</w:t>
            </w:r>
            <w:r>
              <w:rPr>
                <w:rFonts w:ascii="Times New Roman" w:cs="Times New Roman" w:eastAsia="Times New Roman" w:hAnsi="Times New Roman"/>
                <w:sz w:val="25"/>
                <w:szCs w:val="25"/>
                <w:b w:val="1"/>
                <w:bCs w:val="1"/>
                <w:color w:val="auto"/>
                <w:w w:val="92"/>
                <w:vertAlign w:val="superscript"/>
              </w:rPr>
              <w:t>(1)</w:t>
            </w: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Average Prices</w:t>
            </w: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changes in production volumes: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Oil</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1,523,572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29.99</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45,707</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Natural gas liquids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307,604</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2,934</w:t>
            </w:r>
          </w:p>
        </w:tc>
      </w:tr>
      <w:tr>
        <w:trPr>
          <w:trHeight w:val="243"/>
        </w:trPr>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1,366,423</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2,372</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 due to change in production volumes</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51,013</w:t>
            </w:r>
          </w:p>
        </w:tc>
      </w:tr>
      <w:tr>
        <w:trPr>
          <w:trHeight w:val="250"/>
        </w:trPr>
        <w:tc>
          <w:tcPr>
            <w:tcW w:w="6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change in revenues</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8890</wp:posOffset>
            </wp:positionV>
            <wp:extent cx="10807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Production volumes are presented in Bbls for oil and natural gas liquids and 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-127635</wp:posOffset>
            </wp:positionV>
            <wp:extent cx="10807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 Bonus Revenue. </w:t>
      </w:r>
      <w:r>
        <w:rPr>
          <w:rFonts w:ascii="Times New Roman" w:cs="Times New Roman" w:eastAsia="Times New Roman" w:hAnsi="Times New Roman"/>
          <w:sz w:val="18"/>
          <w:szCs w:val="18"/>
          <w:color w:val="auto"/>
        </w:rPr>
        <w:t>Lease bonus revenue was $1.6 million for the three months ended March 31, 2017 attributable to lease bonus payments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extend the term of one lease, reflecting an average bonus of $2,500 per acre. We had no lease bonus revenue for the three months ended March 31, 2016.</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Midstream Services Revenue. </w:t>
      </w:r>
      <w:r>
        <w:rPr>
          <w:rFonts w:ascii="Times New Roman" w:cs="Times New Roman" w:eastAsia="Times New Roman" w:hAnsi="Times New Roman"/>
          <w:sz w:val="18"/>
          <w:szCs w:val="18"/>
          <w:color w:val="auto"/>
        </w:rPr>
        <w:t>Midstream services revenue was $1.1 million for the three months ended March 31, 2017. We had no midstream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revenue for the three months ended March 31, 2016. Our midstream services revenue represents fees charged to our joint interest owners and third parties for the transportation of oil and natural gas along with water gathering and related disposal facilities. These assets complement our operations in areas where we have significant production.</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 Operating Expense. </w:t>
      </w:r>
      <w:r>
        <w:rPr>
          <w:rFonts w:ascii="Times New Roman" w:cs="Times New Roman" w:eastAsia="Times New Roman" w:hAnsi="Times New Roman"/>
          <w:sz w:val="18"/>
          <w:szCs w:val="18"/>
          <w:color w:val="auto"/>
        </w:rPr>
        <w:t>Lease operating expense was $26.6 million ($4.80 per BOE) for the three months ended March 31, 2017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$18.2 million ($5.23 per BOE) for the three months ended March 31, 2016. The decrease in lease operating expense per BOE was a result of steady lease operating expenses offset by higher production volumes.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576" w:right="239" w:bottom="1440" w:gutter="0" w:footer="0" w:header="0"/>
        </w:sectPr>
      </w:pPr>
    </w:p>
    <w:bookmarkStart w:id="43" w:name="page44"/>
    <w:bookmarkEnd w:id="43"/>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and Ad Valorem Tax Expense. </w:t>
      </w:r>
      <w:r>
        <w:rPr>
          <w:rFonts w:ascii="Times New Roman" w:cs="Times New Roman" w:eastAsia="Times New Roman" w:hAnsi="Times New Roman"/>
          <w:sz w:val="18"/>
          <w:szCs w:val="18"/>
          <w:color w:val="auto"/>
        </w:rPr>
        <w:t>Production and ad valorem taxes were $15.7 million for the three months ended March 31, 2017,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of $7.8 million, or 98%, from $8.0 million for the three months ended March 31, 2016. In general, production taxes and ad valorem taxes are directly related to commodity price changes; however, Texas ad valorem taxes are based upon prior year commodity prices, among other factors, whereas production taxes are based upon current year commodity prices. During the three months ended March 31, 2017, our production and ad valorem taxes per BOE increased by $0.56 as compared to the three months ended March 31, 2016, primarily due to increased commodity prices and production volumes.</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Midstream Services Expense. </w:t>
      </w:r>
      <w:r>
        <w:rPr>
          <w:rFonts w:ascii="Times New Roman" w:cs="Times New Roman" w:eastAsia="Times New Roman" w:hAnsi="Times New Roman"/>
          <w:sz w:val="18"/>
          <w:szCs w:val="18"/>
          <w:color w:val="auto"/>
        </w:rPr>
        <w:t>Midstream services expense was $0.9 million for the three months ended March 31, 2017. We had no midstream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expense for the three months ended March 31, 2016. Midstream services represent costs incurred to operate and maintain our oil and natural gas gathering and transportation systems, natural gas lift, compression infrastructure and water transportation facilities.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Depletion and Amortization. </w:t>
      </w:r>
      <w:r>
        <w:rPr>
          <w:rFonts w:ascii="Times New Roman" w:cs="Times New Roman" w:eastAsia="Times New Roman" w:hAnsi="Times New Roman"/>
          <w:sz w:val="18"/>
          <w:szCs w:val="18"/>
          <w:color w:val="auto"/>
        </w:rPr>
        <w:t>Depreciation, depletion and amortization expense increased $16.9 million, or 40%, to $58.9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March 31, 2017 from $42.1 million for the three months ended March 31, 2016.</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components of our depreciation, depletion and amortization expense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34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8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358"/>
        </w:trPr>
        <w:tc>
          <w:tcPr>
            <w:tcW w:w="7320" w:type="dxa"/>
            <w:vAlign w:val="bottom"/>
          </w:tcPr>
          <w:p>
            <w:pPr>
              <w:spacing w:after="0"/>
              <w:rPr>
                <w:sz w:val="24"/>
                <w:szCs w:val="24"/>
                <w:color w:val="auto"/>
              </w:rPr>
            </w:pP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 except BOE amounts)</w:t>
            </w:r>
          </w:p>
        </w:tc>
        <w:tc>
          <w:tcPr>
            <w:tcW w:w="620" w:type="dxa"/>
            <w:vAlign w:val="bottom"/>
          </w:tcPr>
          <w:p>
            <w:pPr>
              <w:spacing w:after="0"/>
              <w:rPr>
                <w:sz w:val="24"/>
                <w:szCs w:val="24"/>
                <w:color w:val="auto"/>
              </w:rPr>
            </w:pPr>
          </w:p>
        </w:tc>
      </w:tr>
      <w:tr>
        <w:trPr>
          <w:trHeight w:val="27"/>
        </w:trPr>
        <w:tc>
          <w:tcPr>
            <w:tcW w:w="7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Depletion of proved oil and natural gas properties</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58,138</w:t>
            </w:r>
          </w:p>
        </w:tc>
        <w:tc>
          <w:tcPr>
            <w:tcW w:w="1480" w:type="dxa"/>
            <w:vAlign w:val="bottom"/>
            <w:tcBorders>
              <w:bottom w:val="single" w:sz="8" w:color="CCEEFF"/>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41,648</w:t>
            </w: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of midstream assets</w:t>
            </w:r>
          </w:p>
        </w:tc>
        <w:tc>
          <w:tcPr>
            <w:tcW w:w="1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of other property and equipment</w:t>
            </w:r>
          </w:p>
        </w:tc>
        <w:tc>
          <w:tcPr>
            <w:tcW w:w="1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r>
        <w:trPr>
          <w:trHeight w:val="297"/>
        </w:trPr>
        <w:tc>
          <w:tcPr>
            <w:tcW w:w="7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 expense</w:t>
            </w: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58,929</w:t>
            </w:r>
          </w:p>
        </w:tc>
        <w:tc>
          <w:tcPr>
            <w:tcW w:w="1480" w:type="dxa"/>
            <w:vAlign w:val="bottom"/>
            <w:tcBorders>
              <w:top w:val="single" w:sz="8" w:color="auto"/>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42,069</w:t>
            </w: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and natural gas properties depreciation, depletion and amortization per BOE</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480" w:type="dxa"/>
            <w:vAlign w:val="bottom"/>
            <w:tcBorders>
              <w:bottom w:val="single" w:sz="8" w:color="CCEEFF"/>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11.95</w:t>
            </w: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depreciation, depletion and amortization per BOE</w:t>
            </w:r>
          </w:p>
        </w:tc>
        <w:tc>
          <w:tcPr>
            <w:tcW w:w="1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48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12.07</w:t>
            </w: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depletion of proved oil and natural gas properties of $16.5 million for the three months ended March 31, 2017 as compared to the three months ended March 31, 2016 resulted primarily from higher production levels and an increase in net book value on new reserves added.</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Oil and Gas Properties. </w:t>
      </w:r>
      <w:r>
        <w:rPr>
          <w:rFonts w:ascii="Times New Roman" w:cs="Times New Roman" w:eastAsia="Times New Roman" w:hAnsi="Times New Roman"/>
          <w:sz w:val="18"/>
          <w:szCs w:val="18"/>
          <w:color w:val="auto"/>
        </w:rPr>
        <w:t>During the three months ended March 31, 2016, we recorded an impairment of oil and gas properties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$30.8 million as a result of the significant decline in commodity prices, which resulted in a reduction of the discounted present value of our proved oil and natural gas reserves. We did not record an impairment of oil and gas properties during the three months ended March 31, 2017.</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 </w:t>
      </w:r>
      <w:r>
        <w:rPr>
          <w:rFonts w:ascii="Times New Roman" w:cs="Times New Roman" w:eastAsia="Times New Roman" w:hAnsi="Times New Roman"/>
          <w:sz w:val="18"/>
          <w:szCs w:val="18"/>
          <w:color w:val="auto"/>
        </w:rPr>
        <w:t>General and administrative expense increased $0.8 million from $13.0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2016 to $13.7 million for the three months ended March 31, 2017. The increase was primarily due to an increase in salaries and benefits of $2.4 million partially offset by a decrease in non-cash equity compensation of $1.6 million.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Interest Expense. </w:t>
      </w:r>
      <w:r>
        <w:rPr>
          <w:rFonts w:ascii="Times New Roman" w:cs="Times New Roman" w:eastAsia="Times New Roman" w:hAnsi="Times New Roman"/>
          <w:sz w:val="18"/>
          <w:szCs w:val="18"/>
          <w:color w:val="auto"/>
        </w:rPr>
        <w:t>Net interest expense for the three months ended March 31, 2017 was $12.2 million as compared to $10.0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2016, an increase of $2.2 million. This increase was due primarily to interest on our senior notes.</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w:t>
      </w:r>
      <w:r>
        <w:rPr>
          <w:rFonts w:ascii="Times New Roman" w:cs="Times New Roman" w:eastAsia="Times New Roman" w:hAnsi="Times New Roman"/>
          <w:sz w:val="18"/>
          <w:szCs w:val="18"/>
          <w:color w:val="auto"/>
        </w:rPr>
        <w:t>We are required to recognize all derivative instruments on the balance sheet as either assets or liabilities measured at fair value.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 For the three months ended March 31, 2017, we had a cash loss on settlement of derivative instruments of $1.7 million as compared to a cash gain on settlement of derivative instruments of $5.1 million for the three months ended March 31, 2016. For the three months ended March 31, 2017, we had a positive change in the fair value of open derivative instruments of $39.4 million as compared to a negative change of $3.7 million during the three months ended March 31, 2016.</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76" w:right="239" w:bottom="1440" w:gutter="0" w:footer="0" w:header="0"/>
        </w:sectPr>
      </w:pPr>
    </w:p>
    <w:bookmarkStart w:id="44" w:name="page45"/>
    <w:bookmarkEnd w:id="44"/>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We recorded an income tax provision for $2.0 million the three months ended March 31, 2017. We did not record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 provision or benefit for the three months ended March 31, 2016.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have been proceeds from our public equity offerings, borrowings under our revolving credit facility, proceeds from the issuance of the senior notes and cash flows from operations. Our primary use of capital has been for the acquisition, development and exploration of oil and natural gas properties. As we pursue reserves and production growth, we regularly consider which capital resources, including equity and debt financings, are available to meet our future financial obligations, planned capital expenditure activities and liquidity requirements. Our future ability to grow proved reserves and production will be highly dependent on the capital resources available to 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Cash Flow</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Our cash flows for the three months ended March 31, 2017 and 2016 are presented below:</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8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2016</w:t>
            </w:r>
          </w:p>
        </w:tc>
      </w:tr>
      <w:tr>
        <w:trPr>
          <w:trHeight w:val="27"/>
        </w:trPr>
        <w:tc>
          <w:tcPr>
            <w:tcW w:w="8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175,927</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72,760</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(1,825,479)</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(107,157)</w:t>
            </w:r>
          </w:p>
        </w:tc>
      </w:tr>
      <w:tr>
        <w:trPr>
          <w:trHeight w:val="27"/>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20,418</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250,092</w:t>
            </w:r>
          </w:p>
        </w:tc>
      </w:tr>
      <w:tr>
        <w:trPr>
          <w:trHeight w:val="257"/>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(1,629,134)</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215,695</w:t>
            </w:r>
          </w:p>
        </w:tc>
      </w:tr>
      <w:tr>
        <w:trPr>
          <w:trHeight w:val="20"/>
        </w:trPr>
        <w:tc>
          <w:tcPr>
            <w:tcW w:w="8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$175.9 million for the three months ended March 31, 2017 as compared to $72.8 million for the three months ended March 31, 2016. The increase in operating cash flows is primarily due to a result of increases in our oil and natural gas revenues due to an increase in average prices and production growth during the three months ended March 31, 2017.</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 See “—Sources of our revenue”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purchase and development of oil and natural gas properties accounted for the majority of our cash outlays for investing activities. Net cash used in investing activities was $1,825.5 million and $107.2 million during the three months ended March 31, 2017 and 2016, respectively.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2017, we spent (a) $116.2 million on capital expenditures in conjunction with our development program, in which we drilled 28 gross (23 net) horizontal wells, completed 26 gross (20 net) horizontal wells and participated in the drilling of six gross (one net) non-operated wells in the Permian Basin, (b) $1,760.8 million on leasehold acquisitions, (c) $48.3 million for midstream assets and (d) $11.9 million for the purchase of other property and equipment.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2016, we spent $86.3 million on capital expenditures in conjunction with our drilling program and related infrastructure projects, in which we drilled 16 gross (13 net) horizontal wells and one gross (one net) vertical wells and participated in the drilling of two gross (one net) non-operated wells in the Permian Basin. We spent an additional $16.9 million on leasehold acquisitions, $2.1 million on royalty interest acquisitions and $1.1 million for the purchase of other property and equipment.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792" w:right="2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Our investing activities for the three months ended March 31, 2017 and 2016 are summarized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8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2016</w:t>
            </w:r>
          </w:p>
        </w:tc>
      </w:tr>
      <w:tr>
        <w:trPr>
          <w:trHeight w:val="27"/>
        </w:trPr>
        <w:tc>
          <w:tcPr>
            <w:tcW w:w="8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Drilling, completion and infrastructure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(116,233)</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(86,333)</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of leasehold interests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(1,760,810)</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(16,923)</w:t>
            </w:r>
          </w:p>
        </w:tc>
      </w:tr>
      <w:tr>
        <w:trPr>
          <w:trHeight w:val="27"/>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of mineral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of midstream assets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(48,329)</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of other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(11,918)</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1,238</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Funds held in escrow</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119,340</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investments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7"/>
        </w:trPr>
        <w:tc>
          <w:tcPr>
            <w:tcW w:w="8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(1,825,479)</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(107,157)</w:t>
            </w:r>
          </w:p>
        </w:tc>
      </w:tr>
      <w:tr>
        <w:trPr>
          <w:trHeight w:val="20"/>
        </w:trPr>
        <w:tc>
          <w:tcPr>
            <w:tcW w:w="8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2017 and 2016 was $20.4 million and $250.1 million, respectively. During the three months ended March 31, 2017, the amount provided by financing activities was primarily attributable to proceeds from Viper’s January 2017 equity offering of $147.7 million partially offset by repayments of net borrowings of $120.5 million under Viper’s credit facility. The 2016 amount provided by financing activities was primarily attributable to the proceeds from our January 2016 equity offering of $254.5 million partially offset by repayments of net borrowings of $2.5 million under our credit facility.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Senior Notes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October 28, 2016, we issued $500.0 million in aggregate principal amount of 4.750% senior notes due 2024, which we refer to as the 2024 senior notes. The 2024 senior notes bear interest at a rate of 4.750% per annum, payable semi-annually, in arrears on May 1 and November 1 of each year, commencing on May 1, 2017 and will mature on November 1, 2024. All of our existing and future restricted subsidiaries that guarantee our revolving credit facility or certain other debt guarantee the 2024 senior notes; provided, however, that the 2024 senior notes are not guaranteed by Viper, Viper Energy Partners GP LLC, Viper Energy Partners LLC or Rattler Midstream LLC, and will not be guaranteed by any of the our future unrestricted subsidiaries.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2024 senior notes were issued under, and are governed by, an indenture among us, the subsidiary guarantors party thereto and Wells Fargo, as the trustee, as supplemented. The 2024 indenture contains certain covenants that, subject to certain exceptions and qualifications, among other things, limit our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our restricted subsidiaries, consolidate, merge, sell or otherwise dispose of all or substantially all of our assets, enter into transactions with affiliates, incur liens, engage in business other than the oil and gas business and designate certain of our subsidiaries as unrestricted subsidiaries.</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may on any one or more occasions redeem some or all of the 2024 senior notes at any time on or after November 1, 2019 at the redemption prices (expressed as percentages of principal amount) of 103.563% for the 12-month period beginning on November 1, 2019, 102.375% for the 12-month period beginning on November 1, 2020, 101.188% for the 12-month period beginning on November 1, 2021 and 100.000% beginning on November 1, 2022 and at any time thereafter with any accrued and unpaid interest to, but not including, the date of redemption. Prior to November 1, 2019, we may on any one or more occasions redeem all or a portion of the 2024 senior notes at a price equal to 100% of the principal amount of the 2024 senior notes plus a “make-whole” premium and accrued and unpaid interest to the redemption date. In addition, any time prior to November 1, 2019, we may on any one or more occasions redeem the 2024 senior notes in an aggregate principal amount not to exceed 35% of the aggregate principal amount of the 2024 senior notes issued prior to such date at a redemption price of 104.750%, plus accrued and unpaid interest to the redemption date, with an amount equal to the net cash proceeds from certain equity offerings.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80" w:right="239" w:bottom="1440" w:gutter="0" w:footer="0" w:header="0"/>
        </w:sectPr>
      </w:pPr>
    </w:p>
    <w:bookmarkStart w:id="46" w:name="page47"/>
    <w:bookmarkEnd w:id="4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2024 senior notes, we and the subsidiary guarantors entered into a registration rights agreement with the initial purchasers on October 28, 2016, pursuant to which we agreed to file a registration statement with respect to an offer to exchange the 2024 senior notes for a new issue of substantially identical debt securities registered under the Securities Act. Under the 2024 registration rights agreement, we also agreed to use its commercially reasonable efforts to have the registration statement declared effective by the SEC on or prior to the 360th day after the issue date of the 2024 senior notes and to keep the exchange offer open for not less than 30 days (or longer if required by applicable law). We may be required to file a shelf registration statement to cover resales of the 2024 senior notes under certain circumstances. If we fail to satisfy these obligations under the 2024 registration rights agreement, we agreed to pay additional interest to the holders of the 2024 senior notes as specified in the 2024 registration rights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Senior Notes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December 20, 2016, we issued $500.0 million in aggregate principal amount of 5.375% Senior Notes due 2025, which we refer to as the 2025 senior notes. The 2025 senior notes bear interest at a rate of 5.375% per annum, payable semi-annually, in arrears on May 31 and November 30 of each year, commencing on May 31, 2017 and will mature on May 31, 2025. All of our existing and future restricted subsidiaries that guarantee our revolving credit facility or certain other debt guarantee the 2025 senior notes, provided, however, that the 2025 senior notes are not guaranteed by Viper, Viper Energy Partners GP LLC, Viper Energy Partners LLC or Rattler Midstream LLC, and will not be guaranteed by any of our future unrestricted subsidiaries.</w:t>
      </w:r>
    </w:p>
    <w:p>
      <w:pPr>
        <w:spacing w:after="0" w:line="1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2025 senior notes were issued under an indenture, dated as of December 20, 2016, among us, the guarantors party thereto and Wells Fargo, as the trustee. The 2025 Indenture contains certain covenants that, subject to certain exceptions and qualifications, among other things, limit our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our restricted subsidiaries, consolidate, merge, sell or otherwise dispose of all or substantially all of our assets, enter into transactions with affiliates, incur liens, engage in business other than the oil and gas business and designate certain of our subsidiaries as unrestricted subsidiaries.</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may on any one or more occasions redeem some or all of the 2025 senior notes at any time on or after May 31, 2020 at the redemption prices (expressed as percentages of principal amount) of 104.031% for the 12-month period beginning on May 31, 2020, 102.688% for the 12-month period beginning on May 31, 2021, 101.344% for the 12-month period beginning on May 31, 2022 and 100.000% beginning on May 31, 2023 and at any time thereafter with any accrued and unpaid interest to, but not including, the date of redemption. Prior to May 31, 2020, we may on any one or more occasions redeem all or a portion of the 2025 senior notes at a price equal to 100% of the principal amount of the 2025 senior notes plus a “make-whole” premium and accrued and unpaid interest to the redemption date. In addition, any time prior to May 31, 2020, we may on any one or more occasions redeem the 2025 senior notes in an aggregate principal amount not to exceed 35% of the aggregate principal amount of the 2025 senior notes issued prior to such date at a redemption price of 105.375%, plus accrued and unpaid interest to the redemption date, with an amount equal to the net cash proceeds from certain equity offerings.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2025 senior notes, we and the subsidiary guarantors entered into a registration rights agreement with the initial purchasers on December 20, 2016, pursuant to which we agreed to file a registration statement with respect to an offer to exchange the 2025 senior notes for a new issue of substantially identical debt securities registered under the Securities Act. Under the 2025 registration rights agreement, we also agreed to use its commercially reasonable efforts to have the registration statement declared effective by the SEC on or prior to the 360th day after the issue date of the 2025 senior notes and to keep the exchange offer open for not less than 30 days (or longer if required by applicable law). We may be required to file a shelf registration statement to cover resales of the 2025 senior notes under certain circumstances. If we fail to satisfy these obligations under the 2025 registration rights agreement, we agreed to pay additional interest to the holders of the 2025 senior notes as specified in the 2025 registration rights agreement.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26, 2017, we filed with the SEC our Registration Statement on Form S-4 relating to the exchange offers of the 2024 senior notes and the 2025 senior notes for substantially identical debt securities registered under the Securities 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80"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Second Amended and Restated Credit Facility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second amended and restated credit agreement, dated November 1, 2013, as amended, with a syndicate of banks, including Wells Fargo, as administrative agent, sole book runner and lead arranger, provides for a revolving credit facility in the maximum amount of $2.0 billion. As of March 31, 2017, the borrowing base was set at $1.0 billion, although we had elected a commitment amount of $500.0 million. As of March 31, 2017, we had no outstanding borrowings and $500.0 million available for future borrowings under this facility. In connection with our spring 2017 redetermination, the agent lender under the credit agreement has recommended that our borrowing base be increased to $1.5 billion. This increase is subject to the approval of the required other lenders. Regardless of such adjustment, we have elected to increase the lenders’ aggregate commitment to $750.0 million.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outstanding borrowings under the credit agreement bear interest at a rate elected by us that is equal to an alternative base rate (which is equal to the greatest of the prime rate, the Federal Funds effective rate plus 0.50% and 3-month LIBOR plus 1.0%) or LIBOR, in each case plus the applicable margin. The applicable margin ranges from 0.50% to 1.50% in the case of the alternative base rate and from 1.50% to 2.50% in the case of LIBOR, in each case depending on the amount of the loan outstanding in relation to the borrowing base. We are obligated to pay a quarterly commitment fee ranging from 0.375% to 0.500% per year on the unused portion of the borrowing base, which fee is also dependent on the amount of the loan outstanding in relation to the borrowing base. Loan principal may be optionally repaid from time to time without premium or penalty (other than customary LIBOR breakage), and is required to be repaid (a) to the extent that the loan amount exceeds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2018.</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434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Required Ratio</w:t>
            </w:r>
          </w:p>
        </w:tc>
      </w:tr>
      <w:tr>
        <w:trPr>
          <w:trHeight w:val="27"/>
        </w:trPr>
        <w:tc>
          <w:tcPr>
            <w:tcW w:w="70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total debt to EBITDAX</w:t>
            </w:r>
          </w:p>
        </w:tc>
        <w:tc>
          <w:tcPr>
            <w:tcW w:w="4340" w:type="dxa"/>
            <w:vAlign w:val="bottom"/>
            <w:tcBorders>
              <w:bottom w:val="single" w:sz="8" w:color="CCEEFF"/>
            </w:tcBorders>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rPr>
              <w:t>Not greater than 4.0 to 1.0</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current assets to liabilities, as defined in the credit agreement</w:t>
            </w:r>
          </w:p>
        </w:tc>
        <w:tc>
          <w:tcPr>
            <w:tcW w:w="434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Not less than 1.0 to 1.0</w:t>
            </w: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covenant prohibiting additional indebtedness, as amended in December 2016, allows for the issuance of unsecured debt of up to $1.0 billion in the form of senior or senior subordinated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 As of March 31, 2017, we had $1.0 billion in aggregate principal amount of senior notes outstanding.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2017, we were in compliance with all financial covenants under our revolving credit facility. The lenders may accelerate all of the indebtedness under our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With certain specified exceptions, the terms and provisions of our revolving credit facility generally may be amended with the consent of the lenders holding a majority of the outstanding loans or commitments to lend.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Viper’s Facility-Wells Fargo Bank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Viper is a party to a $500.0 million, secured revolving credit agreement, dated as of July 8, 2014, as amended, with Wells Fargo as the administrative agent, sole book runner and lead arranger, and certain other lenders party thereto. The credit agreement matures on July 8, 2019. The borrowing base is scheduled to be re-determined semi-annually with effective dates of April 1st and October 1st. In addition, the Partnership may request up to three additional redeterminations of the borrowing base during any 12-month period. As of March 31, 2017, the borrowing base was set at $275.0 million and Viper had no outstanding borrowings under its credit agreement. In connection with the Partnership’s spring 2017 redetermination, the agent lender under the credit agreement has recommended that the Partnership’s borrowing base be increased to $315.0 million. This increase is subject to the approval of the required other lenders.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76" w:right="239" w:bottom="1440" w:gutter="0" w:footer="0" w:header="0"/>
        </w:sectPr>
      </w:pPr>
    </w:p>
    <w:bookmarkStart w:id="48" w:name="page49"/>
    <w:bookmarkEnd w:id="4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outstanding borrowings under Viper’s credit agreement bear interest at a rate elected by Viper that is equal to an alternative base rate (which is equal to the greatest of the prime rate, the Federal Funds effective rate plus 0.5% and 3-month LIBOR plus 1.0%) or LIBOR, in each case plus the applicable margin. The applicable margin ranges from 1.00% to 2.00% in the case of the alternative base rate and from 2.00% to 3.00% in the case of LIBOR, in each case depending on the amount of the loan outstanding in relation to the borrowing base. Viper is obligated to pay a quarterly commitment fee ranging from 0.375% to 0.500% per year on the unused portion of the borrowing base, which fee is also dependent on the amount of the loan outstanding in relation to the borrowing base. Loan principal may be optionally repaid from time to time without premium or penalty (other than customary LIBOR breakage), and is required to be repaid (a) to the extent that the loan amount exceeds the borrowing base, whether due to a borrowing base redetermination or otherwise (in some cases subject to a cure period) and (b) at the maturity date of July 8, 2019. The loan is secured by substantially all of the assets of Viper and its subsidiaries.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various affirmative, negative and financial maintenance covenants. These covenants, among other things, limit additional indebtedness, purchases of margin stock, additional liens, sales of assets, mergers and consolidations, dividends and distributions, transactions with affiliates and entering into certain swap agreements and require the maintenance of the financial ratios described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434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Required Ratio</w:t>
            </w:r>
          </w:p>
        </w:tc>
      </w:tr>
      <w:tr>
        <w:trPr>
          <w:trHeight w:val="27"/>
        </w:trPr>
        <w:tc>
          <w:tcPr>
            <w:tcW w:w="70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total debt to EBITDAX</w:t>
            </w:r>
          </w:p>
        </w:tc>
        <w:tc>
          <w:tcPr>
            <w:tcW w:w="4340" w:type="dxa"/>
            <w:vAlign w:val="bottom"/>
            <w:tcBorders>
              <w:bottom w:val="single" w:sz="8" w:color="CCEEFF"/>
            </w:tcBorders>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rPr>
              <w:t>Not greater than 4.0 to 1.0</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current assets to liabilities, as defined in the credit agreement</w:t>
            </w:r>
          </w:p>
        </w:tc>
        <w:tc>
          <w:tcPr>
            <w:tcW w:w="434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Not less than 1.0 to 1.0</w:t>
            </w: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covenant prohibiting additional indebtedness allows for the issuance of unsecured debt of up to $250.0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lenders may accelerate all of the indebtedness under Viper’s revolving credit facility upon the occurrence and during the continuance of any event of default. Viper’s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 and Sources of Liquidity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approved a 2017 capital budget for drilling and infrastructure of approximately $800.0 million to $1.0 billion, representing an increase of 132% over our 2016 capital budget. We estimate that, of these expenditures, approximately:</w:t>
      </w:r>
    </w:p>
    <w:p>
      <w:pPr>
        <w:spacing w:after="0" w:line="162"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$650.0 million to $825.0 million will be spent on drilling and completing 130 to 165 gross (110 to 140 net) operated horizontal wells focused in the Midland and Delaware Basins and participating in non-operated activity;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million to $175.0 million will be spent on infrastructure and other expenditures, excluding the cost of any leasehold and mineral interest acquisitions;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million in midstream assets.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2017, our aggregate capital expenditures for our development program were $116.2 million. We do not have a specific acquisition budget since the timing and size of acquisitions cannot be accurately forecasted. During the three months ended March 31, 2017, we spent approximately $1.8 billion in cash on acquisitions of leasehold interests.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amount and timing of these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With recent improvement in oil prices, we are currently operating eight rigs and three completion crews. We will continue monitoring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80" w:right="239" w:bottom="1440" w:gutter="0" w:footer="0" w:header="0"/>
        </w:sectPr>
      </w:pPr>
    </w:p>
    <w:bookmarkStart w:id="49" w:name="page50"/>
    <w:bookmarkEnd w:id="49"/>
    <w:p>
      <w:pPr>
        <w:jc w:val="both"/>
        <w:spacing w:after="0" w:line="282" w:lineRule="auto"/>
        <w:rPr>
          <w:sz w:val="20"/>
          <w:szCs w:val="20"/>
          <w:color w:val="auto"/>
        </w:rPr>
      </w:pPr>
      <w:r>
        <w:rPr>
          <w:rFonts w:ascii="Times New Roman" w:cs="Times New Roman" w:eastAsia="Times New Roman" w:hAnsi="Times New Roman"/>
          <w:sz w:val="18"/>
          <w:szCs w:val="18"/>
          <w:color w:val="auto"/>
        </w:rPr>
        <w:t>commodity prices and overall market conditions and can adjust our rig cadence up or down in response to changes in commodity prices and overall market conditions.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upon current oil and natural gas price and production expectations for 2017, we believe that our cash flow from operations, cash on hand and borrowings under our revolving credit facility will be sufficient to fund our operations through year-end 2017. However, future cash flows are subject to a number of variables, including the level of oil and natural gas production and prices, and significant additional capital expenditures will be required to more fully develop our properties. Further, our 2017 capital expenditure budget does not allocate any funds for leasehold interest and property acquisitions.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monitor and adjust our projected capital expenditures in response to success or lack of success in drilling activities, changes in prices, availability of financing, drilling and acquisition costs, industry conditions, the timing of regulatory approvals, the availability of rigs, contractual obligations, internally generated cash flow and other factors both within and outside our control. If we require additional capital, we may seek such capital through traditional reserve base borrowings, joint venture partnerships, production payment financing, asset sales, offerings of debt and or equity securities or other means. We cannot assure you that the needed capital will be available on acceptable terms or at all. If we are unable to obtain funds when needed or on acceptable terms, we may be required to curtail our drilling programs, which could result in a loss of acreage through lease expirations. In addition, we may not be able to complete acquisitions that may be favorable to us or finance the capital expenditures necessary to replace our reserves. If there is further decline in commodity prices, our revenues, cash flows, results of operations, liquidity and reserves may be materially and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discussed in Note 15 of the Notes to the Consolidated Financial Statements of this report, there were no material changes to our contractual obligations and other commitments, as disclosed in our Annual Report on Form 10-K for the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critical accounting policies from those disclosed in our Annual Report on Form 10-K for the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had no off-balance sheet arrangements as of March 31, 2017. Please read Note 15 included in Notes to the Combined Consolidated Financial Statements set forth in Part I, Item 1 of this report, for a discussion of our commitments and contingencies, some of which are not recognized in the balance sheets under GAAP.</w:t>
      </w:r>
    </w:p>
    <w:p>
      <w:pPr>
        <w:spacing w:after="0" w:line="38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major market risk exposure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and we expect this volatility to continue in the future. The prices we receive for production depend on many factors outside of our control.</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use price swap derivatives, including basis swaps and costless collars, to reduce price volatility associated with certain of our oil sales. With respect to these fixed price swap contracts, the counterparty is required to make a payment to us if the settlement price for any settlement period is less than the swap price, and we are required to make a payment to the counterparty if the settlement price for any settlement period is greater than the swap price. Our derivative contracts are based upon reported settlement prices on commodity exchanges, with crude oil derivative settlements based on NYMEX West Texas Intermediate pricing.</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March 31, 2017, we had a net asset derivative position of $17.5 million as compared to a net liability derivative position of $22.6 million at December 31, 2016 related to our price swap derivatives. Utilizing actual derivative contractual volumes under our fixed price swaps as of March 31, 2017, a 10% increase in forward curves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80" w:right="239" w:bottom="1440" w:gutter="0" w:footer="0" w:header="0"/>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auto"/>
        </w:rPr>
        <w:t>associated with the underlying commodity would have decreased the net asset position to a net liability position of $9.4 million, a decrease of $26.9 million, while a 10% decrease in forward curves associated with the underlying commodity would have increased the net asset derivative position to $44.4 million, an increase of $26.9 million. However, any cash derivative gain or loss would be substantially offset by a decrease or increase, respectively, in the actual sales value of production covered by the derivative instrument.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and Customer Credit Risk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principal exposures to credit risk are through receivables resulting from joint interest receivables (approximately $56.0 million at March 31, 2017) and receivables from the sale of our oil and natural gas production (approximately $83.5 million at March 31, 2017).</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credit risk due to the concentration of our oil and natural gas receivables with several significant customers. We do not require our customers to post collateral, and the inability of our significant customers to meet their obligations to us or their insolvency or liquidation may adversely affect our financial results. For the three months ended March 31, 2017, three purchasers each accounted for more than 10% of our revenue: Shell Trading (US) Company (42%); Koch Supply &amp; Trading LP (18%); and Enterprise Crude Oil LLC (14%). For the three months ended March 31, 2016, two purchasers each accounted for more than 10% of our revenue: Shell Trading (US) Company (57%); and Enterprise Crude Oil LLC (14%). No other customer accounted for more than 10% of our revenue during these periods.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 At March 31, 2017, we had two customers that represented approximately 65% of our total joint operations receivables. At December 31, 2016, we had three customers that represented approximately 75% of our total joint operations receivables.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market risk exposure related to changes in interest rates on our indebtedness under our revolving credit facility. The terms of our revolving credit facility provide for interest on borrowings at a floating rate equal to an alternative base rate (which is equal to the greatest of the prime rate, the Federal Funds effective rate plus 0.5% and 3-month LIBOR plus 1.0%) or LIBOR, in each case plus the applicable margin. The applicable margin ranges from 0.50% to 1.50% in the case of the alternative base rate and from 1.50% to 2.50% in the case of LIBOR, in each case depending on the amount of the loan outstanding in relation to the borrowing base. As of March 31, 2017, we had no borrowings outstanding under our revolving credit facility.</w:t>
      </w:r>
    </w:p>
    <w:p>
      <w:pPr>
        <w:spacing w:after="0" w:line="39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direction of our Chief Executive Officer and Chief Financial Officer, we have established disclosure controls and procedures, as defined in Rule 13a-15(e) and 15d-15(e) under the Securities Exchange Act of 1934,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2017,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March 31, 2017, our disclosure controls and procedures are effective.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80"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that occurred during the quarter ended March 31, 2017 that have materially affected, or are reasonably likely to materially affect, internal controls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nature of our business, we are, from time to time, involved in routine litigation or subject to disputes or claims related to our business activities, including workers’ compensation claims and employment related disputes. In the opinion of our management, none of the pending litigation, disputes or claims against us, if decided adversely, will have a material adverse effect on our financial condition, cash flows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faces many risks. Any of the risks discussed in this Form 10-Q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the information set forth in this report, you should carefully consider the risk factors discussed in Part I, Item 1A. Risk Factors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2016. There have been no material changes in our risk factors from those described 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28, 2017, we completed our acquisition of certain assets from Brigham Resources Operating, LLC and Brigham Resources Midstream, LLC, unrelated third-party sellers, under our previously reported purchase and sale agreement with the sellers dated as of December 13, 2016, as amended. The aggregate consideration for the acquisition was approximately $2.55 billion, consisting of $1.74 billion in cash and the issuance of 7.69 million shares of our common stock, par value $0.01 per share (of which approximately 1.15 million shares were placed in an indemnity escrow), subject to certain adjustments. These shares were issued in reliance upon the exemption from the registration requirements of the Securities Act provided by Section 4(a)(2) of the Securities Act, as sales by an issuer not involving any public offering.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792"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38"/>
        </w:trPr>
        <w:tc>
          <w:tcPr>
            <w:tcW w:w="840" w:type="dxa"/>
            <w:vAlign w:val="bottom"/>
          </w:tcPr>
          <w:p>
            <w:pPr>
              <w:spacing w:after="0"/>
              <w:rPr>
                <w:sz w:val="20"/>
                <w:szCs w:val="20"/>
                <w:color w:val="auto"/>
              </w:rPr>
            </w:pPr>
          </w:p>
        </w:tc>
        <w:tc>
          <w:tcPr>
            <w:tcW w:w="1058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56"/>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580" w:type="dxa"/>
            <w:vAlign w:val="bottom"/>
          </w:tcPr>
          <w:p>
            <w:pPr>
              <w:spacing w:after="0"/>
              <w:rPr>
                <w:sz w:val="24"/>
                <w:szCs w:val="24"/>
                <w:color w:val="auto"/>
              </w:rPr>
            </w:pPr>
          </w:p>
        </w:tc>
      </w:tr>
      <w:tr>
        <w:trPr>
          <w:trHeight w:val="238"/>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840" w:type="dxa"/>
            <w:vAlign w:val="bottom"/>
            <w:tcBorders>
              <w:bottom w:val="single" w:sz="8" w:color="auto"/>
            </w:tcBorders>
          </w:tcPr>
          <w:p>
            <w:pPr>
              <w:spacing w:after="0"/>
              <w:rPr>
                <w:sz w:val="18"/>
                <w:szCs w:val="18"/>
                <w:color w:val="auto"/>
              </w:rPr>
            </w:pPr>
          </w:p>
        </w:tc>
        <w:tc>
          <w:tcPr>
            <w:tcW w:w="10580" w:type="dxa"/>
            <w:vAlign w:val="bottom"/>
            <w:tcBorders>
              <w:bottom w:val="single" w:sz="8" w:color="auto"/>
            </w:tcBorders>
          </w:tcPr>
          <w:p>
            <w:pPr>
              <w:spacing w:after="0"/>
              <w:rPr>
                <w:sz w:val="18"/>
                <w:szCs w:val="18"/>
                <w:color w:val="auto"/>
              </w:rPr>
            </w:pPr>
          </w:p>
        </w:tc>
      </w:tr>
      <w:tr>
        <w:trPr>
          <w:trHeight w:val="218"/>
        </w:trPr>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w:t>
            </w:r>
          </w:p>
        </w:tc>
        <w:tc>
          <w:tcPr>
            <w:tcW w:w="10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 Company (incorporated by reference to Exhibit 3.1 to the Form 10-Q, File No.</w:t>
            </w:r>
          </w:p>
        </w:tc>
      </w:tr>
      <w:tr>
        <w:trPr>
          <w:trHeight w:val="241"/>
        </w:trPr>
        <w:tc>
          <w:tcPr>
            <w:tcW w:w="84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001-35700, filed by the Company with the SEC on November 16, 2012).</w:t>
            </w:r>
          </w:p>
        </w:tc>
      </w:tr>
      <w:tr>
        <w:trPr>
          <w:trHeight w:val="225"/>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Amended and Restated Bylaws of the Company (incorporated by reference to Exhibit 3.2 to the Form 10-Q, File No. 001-35700, filed by</w:t>
            </w:r>
          </w:p>
        </w:tc>
      </w:tr>
      <w:tr>
        <w:trPr>
          <w:trHeight w:val="234"/>
        </w:trPr>
        <w:tc>
          <w:tcPr>
            <w:tcW w:w="840" w:type="dxa"/>
            <w:vAlign w:val="bottom"/>
          </w:tcPr>
          <w:p>
            <w:pPr>
              <w:spacing w:after="0"/>
              <w:rPr>
                <w:sz w:val="20"/>
                <w:szCs w:val="20"/>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Company with the SEC on November 16, 2012).</w:t>
            </w:r>
          </w:p>
        </w:tc>
      </w:tr>
      <w:tr>
        <w:trPr>
          <w:trHeight w:val="27"/>
        </w:trPr>
        <w:tc>
          <w:tcPr>
            <w:tcW w:w="84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25"/>
        </w:trPr>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10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Specimen certificate for shares of common stock, par value $0.01 per share, of the Company (incorporated by reference to Exhibit 4.1 to</w:t>
            </w:r>
          </w:p>
        </w:tc>
      </w:tr>
      <w:tr>
        <w:trPr>
          <w:trHeight w:val="216"/>
        </w:trPr>
        <w:tc>
          <w:tcPr>
            <w:tcW w:w="840" w:type="dxa"/>
            <w:vAlign w:val="bottom"/>
            <w:shd w:val="clear" w:color="auto" w:fill="CCEEFF"/>
          </w:tcPr>
          <w:p>
            <w:pPr>
              <w:spacing w:after="0"/>
              <w:rPr>
                <w:sz w:val="18"/>
                <w:szCs w:val="18"/>
                <w:color w:val="auto"/>
              </w:rPr>
            </w:pPr>
          </w:p>
        </w:tc>
        <w:tc>
          <w:tcPr>
            <w:tcW w:w="10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Amendment No. 4 to the Registration Statement on Form S-1, File No. 333-179502, filed by the Company with the SEC on August 20,</w:t>
            </w:r>
          </w:p>
        </w:tc>
      </w:tr>
      <w:tr>
        <w:trPr>
          <w:trHeight w:val="241"/>
        </w:trPr>
        <w:tc>
          <w:tcPr>
            <w:tcW w:w="84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2012).</w:t>
            </w:r>
          </w:p>
        </w:tc>
      </w:tr>
      <w:tr>
        <w:trPr>
          <w:trHeight w:val="225"/>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4.2</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Registration Rights Agreement, dated as of October 11, 2012, by and between the Company and DB Energy Holdings LLC (incorporated</w:t>
            </w:r>
          </w:p>
        </w:tc>
      </w:tr>
      <w:tr>
        <w:trPr>
          <w:trHeight w:val="234"/>
        </w:trPr>
        <w:tc>
          <w:tcPr>
            <w:tcW w:w="840" w:type="dxa"/>
            <w:vAlign w:val="bottom"/>
          </w:tcPr>
          <w:p>
            <w:pPr>
              <w:spacing w:after="0"/>
              <w:rPr>
                <w:sz w:val="20"/>
                <w:szCs w:val="20"/>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by reference to Exhibit 4.2 to the Form 10-Q, File No. 001-35700, filed by the Company with the SEC on November 16, 2012).</w:t>
            </w:r>
          </w:p>
        </w:tc>
      </w:tr>
      <w:tr>
        <w:trPr>
          <w:trHeight w:val="27"/>
        </w:trPr>
        <w:tc>
          <w:tcPr>
            <w:tcW w:w="84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25"/>
        </w:trPr>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4.3</w:t>
            </w:r>
          </w:p>
        </w:tc>
        <w:tc>
          <w:tcPr>
            <w:tcW w:w="10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Investor Rights Agreement, dated as of October 11, 2012, by and between the Company and Gulfport Energy Corporation (incorporated by</w:t>
            </w:r>
          </w:p>
        </w:tc>
      </w:tr>
      <w:tr>
        <w:trPr>
          <w:trHeight w:val="241"/>
        </w:trPr>
        <w:tc>
          <w:tcPr>
            <w:tcW w:w="84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reference to Exhibit 4.3 to the Form 10-Q, File No. 001-35700, filed by the Company with the SEC on November 16, 2012).</w:t>
            </w:r>
          </w:p>
        </w:tc>
      </w:tr>
      <w:tr>
        <w:trPr>
          <w:trHeight w:val="225"/>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4.4</w:t>
            </w:r>
          </w:p>
        </w:tc>
        <w:tc>
          <w:tcPr>
            <w:tcW w:w="10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Indenture, dated as of October 28, 2016, among Diamondback Energy, Inc., the guarantors party thereto and Wells Fargo Bank, National</w:t>
            </w:r>
          </w:p>
        </w:tc>
      </w:tr>
      <w:tr>
        <w:trPr>
          <w:trHeight w:val="216"/>
        </w:trPr>
        <w:tc>
          <w:tcPr>
            <w:tcW w:w="840" w:type="dxa"/>
            <w:vAlign w:val="bottom"/>
          </w:tcPr>
          <w:p>
            <w:pPr>
              <w:spacing w:after="0"/>
              <w:rPr>
                <w:sz w:val="18"/>
                <w:szCs w:val="18"/>
                <w:color w:val="auto"/>
              </w:rPr>
            </w:pPr>
          </w:p>
        </w:tc>
        <w:tc>
          <w:tcPr>
            <w:tcW w:w="10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Association, as trustee (including the form of Diamondback Energy, Inc.’s 4.750 % Senior Notes due 2024) (incorporated by reference to</w:t>
            </w:r>
          </w:p>
        </w:tc>
      </w:tr>
      <w:tr>
        <w:trPr>
          <w:trHeight w:val="234"/>
        </w:trPr>
        <w:tc>
          <w:tcPr>
            <w:tcW w:w="840" w:type="dxa"/>
            <w:vAlign w:val="bottom"/>
          </w:tcPr>
          <w:p>
            <w:pPr>
              <w:spacing w:after="0"/>
              <w:rPr>
                <w:sz w:val="20"/>
                <w:szCs w:val="20"/>
                <w:color w:val="auto"/>
              </w:rPr>
            </w:pPr>
          </w:p>
        </w:tc>
        <w:tc>
          <w:tcPr>
            <w:tcW w:w="10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 4.1 to the Form 8-K , File No. 001-35700, filed by the Company with the SEC on November 2, 2016).</w:t>
            </w:r>
          </w:p>
        </w:tc>
      </w:tr>
      <w:tr>
        <w:trPr>
          <w:trHeight w:val="27"/>
        </w:trPr>
        <w:tc>
          <w:tcPr>
            <w:tcW w:w="84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25"/>
        </w:trPr>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4.5</w:t>
            </w:r>
          </w:p>
        </w:tc>
        <w:tc>
          <w:tcPr>
            <w:tcW w:w="10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Registration Rights Agreement, dated as of October 28, 2016, among Diamondback Energy, Inc., the guarantors party thereto and J.P.</w:t>
            </w:r>
          </w:p>
        </w:tc>
      </w:tr>
      <w:tr>
        <w:trPr>
          <w:trHeight w:val="216"/>
        </w:trPr>
        <w:tc>
          <w:tcPr>
            <w:tcW w:w="840" w:type="dxa"/>
            <w:vAlign w:val="bottom"/>
            <w:shd w:val="clear" w:color="auto" w:fill="CCEEFF"/>
          </w:tcPr>
          <w:p>
            <w:pPr>
              <w:spacing w:after="0"/>
              <w:rPr>
                <w:sz w:val="18"/>
                <w:szCs w:val="18"/>
                <w:color w:val="auto"/>
              </w:rPr>
            </w:pPr>
          </w:p>
        </w:tc>
        <w:tc>
          <w:tcPr>
            <w:tcW w:w="10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Morgan Securities LLC (incorporated by reference to Exhibit 4.2 to the Form 8-K , File No. 001-35700, filed by the Company with the</w:t>
            </w:r>
          </w:p>
        </w:tc>
      </w:tr>
      <w:tr>
        <w:trPr>
          <w:trHeight w:val="241"/>
        </w:trPr>
        <w:tc>
          <w:tcPr>
            <w:tcW w:w="84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 on November 2, 2016).</w:t>
            </w:r>
          </w:p>
        </w:tc>
      </w:tr>
      <w:tr>
        <w:trPr>
          <w:trHeight w:val="225"/>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4.6</w:t>
            </w:r>
          </w:p>
        </w:tc>
        <w:tc>
          <w:tcPr>
            <w:tcW w:w="10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Registration Rights Agreement, dated as of February 28, 2017, by and among Diamondback Energy, Inc., Brigham Resources, LLC,</w:t>
            </w:r>
          </w:p>
        </w:tc>
      </w:tr>
      <w:tr>
        <w:trPr>
          <w:trHeight w:val="216"/>
        </w:trPr>
        <w:tc>
          <w:tcPr>
            <w:tcW w:w="840" w:type="dxa"/>
            <w:vAlign w:val="bottom"/>
          </w:tcPr>
          <w:p>
            <w:pPr>
              <w:spacing w:after="0"/>
              <w:rPr>
                <w:sz w:val="18"/>
                <w:szCs w:val="18"/>
                <w:color w:val="auto"/>
              </w:rPr>
            </w:pPr>
          </w:p>
        </w:tc>
        <w:tc>
          <w:tcPr>
            <w:tcW w:w="10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Brigham Resources Operating, LLC and Brigham Resources Upstream Holdings, LP (incorporated by reference to Exhibit 4.1 to the Form</w:t>
            </w:r>
          </w:p>
        </w:tc>
      </w:tr>
      <w:tr>
        <w:trPr>
          <w:trHeight w:val="234"/>
        </w:trPr>
        <w:tc>
          <w:tcPr>
            <w:tcW w:w="840" w:type="dxa"/>
            <w:vAlign w:val="bottom"/>
          </w:tcPr>
          <w:p>
            <w:pPr>
              <w:spacing w:after="0"/>
              <w:rPr>
                <w:sz w:val="20"/>
                <w:szCs w:val="20"/>
                <w:color w:val="auto"/>
              </w:rPr>
            </w:pPr>
          </w:p>
        </w:tc>
        <w:tc>
          <w:tcPr>
            <w:tcW w:w="10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8-K, File No. 001-35700, filed by the Company with the SEC on March 6, 2017).</w:t>
            </w:r>
          </w:p>
        </w:tc>
      </w:tr>
      <w:tr>
        <w:trPr>
          <w:trHeight w:val="27"/>
        </w:trPr>
        <w:tc>
          <w:tcPr>
            <w:tcW w:w="84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25"/>
        </w:trPr>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31.1*</w:t>
            </w:r>
          </w:p>
        </w:tc>
        <w:tc>
          <w:tcPr>
            <w:tcW w:w="10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Certification of Chief Executive Officer of the Registrant pursuant to Rule 13a-14(a) promulgated under the Securities Exchange Act of</w:t>
            </w:r>
          </w:p>
        </w:tc>
      </w:tr>
      <w:tr>
        <w:trPr>
          <w:trHeight w:val="241"/>
        </w:trPr>
        <w:tc>
          <w:tcPr>
            <w:tcW w:w="84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1934, as amended.</w:t>
            </w:r>
          </w:p>
        </w:tc>
      </w:tr>
      <w:tr>
        <w:trPr>
          <w:trHeight w:val="225"/>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31.2*</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Certification of Chief Financial Officer of the Registrant pursuant to Rule 13a-14(a) promulgated under the Securities Exchange Act of</w:t>
            </w:r>
          </w:p>
        </w:tc>
      </w:tr>
      <w:tr>
        <w:trPr>
          <w:trHeight w:val="234"/>
        </w:trPr>
        <w:tc>
          <w:tcPr>
            <w:tcW w:w="840" w:type="dxa"/>
            <w:vAlign w:val="bottom"/>
          </w:tcPr>
          <w:p>
            <w:pPr>
              <w:spacing w:after="0"/>
              <w:rPr>
                <w:sz w:val="20"/>
                <w:szCs w:val="20"/>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1934, as amended.</w:t>
            </w:r>
          </w:p>
        </w:tc>
      </w:tr>
      <w:tr>
        <w:trPr>
          <w:trHeight w:val="27"/>
        </w:trPr>
        <w:tc>
          <w:tcPr>
            <w:tcW w:w="84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25"/>
        </w:trPr>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32.1**</w:t>
            </w:r>
          </w:p>
        </w:tc>
        <w:tc>
          <w:tcPr>
            <w:tcW w:w="10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Certification of Chief Executive Officer of the Registrant pursuant to Rule 13a-14(b) promulgated under the Securities Exchange Act of</w:t>
            </w:r>
          </w:p>
        </w:tc>
      </w:tr>
      <w:tr>
        <w:trPr>
          <w:trHeight w:val="241"/>
        </w:trPr>
        <w:tc>
          <w:tcPr>
            <w:tcW w:w="84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1934, as amended, and Section 1350 of Chapter 63 of Title 18 of the United States Code.</w:t>
            </w:r>
          </w:p>
        </w:tc>
      </w:tr>
      <w:tr>
        <w:trPr>
          <w:trHeight w:val="225"/>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32.2**</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Certification of Chief Financial Officer of the Registrant pursuant to Rule 13a-14(b) promulgated under the Securities Exchange Act of</w:t>
            </w:r>
          </w:p>
        </w:tc>
      </w:tr>
      <w:tr>
        <w:trPr>
          <w:trHeight w:val="234"/>
        </w:trPr>
        <w:tc>
          <w:tcPr>
            <w:tcW w:w="840" w:type="dxa"/>
            <w:vAlign w:val="bottom"/>
          </w:tcPr>
          <w:p>
            <w:pPr>
              <w:spacing w:after="0"/>
              <w:rPr>
                <w:sz w:val="20"/>
                <w:szCs w:val="20"/>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1934, as amended, and Section 1350 of Chapter 63 of Title 18 of the United States Code.</w:t>
            </w:r>
          </w:p>
        </w:tc>
      </w:tr>
      <w:tr>
        <w:trPr>
          <w:trHeight w:val="27"/>
        </w:trPr>
        <w:tc>
          <w:tcPr>
            <w:tcW w:w="84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43"/>
        </w:trPr>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101.INS*</w:t>
            </w:r>
          </w:p>
        </w:tc>
        <w:tc>
          <w:tcPr>
            <w:tcW w:w="10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840" w:type="dxa"/>
            <w:vAlign w:val="bottom"/>
            <w:shd w:val="clear" w:color="auto" w:fill="CCEEFF"/>
          </w:tcPr>
          <w:p>
            <w:pPr>
              <w:spacing w:after="0"/>
              <w:rPr>
                <w:sz w:val="18"/>
                <w:szCs w:val="18"/>
                <w:color w:val="auto"/>
              </w:rPr>
            </w:pPr>
          </w:p>
        </w:tc>
        <w:tc>
          <w:tcPr>
            <w:tcW w:w="10580" w:type="dxa"/>
            <w:vAlign w:val="bottom"/>
            <w:shd w:val="clear" w:color="auto" w:fill="CCEEFF"/>
          </w:tcPr>
          <w:p>
            <w:pPr>
              <w:spacing w:after="0"/>
              <w:rPr>
                <w:sz w:val="18"/>
                <w:szCs w:val="18"/>
                <w:color w:val="auto"/>
              </w:rPr>
            </w:pPr>
          </w:p>
        </w:tc>
      </w:tr>
      <w:tr>
        <w:trPr>
          <w:trHeight w:val="243"/>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101.SCH*</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840" w:type="dxa"/>
            <w:vAlign w:val="bottom"/>
          </w:tcPr>
          <w:p>
            <w:pPr>
              <w:spacing w:after="0"/>
              <w:rPr>
                <w:sz w:val="18"/>
                <w:szCs w:val="18"/>
                <w:color w:val="auto"/>
              </w:rPr>
            </w:pPr>
          </w:p>
        </w:tc>
        <w:tc>
          <w:tcPr>
            <w:tcW w:w="10580" w:type="dxa"/>
            <w:vAlign w:val="bottom"/>
          </w:tcPr>
          <w:p>
            <w:pPr>
              <w:spacing w:after="0"/>
              <w:rPr>
                <w:sz w:val="18"/>
                <w:szCs w:val="18"/>
                <w:color w:val="auto"/>
              </w:rPr>
            </w:pPr>
          </w:p>
        </w:tc>
      </w:tr>
      <w:tr>
        <w:trPr>
          <w:trHeight w:val="243"/>
        </w:trPr>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101.CAL*</w:t>
            </w:r>
          </w:p>
        </w:tc>
        <w:tc>
          <w:tcPr>
            <w:tcW w:w="10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16"/>
        </w:trPr>
        <w:tc>
          <w:tcPr>
            <w:tcW w:w="840" w:type="dxa"/>
            <w:vAlign w:val="bottom"/>
            <w:shd w:val="clear" w:color="auto" w:fill="CCEEFF"/>
          </w:tcPr>
          <w:p>
            <w:pPr>
              <w:spacing w:after="0"/>
              <w:rPr>
                <w:sz w:val="18"/>
                <w:szCs w:val="18"/>
                <w:color w:val="auto"/>
              </w:rPr>
            </w:pPr>
          </w:p>
        </w:tc>
        <w:tc>
          <w:tcPr>
            <w:tcW w:w="10580" w:type="dxa"/>
            <w:vAlign w:val="bottom"/>
            <w:shd w:val="clear" w:color="auto" w:fill="CCEEFF"/>
          </w:tcPr>
          <w:p>
            <w:pPr>
              <w:spacing w:after="0"/>
              <w:rPr>
                <w:sz w:val="18"/>
                <w:szCs w:val="18"/>
                <w:color w:val="auto"/>
              </w:rPr>
            </w:pPr>
          </w:p>
        </w:tc>
      </w:tr>
      <w:tr>
        <w:trPr>
          <w:trHeight w:val="243"/>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101.DEF*</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840" w:type="dxa"/>
            <w:vAlign w:val="bottom"/>
          </w:tcPr>
          <w:p>
            <w:pPr>
              <w:spacing w:after="0"/>
              <w:rPr>
                <w:sz w:val="18"/>
                <w:szCs w:val="18"/>
                <w:color w:val="auto"/>
              </w:rPr>
            </w:pPr>
          </w:p>
        </w:tc>
        <w:tc>
          <w:tcPr>
            <w:tcW w:w="10580" w:type="dxa"/>
            <w:vAlign w:val="bottom"/>
          </w:tcPr>
          <w:p>
            <w:pPr>
              <w:spacing w:after="0"/>
              <w:rPr>
                <w:sz w:val="18"/>
                <w:szCs w:val="18"/>
                <w:color w:val="auto"/>
              </w:rPr>
            </w:pPr>
          </w:p>
        </w:tc>
      </w:tr>
      <w:tr>
        <w:trPr>
          <w:trHeight w:val="243"/>
        </w:trPr>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101.LAB*</w:t>
            </w:r>
          </w:p>
        </w:tc>
        <w:tc>
          <w:tcPr>
            <w:tcW w:w="10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16"/>
        </w:trPr>
        <w:tc>
          <w:tcPr>
            <w:tcW w:w="840" w:type="dxa"/>
            <w:vAlign w:val="bottom"/>
            <w:shd w:val="clear" w:color="auto" w:fill="CCEEFF"/>
          </w:tcPr>
          <w:p>
            <w:pPr>
              <w:spacing w:after="0"/>
              <w:rPr>
                <w:sz w:val="18"/>
                <w:szCs w:val="18"/>
                <w:color w:val="auto"/>
              </w:rPr>
            </w:pPr>
          </w:p>
        </w:tc>
        <w:tc>
          <w:tcPr>
            <w:tcW w:w="10580" w:type="dxa"/>
            <w:vAlign w:val="bottom"/>
            <w:shd w:val="clear" w:color="auto" w:fill="CCEEFF"/>
          </w:tcPr>
          <w:p>
            <w:pPr>
              <w:spacing w:after="0"/>
              <w:rPr>
                <w:sz w:val="18"/>
                <w:szCs w:val="18"/>
                <w:color w:val="auto"/>
              </w:rPr>
            </w:pPr>
          </w:p>
        </w:tc>
      </w:tr>
      <w:tr>
        <w:trPr>
          <w:trHeight w:val="243"/>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101.PRE*</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185" w:lineRule="exact"/>
        <w:rPr>
          <w:sz w:val="20"/>
          <w:szCs w:val="20"/>
          <w:color w:val="auto"/>
        </w:rPr>
      </w:pPr>
    </w:p>
    <w:p>
      <w:pPr>
        <w:ind w:left="640" w:hanging="57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2" w:lineRule="exact"/>
        <w:rPr>
          <w:sz w:val="20"/>
          <w:szCs w:val="20"/>
          <w:color w:val="auto"/>
        </w:rPr>
      </w:pPr>
    </w:p>
    <w:p>
      <w:pPr>
        <w:jc w:val="both"/>
        <w:ind w:left="640" w:right="40" w:hanging="578"/>
        <w:spacing w:after="0" w:line="266"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576" w:right="2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DIAMONDBACK ENERGY, INC.</w:t>
            </w:r>
          </w:p>
        </w:tc>
      </w:tr>
      <w:tr>
        <w:trPr>
          <w:trHeight w:val="59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3, 2017</w:t>
            </w: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Travis D. Stice</w:t>
            </w:r>
          </w:p>
        </w:tc>
      </w:tr>
      <w:tr>
        <w:trPr>
          <w:trHeight w:val="27"/>
        </w:trPr>
        <w:tc>
          <w:tcPr>
            <w:tcW w:w="600" w:type="dxa"/>
            <w:vAlign w:val="bottom"/>
          </w:tcPr>
          <w:p>
            <w:pPr>
              <w:spacing w:after="0"/>
              <w:rPr>
                <w:sz w:val="2"/>
                <w:szCs w:val="2"/>
                <w:color w:val="auto"/>
              </w:rPr>
            </w:pPr>
          </w:p>
        </w:tc>
        <w:tc>
          <w:tcPr>
            <w:tcW w:w="57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Travis D. Stice</w:t>
            </w:r>
          </w:p>
        </w:tc>
      </w:tr>
      <w:tr>
        <w:trPr>
          <w:trHeight w:val="270"/>
        </w:trPr>
        <w:tc>
          <w:tcPr>
            <w:tcW w:w="600" w:type="dxa"/>
            <w:vAlign w:val="bottom"/>
          </w:tcPr>
          <w:p>
            <w:pPr>
              <w:spacing w:after="0"/>
              <w:rPr>
                <w:sz w:val="23"/>
                <w:szCs w:val="23"/>
                <w:color w:val="auto"/>
              </w:rPr>
            </w:pPr>
          </w:p>
        </w:tc>
        <w:tc>
          <w:tcPr>
            <w:tcW w:w="576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600" w:type="dxa"/>
            <w:vAlign w:val="bottom"/>
          </w:tcPr>
          <w:p>
            <w:pPr>
              <w:spacing w:after="0"/>
              <w:rPr>
                <w:sz w:val="23"/>
                <w:szCs w:val="23"/>
                <w:color w:val="auto"/>
              </w:rPr>
            </w:pPr>
          </w:p>
        </w:tc>
        <w:tc>
          <w:tcPr>
            <w:tcW w:w="576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6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3, 2017</w:t>
            </w: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27"/>
        </w:trPr>
        <w:tc>
          <w:tcPr>
            <w:tcW w:w="600" w:type="dxa"/>
            <w:vAlign w:val="bottom"/>
          </w:tcPr>
          <w:p>
            <w:pPr>
              <w:spacing w:after="0"/>
              <w:rPr>
                <w:sz w:val="2"/>
                <w:szCs w:val="2"/>
                <w:color w:val="auto"/>
              </w:rPr>
            </w:pPr>
          </w:p>
        </w:tc>
        <w:tc>
          <w:tcPr>
            <w:tcW w:w="57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Teresa L. Dick</w:t>
            </w:r>
          </w:p>
        </w:tc>
      </w:tr>
    </w:tbl>
    <w:p>
      <w:pPr>
        <w:spacing w:after="0" w:line="3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576"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Travis D. Stice, certify that:</w:t>
      </w:r>
    </w:p>
    <w:p>
      <w:pPr>
        <w:spacing w:after="0" w:line="90" w:lineRule="exact"/>
        <w:rPr>
          <w:sz w:val="20"/>
          <w:szCs w:val="20"/>
          <w:color w:val="auto"/>
        </w:rPr>
      </w:pPr>
    </w:p>
    <w:p>
      <w:pPr>
        <w:ind w:left="460" w:hanging="438"/>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Diamondback Energy, Inc.</w:t>
      </w:r>
    </w:p>
    <w:p>
      <w:pPr>
        <w:spacing w:after="0" w:line="90" w:lineRule="exact"/>
        <w:rPr>
          <w:rFonts w:ascii="Times New Roman" w:cs="Times New Roman" w:eastAsia="Times New Roman" w:hAnsi="Times New Roman"/>
          <w:sz w:val="18"/>
          <w:szCs w:val="18"/>
          <w:color w:val="auto"/>
        </w:rPr>
      </w:pPr>
    </w:p>
    <w:p>
      <w:pPr>
        <w:jc w:val="both"/>
        <w:ind w:left="460" w:right="500" w:hanging="438"/>
        <w:spacing w:after="0" w:line="266"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460" w:right="460" w:hanging="438"/>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460" w:right="140" w:hanging="438"/>
        <w:spacing w:after="0" w:line="266"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1"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880" w:right="20" w:hanging="440"/>
        <w:spacing w:after="0" w:line="266" w:lineRule="auto"/>
        <w:tabs>
          <w:tab w:leader="none" w:pos="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880" w:right="800" w:hanging="440"/>
        <w:spacing w:after="0" w:line="282" w:lineRule="auto"/>
        <w:tabs>
          <w:tab w:leader="none" w:pos="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880" w:right="40" w:hanging="440"/>
        <w:spacing w:after="0" w:line="266" w:lineRule="auto"/>
        <w:tabs>
          <w:tab w:leader="none" w:pos="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460" w:right="380" w:hanging="438"/>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880" w:right="220" w:hanging="440"/>
        <w:spacing w:after="0" w:line="282" w:lineRule="auto"/>
        <w:tabs>
          <w:tab w:leader="none" w:pos="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40"/>
        <w:spacing w:after="0"/>
        <w:tabs>
          <w:tab w:leader="none" w:pos="820" w:val="left"/>
          <w:tab w:leader="none" w:pos="6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3, 2017</w:t>
      </w:r>
      <w:r>
        <w:rPr>
          <w:sz w:val="20"/>
          <w:szCs w:val="20"/>
          <w:color w:val="auto"/>
        </w:rPr>
        <w:tab/>
      </w:r>
      <w:r>
        <w:rPr>
          <w:rFonts w:ascii="Times New Roman" w:cs="Times New Roman" w:eastAsia="Times New Roman" w:hAnsi="Times New Roman"/>
          <w:sz w:val="17"/>
          <w:szCs w:val="17"/>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Teresa L. Dick, certify that:</w:t>
      </w:r>
    </w:p>
    <w:p>
      <w:pPr>
        <w:spacing w:after="0" w:line="90" w:lineRule="exact"/>
        <w:rPr>
          <w:sz w:val="20"/>
          <w:szCs w:val="20"/>
          <w:color w:val="auto"/>
        </w:rPr>
      </w:pPr>
    </w:p>
    <w:p>
      <w:pPr>
        <w:ind w:left="460" w:hanging="438"/>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Diamondback Energy, Inc.</w:t>
      </w:r>
    </w:p>
    <w:p>
      <w:pPr>
        <w:spacing w:after="0" w:line="90" w:lineRule="exact"/>
        <w:rPr>
          <w:rFonts w:ascii="Times New Roman" w:cs="Times New Roman" w:eastAsia="Times New Roman" w:hAnsi="Times New Roman"/>
          <w:sz w:val="18"/>
          <w:szCs w:val="18"/>
          <w:color w:val="auto"/>
        </w:rPr>
      </w:pPr>
    </w:p>
    <w:p>
      <w:pPr>
        <w:jc w:val="both"/>
        <w:ind w:left="460" w:right="500" w:hanging="438"/>
        <w:spacing w:after="0" w:line="26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460" w:right="460" w:hanging="438"/>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460" w:right="140" w:hanging="438"/>
        <w:spacing w:after="0" w:line="26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1"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880" w:right="20" w:hanging="440"/>
        <w:spacing w:after="0" w:line="266" w:lineRule="auto"/>
        <w:tabs>
          <w:tab w:leader="none" w:pos="8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880" w:right="800" w:hanging="440"/>
        <w:spacing w:after="0" w:line="282" w:lineRule="auto"/>
        <w:tabs>
          <w:tab w:leader="none" w:pos="8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880" w:right="40" w:hanging="440"/>
        <w:spacing w:after="0" w:line="266" w:lineRule="auto"/>
        <w:tabs>
          <w:tab w:leader="none" w:pos="8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460" w:right="380" w:hanging="438"/>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880" w:right="220" w:hanging="440"/>
        <w:spacing w:after="0" w:line="282" w:lineRule="auto"/>
        <w:tabs>
          <w:tab w:leader="none" w:pos="8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40"/>
        <w:spacing w:after="0"/>
        <w:tabs>
          <w:tab w:leader="none" w:pos="600" w:val="left"/>
          <w:tab w:leader="none" w:pos="6520" w:val="left"/>
        </w:tabs>
        <w:rPr>
          <w:sz w:val="20"/>
          <w:szCs w:val="20"/>
          <w:color w:val="auto"/>
        </w:rPr>
      </w:pPr>
      <w:r>
        <w:rPr>
          <w:rFonts w:ascii="Times New Roman" w:cs="Times New Roman" w:eastAsia="Times New Roman" w:hAnsi="Times New Roman"/>
          <w:sz w:val="18"/>
          <w:szCs w:val="18"/>
          <w:color w:val="auto"/>
        </w:rPr>
        <w:t>Date:</w:t>
        <w:tab/>
        <w:t>May 3, 2017</w:t>
      </w:r>
      <w:r>
        <w:rPr>
          <w:sz w:val="20"/>
          <w:szCs w:val="20"/>
          <w:color w:val="auto"/>
        </w:rPr>
        <w:tab/>
      </w:r>
      <w:r>
        <w:rPr>
          <w:rFonts w:ascii="Times New Roman" w:cs="Times New Roman" w:eastAsia="Times New Roman" w:hAnsi="Times New Roman"/>
          <w:sz w:val="17"/>
          <w:szCs w:val="17"/>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 REPORT</w:t>
      </w:r>
    </w:p>
    <w:p>
      <w:pPr>
        <w:spacing w:after="0" w:line="175"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Diamondback Energy, Inc. (the "Company"), as filed with the Securities and Exchange Commission on the date hereof (the "Report"), the undersigned, Travis D. Stice, Chief Executive Officer of Diamondback Energy, Inc., certify, pursuant to Section 906 of the Sarbanes-Oxley Act of 2002, 18 U.S.C. Section 1350, that, to the best of my knowledge: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 (a) or 15(d) of the Securities Exchange Act of 1934 (15 U.S.C. 78m(a) or 78o(d));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600" w:val="left"/>
          <w:tab w:leader="none" w:pos="6520" w:val="left"/>
        </w:tabs>
        <w:rPr>
          <w:sz w:val="20"/>
          <w:szCs w:val="20"/>
          <w:color w:val="auto"/>
        </w:rPr>
      </w:pPr>
      <w:r>
        <w:rPr>
          <w:rFonts w:ascii="Times New Roman" w:cs="Times New Roman" w:eastAsia="Times New Roman" w:hAnsi="Times New Roman"/>
          <w:sz w:val="18"/>
          <w:szCs w:val="18"/>
          <w:color w:val="auto"/>
        </w:rPr>
        <w:t>Date:</w:t>
        <w:tab/>
        <w:t>May 3, 2017</w:t>
      </w:r>
      <w:r>
        <w:rPr>
          <w:sz w:val="20"/>
          <w:szCs w:val="20"/>
          <w:color w:val="auto"/>
        </w:rPr>
        <w:tab/>
      </w:r>
      <w:r>
        <w:rPr>
          <w:rFonts w:ascii="Times New Roman" w:cs="Times New Roman" w:eastAsia="Times New Roman" w:hAnsi="Times New Roman"/>
          <w:sz w:val="17"/>
          <w:szCs w:val="17"/>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 REPORT</w:t>
      </w:r>
    </w:p>
    <w:p>
      <w:pPr>
        <w:spacing w:after="0" w:line="175"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Diamondback Energy, Inc. (the "Company"), as filed with the Securities and Exchange Commission on the date hereof (the "Report"), the undersigned, Teresa L. Dick, Chief Financial Officer of Diamondback Energy, Inc., certify, pursuant to Section 906 of the Sarbanes-Oxley Act of 2002, 18 U.S.C. Section 1350, that, to the best of my knowledge: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 (a) or 15(d) of the Securities Exchange Act of 1934 (15 U.S.C. 78m(a) or 78o(d));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600" w:val="left"/>
          <w:tab w:leader="none" w:pos="6520" w:val="left"/>
        </w:tabs>
        <w:rPr>
          <w:sz w:val="20"/>
          <w:szCs w:val="20"/>
          <w:color w:val="auto"/>
        </w:rPr>
      </w:pPr>
      <w:r>
        <w:rPr>
          <w:rFonts w:ascii="Times New Roman" w:cs="Times New Roman" w:eastAsia="Times New Roman" w:hAnsi="Times New Roman"/>
          <w:sz w:val="18"/>
          <w:szCs w:val="18"/>
          <w:color w:val="auto"/>
        </w:rPr>
        <w:t>Date:</w:t>
        <w:tab/>
        <w:t>May 3, 2017</w:t>
      </w:r>
      <w:r>
        <w:rPr>
          <w:sz w:val="20"/>
          <w:szCs w:val="20"/>
          <w:color w:val="auto"/>
        </w:rPr>
        <w:tab/>
      </w:r>
      <w:r>
        <w:rPr>
          <w:rFonts w:ascii="Times New Roman" w:cs="Times New Roman" w:eastAsia="Times New Roman" w:hAnsi="Times New Roman"/>
          <w:sz w:val="17"/>
          <w:szCs w:val="17"/>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6"/>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2019-12-29T07:07:54Z</dcterms:created>
  <dcterms:modified xsi:type="dcterms:W3CDTF">2019-12-29T07:07:54Z</dcterms:modified>
</cp:coreProperties>
</file>