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2023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CellMar>
          <w:top w:w="28" w:type="dxa"/>
          <w:left w:w="28" w:type="dxa"/>
          <w:bottom w:w="28" w:type="dxa"/>
          <w:right w:w="28" w:type="dxa"/>
        </w:tblCellMar>
      </w:tblPr>
      <w:tblGrid>
        <w:gridCol w:w="124"/>
        <w:gridCol w:w="109"/>
        <w:gridCol w:w="109"/>
        <w:gridCol w:w="2884"/>
        <w:gridCol w:w="2884"/>
        <w:gridCol w:w="409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409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SECURITIES EXCHANGE ACT OF 1934</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001-35700 </w:t>
      </w:r>
    </w:p>
    <w:p>
      <w:pPr>
        <w:pStyle w:val="TextBody"/>
        <w:spacing w:lineRule="auto" w:line="288" w:before="0" w:after="0"/>
        <w:jc w:val="center"/>
        <w:rPr>
          <w:color w:val="000000"/>
        </w:rPr>
      </w:pPr>
      <w:r>
        <w:rPr>
          <w:color w:val="000000"/>
        </w:rPr>
        <w:t>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jc w:val="center"/>
        <w:rPr>
          <w:rFonts w:ascii="Times New Roman;sans-serif" w:hAnsi="Times New Roman;sans-serif"/>
          <w:b/>
          <w:color w:val="000000"/>
          <w:sz w:val="44"/>
        </w:rPr>
      </w:pPr>
      <w:r>
        <w:rPr>
          <w:rFonts w:ascii="Times New Roman;sans-serif" w:hAnsi="Times New Roman;sans-serif"/>
          <w:b/>
          <w:color w:val="000000"/>
          <w:sz w:val="44"/>
        </w:rPr>
        <w:t xml:space="preserve">Diamondback Energy,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tbl>
      <w:tblPr>
        <w:tblW w:w="8095" w:type="dxa"/>
        <w:jc w:val="center"/>
        <w:tblInd w:w="0" w:type="dxa"/>
        <w:tblCellMar>
          <w:top w:w="28" w:type="dxa"/>
          <w:left w:w="28" w:type="dxa"/>
          <w:bottom w:w="28" w:type="dxa"/>
          <w:right w:w="28" w:type="dxa"/>
        </w:tblCellMar>
      </w:tblPr>
      <w:tblGrid>
        <w:gridCol w:w="868"/>
        <w:gridCol w:w="761"/>
        <w:gridCol w:w="761"/>
        <w:gridCol w:w="761"/>
        <w:gridCol w:w="761"/>
        <w:gridCol w:w="781"/>
        <w:gridCol w:w="109"/>
        <w:gridCol w:w="109"/>
        <w:gridCol w:w="109"/>
        <w:gridCol w:w="896"/>
        <w:gridCol w:w="896"/>
        <w:gridCol w:w="1283"/>
      </w:tblGrid>
      <w:tr>
        <w:trPr/>
        <w:tc>
          <w:tcPr>
            <w:tcW w:w="868"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1283" w:type="dxa"/>
            <w:tcBorders/>
            <w:shd w:fill="auto" w:val="clear"/>
            <w:vAlign w:val="center"/>
          </w:tcPr>
          <w:p>
            <w:pPr>
              <w:pStyle w:val="TableContents"/>
              <w:spacing w:before="0" w:after="283"/>
              <w:rPr>
                <w:sz w:val="4"/>
                <w:szCs w:val="4"/>
              </w:rPr>
            </w:pPr>
            <w:r>
              <w:rPr>
                <w:sz w:val="4"/>
                <w:szCs w:val="4"/>
              </w:rPr>
            </w:r>
          </w:p>
        </w:tc>
      </w:tr>
      <w:tr>
        <w:trPr/>
        <w:tc>
          <w:tcPr>
            <w:tcW w:w="4693" w:type="dxa"/>
            <w:gridSpan w:val="6"/>
            <w:tcBorders/>
            <w:shd w:fill="auto" w:val="clear"/>
            <w:tcMar>
              <w:top w:w="0" w:type="dxa"/>
              <w:left w:w="0" w:type="dxa"/>
              <w:bottom w:w="0" w:type="dxa"/>
              <w:right w:w="0" w:type="dxa"/>
            </w:tcMar>
            <w:vAlign w:val="center"/>
          </w:tcPr>
          <w:p>
            <w:pPr>
              <w:pStyle w:val="TableContents"/>
              <w:spacing w:lineRule="auto" w:line="240" w:before="0" w:after="240"/>
              <w:jc w:val="center"/>
              <w:rPr>
                <w:rFonts w:ascii="Times New Roman;sans-serif" w:hAnsi="Times New Roman;sans-serif"/>
                <w:b/>
                <w:color w:val="000000"/>
                <w:sz w:val="18"/>
              </w:rPr>
            </w:pPr>
            <w:r>
              <w:rPr>
                <w:rFonts w:ascii="Times New Roman;sans-serif" w:hAnsi="Times New Roman;sans-serif"/>
                <w:b/>
                <w:color w:val="000000"/>
                <w:sz w:val="18"/>
              </w:rPr>
              <w:t>DE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3"/>
            <w:tcBorders/>
            <w:shd w:fill="auto" w:val="clear"/>
            <w:tcMar>
              <w:top w:w="0" w:type="dxa"/>
              <w:left w:w="0" w:type="dxa"/>
              <w:bottom w:w="0" w:type="dxa"/>
              <w:right w:w="0" w:type="dxa"/>
            </w:tcMar>
            <w:vAlign w:val="center"/>
          </w:tcPr>
          <w:p>
            <w:pPr>
              <w:pStyle w:val="TableContents"/>
              <w:spacing w:lineRule="auto" w:line="240" w:before="0" w:after="240"/>
              <w:jc w:val="center"/>
              <w:rPr>
                <w:rFonts w:ascii="Times New Roman;sans-serif" w:hAnsi="Times New Roman;sans-serif"/>
                <w:b/>
                <w:color w:val="000000"/>
                <w:sz w:val="18"/>
              </w:rPr>
            </w:pPr>
            <w:r>
              <w:rPr>
                <w:rFonts w:ascii="Times New Roman;sans-serif" w:hAnsi="Times New Roman;sans-serif"/>
                <w:b/>
                <w:color w:val="000000"/>
                <w:sz w:val="18"/>
              </w:rPr>
              <w:t>45-4502447</w:t>
            </w:r>
          </w:p>
        </w:tc>
      </w:tr>
      <w:tr>
        <w:trPr/>
        <w:tc>
          <w:tcPr>
            <w:tcW w:w="4693"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3"/>
            <w:tcBorders/>
            <w:shd w:fill="auto" w:val="clear"/>
            <w:tcMar>
              <w:top w:w="0" w:type="dxa"/>
              <w:left w:w="0" w:type="dxa"/>
              <w:bottom w:w="0" w:type="dxa"/>
              <w:right w:w="0" w:type="dxa"/>
            </w:tcMar>
            <w:vAlign w:val="center"/>
          </w:tcPr>
          <w:p>
            <w:pPr>
              <w:pStyle w:val="TableContents"/>
              <w:spacing w:lineRule="auto" w:line="240" w:before="0" w:after="240"/>
              <w:jc w:val="center"/>
              <w:rPr>
                <w:rFonts w:ascii="Times New Roman;sans-serif" w:hAnsi="Times New Roman;sans-serif"/>
                <w:b/>
                <w:color w:val="000000"/>
                <w:sz w:val="16"/>
              </w:rPr>
            </w:pPr>
            <w:r>
              <w:rPr>
                <w:rFonts w:ascii="Times New Roman;sans-serif" w:hAnsi="Times New Roman;sans-serif"/>
                <w:b/>
                <w:color w:val="000000"/>
                <w:sz w:val="16"/>
              </w:rPr>
              <w:t>(I.R.S. Employer Identification Number)</w:t>
            </w:r>
          </w:p>
        </w:tc>
      </w:tr>
      <w:tr>
        <w:trPr/>
        <w:tc>
          <w:tcPr>
            <w:tcW w:w="469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3"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500 West Texas Ave.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3"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Suite 100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3" w:type="dxa"/>
            <w:gridSpan w:val="6"/>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Midland, 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79701</w:t>
            </w:r>
          </w:p>
        </w:tc>
      </w:tr>
      <w:tr>
        <w:trPr/>
        <w:tc>
          <w:tcPr>
            <w:tcW w:w="4693"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spacing w:lineRule="auto" w:line="345"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(432) 221-7400 </w:t>
      </w:r>
    </w:p>
    <w:p>
      <w:pPr>
        <w:pStyle w:val="TextBody"/>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spacing w:lineRule="auto" w:line="288" w:before="0" w:after="0"/>
        <w:jc w:val="center"/>
        <w:rPr/>
      </w:pPr>
      <w:r>
        <w:rPr>
          <w:color w:val="000000"/>
        </w:rPr>
        <w:t> </w:t>
      </w:r>
      <w:r>
        <w:rPr>
          <w:rFonts w:ascii="Times New Roman;sans-serif" w:hAnsi="Times New Roman;sans-serif"/>
          <w:b w:val="false"/>
          <w:color w:val="000000"/>
          <w:sz w:val="16"/>
        </w:rPr>
        <w:t>Securities registered pursuant to Section 12(b) of the Securities Exchange Act of 1934:</w:t>
      </w:r>
    </w:p>
    <w:tbl>
      <w:tblPr>
        <w:tblW w:w="6493" w:type="dxa"/>
        <w:jc w:val="center"/>
        <w:tblInd w:w="0" w:type="dxa"/>
        <w:tblCellMar>
          <w:top w:w="28" w:type="dxa"/>
          <w:left w:w="28" w:type="dxa"/>
          <w:bottom w:w="28" w:type="dxa"/>
          <w:right w:w="28" w:type="dxa"/>
        </w:tblCellMar>
      </w:tblPr>
      <w:tblGrid>
        <w:gridCol w:w="526"/>
        <w:gridCol w:w="463"/>
        <w:gridCol w:w="466"/>
        <w:gridCol w:w="519"/>
        <w:gridCol w:w="519"/>
        <w:gridCol w:w="521"/>
        <w:gridCol w:w="1019"/>
        <w:gridCol w:w="1019"/>
        <w:gridCol w:w="1441"/>
      </w:tblGrid>
      <w:tr>
        <w:trPr/>
        <w:tc>
          <w:tcPr>
            <w:tcW w:w="526"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r>
      <w:tr>
        <w:trPr/>
        <w:tc>
          <w:tcPr>
            <w:tcW w:w="14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4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14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FANG</w:t>
            </w:r>
          </w:p>
        </w:tc>
        <w:tc>
          <w:tcPr>
            <w:tcW w:w="34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r>
      <w:tr>
        <w:trPr/>
        <w:tc>
          <w:tcPr>
            <w:tcW w:w="1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Select Market)</w:t>
            </w:r>
          </w:p>
        </w:tc>
      </w:tr>
    </w:tbl>
    <w:p>
      <w:pPr>
        <w:pStyle w:val="TextBody"/>
        <w:spacing w:before="0" w:after="0"/>
        <w:jc w:val="center"/>
        <w:rPr/>
      </w:pPr>
      <w:r>
        <w:rPr/>
      </w:r>
    </w:p>
    <w:p>
      <w:pPr>
        <w:pStyle w:val="TextBody"/>
        <w:spacing w:lineRule="auto" w:line="288" w:before="0" w:after="0"/>
        <w:jc w:val="both"/>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ans-serif" w:hAnsi="Times New Roman;sans-serif"/>
          <w:b w:val="false"/>
          <w:color w:val="000000"/>
          <w:sz w:val="18"/>
        </w:rPr>
        <w:t>Yes</w:t>
      </w:r>
      <w:r>
        <w:rPr>
          <w:color w:val="000000"/>
        </w:rPr>
        <w:t>  ☒    </w:t>
      </w:r>
      <w:r>
        <w:rPr>
          <w:rFonts w:ascii="Times New Roman;sans-serif" w:hAnsi="Times New Roman;sans-serif"/>
          <w:b w:val="false"/>
          <w:color w:val="000000"/>
          <w:sz w:val="16"/>
        </w:rPr>
        <w:t>No  </w:t>
      </w:r>
      <w:r>
        <w:rPr>
          <w:color w:val="000000"/>
        </w:rPr>
        <w:t xml:space="preserve">☐ </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color w:val="000000"/>
        </w:rPr>
        <w:t>   </w:t>
      </w:r>
      <w:r>
        <w:rPr>
          <w:rFonts w:ascii="Times New Roman;sans-serif" w:hAnsi="Times New Roman;sans-serif"/>
          <w:b w:val="false"/>
          <w:color w:val="000000"/>
          <w:sz w:val="18"/>
        </w:rPr>
        <w:t>Yes</w:t>
      </w:r>
      <w:r>
        <w:rPr>
          <w:color w:val="000000"/>
        </w:rPr>
        <w:t>  ☒    </w:t>
      </w:r>
      <w:r>
        <w:rPr>
          <w:rFonts w:ascii="Times New Roman;sans-serif" w:hAnsi="Times New Roman;sans-serif"/>
          <w:b w:val="false"/>
          <w:color w:val="000000"/>
          <w:sz w:val="16"/>
        </w:rPr>
        <w:t>No  </w:t>
      </w:r>
      <w:r>
        <w:rPr>
          <w:color w:val="000000"/>
        </w:rPr>
        <w:t xml:space="preserve">☐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5581" w:type="dxa"/>
        <w:jc w:val="left"/>
        <w:tblInd w:w="0" w:type="dxa"/>
        <w:tblCellMar>
          <w:top w:w="28" w:type="dxa"/>
          <w:left w:w="28" w:type="dxa"/>
          <w:bottom w:w="28" w:type="dxa"/>
          <w:right w:w="28" w:type="dxa"/>
        </w:tblCellMar>
      </w:tblPr>
      <w:tblGrid>
        <w:gridCol w:w="640"/>
        <w:gridCol w:w="563"/>
        <w:gridCol w:w="567"/>
        <w:gridCol w:w="109"/>
        <w:gridCol w:w="109"/>
        <w:gridCol w:w="109"/>
        <w:gridCol w:w="109"/>
        <w:gridCol w:w="109"/>
        <w:gridCol w:w="109"/>
        <w:gridCol w:w="109"/>
        <w:gridCol w:w="109"/>
        <w:gridCol w:w="109"/>
        <w:gridCol w:w="709"/>
        <w:gridCol w:w="709"/>
        <w:gridCol w:w="713"/>
        <w:gridCol w:w="109"/>
        <w:gridCol w:w="109"/>
        <w:gridCol w:w="109"/>
        <w:gridCol w:w="109"/>
        <w:gridCol w:w="109"/>
        <w:gridCol w:w="154"/>
      </w:tblGrid>
      <w:tr>
        <w:trPr/>
        <w:tc>
          <w:tcPr>
            <w:tcW w:w="640"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r>
      <w:tr>
        <w:trPr/>
        <w:tc>
          <w:tcPr>
            <w:tcW w:w="1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r>
      <w:tr>
        <w:trPr/>
        <w:tc>
          <w:tcPr>
            <w:tcW w:w="1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r>
    </w:tbl>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 </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color w:val="000000"/>
          <w:sz w:val="18"/>
        </w:rPr>
        <w:t>Indicate by check mark whether the registrant is a shell company (as defined in Rule 12b-2 of the Exchange Act).   </w:t>
      </w:r>
      <w:r>
        <w:rPr>
          <w:color w:val="000000"/>
        </w:rPr>
        <w:t> </w:t>
      </w:r>
      <w:r>
        <w:rPr>
          <w:rFonts w:ascii="Times New Roman;sans-serif" w:hAnsi="Times New Roman;sans-serif"/>
          <w:b w:val="false"/>
          <w:color w:val="000000"/>
          <w:sz w:val="16"/>
        </w:rPr>
        <w:t>Yes  </w:t>
      </w:r>
      <w:r>
        <w:rPr>
          <w:color w:val="000000"/>
        </w:rPr>
        <w:t>☐     </w:t>
      </w:r>
      <w:r>
        <w:rPr>
          <w:rFonts w:ascii="Times New Roman;sans-serif" w:hAnsi="Times New Roman;sans-serif"/>
          <w:b w:val="false"/>
          <w:color w:val="000000"/>
          <w:sz w:val="16"/>
        </w:rPr>
        <w:t>No  </w:t>
      </w:r>
      <w:r>
        <w:rPr>
          <w:color w:val="000000"/>
        </w:rPr>
        <w:t>☒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As of April 28, 2023, the registrant had 181,093,498 shares of common stock outstanding.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txbxContent>
                </v:textbox>
              </v:rect>
            </w:pict>
          </mc:Fallback>
        </mc:AlternateContent>
      </w:r>
    </w:p>
    <w:p>
      <w:pPr>
        <w:pStyle w:val="TextBody"/>
        <w:spacing w:before="0" w:after="0"/>
        <w:rPr/>
      </w:pPr>
      <w:r>
        <w:rPr/>
      </w:r>
    </w:p>
    <w:p>
      <w:pPr>
        <w:pStyle w:val="TextBody"/>
        <w:spacing w:lineRule="auto" w:line="556"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w:t>
      </w:r>
    </w:p>
    <w:p>
      <w:pPr>
        <w:pStyle w:val="TextBody"/>
        <w:spacing w:lineRule="auto" w:line="556"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spacing w:lineRule="auto" w:line="55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 ENDED MARCH 31, 2023 </w:t>
      </w:r>
    </w:p>
    <w:p>
      <w:pPr>
        <w:pStyle w:val="TextBody"/>
        <w:spacing w:lineRule="auto" w:line="556"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520" w:type="dxa"/>
        <w:jc w:val="left"/>
        <w:tblInd w:w="0" w:type="dxa"/>
        <w:tblCellMar>
          <w:top w:w="28" w:type="dxa"/>
          <w:left w:w="28" w:type="dxa"/>
          <w:bottom w:w="28" w:type="dxa"/>
          <w:right w:w="28" w:type="dxa"/>
        </w:tblCellMar>
      </w:tblPr>
      <w:tblGrid>
        <w:gridCol w:w="2889"/>
        <w:gridCol w:w="2540"/>
        <w:gridCol w:w="2550"/>
        <w:gridCol w:w="158"/>
        <w:gridCol w:w="158"/>
        <w:gridCol w:w="225"/>
      </w:tblGrid>
      <w:tr>
        <w:trPr/>
        <w:tc>
          <w:tcPr>
            <w:tcW w:w="2889" w:type="dxa"/>
            <w:tcBorders/>
            <w:shd w:fill="auto" w:val="clear"/>
            <w:vAlign w:val="center"/>
          </w:tcPr>
          <w:p>
            <w:pPr>
              <w:pStyle w:val="TableContents"/>
              <w:spacing w:before="0" w:after="283"/>
              <w:rPr>
                <w:sz w:val="4"/>
                <w:szCs w:val="4"/>
              </w:rPr>
            </w:pPr>
            <w:r>
              <w:rPr>
                <w:sz w:val="4"/>
                <w:szCs w:val="4"/>
              </w:rPr>
            </w:r>
          </w:p>
        </w:tc>
        <w:tc>
          <w:tcPr>
            <w:tcW w:w="2540" w:type="dxa"/>
            <w:tcBorders/>
            <w:shd w:fill="auto" w:val="clear"/>
            <w:vAlign w:val="center"/>
          </w:tcPr>
          <w:p>
            <w:pPr>
              <w:pStyle w:val="TableContents"/>
              <w:spacing w:before="0" w:after="283"/>
              <w:rPr>
                <w:sz w:val="4"/>
                <w:szCs w:val="4"/>
              </w:rPr>
            </w:pPr>
            <w:r>
              <w:rPr>
                <w:sz w:val="4"/>
                <w:szCs w:val="4"/>
              </w:rPr>
            </w:r>
          </w:p>
        </w:tc>
        <w:tc>
          <w:tcPr>
            <w:tcW w:w="255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797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7011061f248747c88de11895562af037_10">
              <w:r>
                <w:rPr>
                  <w:rStyle w:val="InternetLink"/>
                  <w:rFonts w:ascii="Times New Roman;sans-serif" w:hAnsi="Times New Roman;sans-serif"/>
                  <w:b w:val="false"/>
                  <w:color w:val="0000FF"/>
                  <w:sz w:val="20"/>
                  <w:u w:val="single"/>
                </w:rPr>
                <w:t>Glossary of Oil and Natural Gas Terms</w:t>
              </w:r>
            </w:hyperlink>
          </w:p>
        </w:tc>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pPr>
            <w:hyperlink w:anchor="i7011061f248747c88de11895562af037_10">
              <w:r>
                <w:rPr>
                  <w:rStyle w:val="InternetLink"/>
                  <w:rFonts w:ascii="Times New Roman;sans-serif" w:hAnsi="Times New Roman;sans-serif"/>
                  <w:b w:val="false"/>
                  <w:color w:val="0000FF"/>
                  <w:sz w:val="20"/>
                  <w:u w:val="single"/>
                </w:rPr>
                <w:t>ii</w:t>
              </w:r>
            </w:hyperlink>
          </w:p>
        </w:tc>
      </w:tr>
      <w:tr>
        <w:trPr/>
        <w:tc>
          <w:tcPr>
            <w:tcW w:w="797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7011061f248747c88de11895562af037_13">
              <w:r>
                <w:rPr>
                  <w:rStyle w:val="InternetLink"/>
                  <w:rFonts w:ascii="Times New Roman;sans-serif" w:hAnsi="Times New Roman;sans-serif"/>
                  <w:b w:val="false"/>
                  <w:color w:val="0000FF"/>
                  <w:sz w:val="20"/>
                  <w:u w:val="single"/>
                </w:rPr>
                <w:t>Glossary of Certain Other Terms</w:t>
              </w:r>
            </w:hyperlink>
          </w:p>
        </w:tc>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7011061f248747c88de11895562af037_13">
              <w:r>
                <w:rPr>
                  <w:rStyle w:val="InternetLink"/>
                  <w:rFonts w:ascii="Times New Roman;sans-serif" w:hAnsi="Times New Roman;sans-serif"/>
                  <w:b w:val="false"/>
                  <w:color w:val="0000FF"/>
                  <w:sz w:val="20"/>
                  <w:u w:val="single"/>
                </w:rPr>
                <w:t>iii</w:t>
              </w:r>
            </w:hyperlink>
          </w:p>
        </w:tc>
      </w:tr>
      <w:tr>
        <w:trPr/>
        <w:tc>
          <w:tcPr>
            <w:tcW w:w="797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7011061f248747c88de11895562af037_16">
              <w:r>
                <w:rPr>
                  <w:rStyle w:val="InternetLink"/>
                  <w:rFonts w:ascii="Times New Roman;sans-serif" w:hAnsi="Times New Roman;sans-serif"/>
                  <w:b w:val="false"/>
                  <w:color w:val="0000FF"/>
                  <w:sz w:val="20"/>
                  <w:u w:val="single"/>
                </w:rPr>
                <w:t>Cautionary Statement Regarding Forward-Looking Statements</w:t>
              </w:r>
            </w:hyperlink>
          </w:p>
        </w:tc>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7011061f248747c88de11895562af037_16">
              <w:r>
                <w:rPr>
                  <w:rStyle w:val="InternetLink"/>
                  <w:rFonts w:ascii="Times New Roman;sans-serif" w:hAnsi="Times New Roman;sans-serif"/>
                  <w:b w:val="false"/>
                  <w:color w:val="0000FF"/>
                  <w:sz w:val="20"/>
                  <w:u w:val="single"/>
                </w:rPr>
                <w:t>iv</w:t>
              </w:r>
            </w:hyperlink>
          </w:p>
        </w:tc>
      </w:tr>
      <w:tr>
        <w:trPr/>
        <w:tc>
          <w:tcPr>
            <w:tcW w:w="79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20" w:type="dxa"/>
            <w:gridSpan w:val="6"/>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7011061f248747c88de11895562af037_19">
              <w:r>
                <w:rPr>
                  <w:rStyle w:val="InternetLink"/>
                  <w:rFonts w:ascii="Times New Roman;sans-serif" w:hAnsi="Times New Roman;sans-serif"/>
                  <w:b/>
                  <w:color w:val="0000FF"/>
                  <w:sz w:val="20"/>
                  <w:u w:val="single"/>
                </w:rPr>
                <w:t>PART I. FINANCIAL INFORMATION</w:t>
              </w:r>
            </w:hyperlink>
          </w:p>
        </w:tc>
      </w:tr>
      <w:tr>
        <w:trPr/>
        <w:tc>
          <w:tcPr>
            <w:tcW w:w="797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7011061f248747c88de11895562af037_19">
              <w:r>
                <w:rPr>
                  <w:rStyle w:val="InternetLink"/>
                  <w:rFonts w:ascii="Times New Roman;sans-serif" w:hAnsi="Times New Roman;sans-serif"/>
                  <w:b w:val="false"/>
                  <w:color w:val="0000FF"/>
                  <w:sz w:val="20"/>
                  <w:u w:val="single"/>
                </w:rPr>
                <w:t>Item 1. Condensed Consolidated Financial Statements (Unaudited)</w:t>
              </w:r>
            </w:hyperlink>
          </w:p>
        </w:tc>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7011061f248747c88de11895562af037_25">
              <w:r>
                <w:rPr>
                  <w:rStyle w:val="InternetLink"/>
                  <w:rFonts w:ascii="Times New Roman;sans-serif" w:hAnsi="Times New Roman;sans-serif"/>
                  <w:b w:val="false"/>
                  <w:color w:val="0000FF"/>
                  <w:sz w:val="20"/>
                  <w:u w:val="single"/>
                </w:rPr>
                <w:t>1</w:t>
              </w:r>
            </w:hyperlink>
          </w:p>
        </w:tc>
      </w:tr>
      <w:tr>
        <w:trPr/>
        <w:tc>
          <w:tcPr>
            <w:tcW w:w="797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7011061f248747c88de11895562af037_25">
              <w:r>
                <w:rPr>
                  <w:rStyle w:val="InternetLink"/>
                  <w:rFonts w:ascii="Times New Roman;sans-serif" w:hAnsi="Times New Roman;sans-serif"/>
                  <w:b w:val="false"/>
                  <w:color w:val="0000FF"/>
                  <w:sz w:val="20"/>
                  <w:u w:val="single"/>
                </w:rPr>
                <w:t>Condensed Consolidated Balance Sheets</w:t>
              </w:r>
            </w:hyperlink>
          </w:p>
        </w:tc>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7011061f248747c88de11895562af037_25">
              <w:r>
                <w:rPr>
                  <w:rStyle w:val="InternetLink"/>
                  <w:rFonts w:ascii="Times New Roman;sans-serif" w:hAnsi="Times New Roman;sans-serif"/>
                  <w:b w:val="false"/>
                  <w:color w:val="0000FF"/>
                  <w:sz w:val="20"/>
                  <w:u w:val="single"/>
                </w:rPr>
                <w:t>1</w:t>
              </w:r>
            </w:hyperlink>
          </w:p>
        </w:tc>
      </w:tr>
      <w:tr>
        <w:trPr/>
        <w:tc>
          <w:tcPr>
            <w:tcW w:w="797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7011061f248747c88de11895562af037_28">
              <w:r>
                <w:rPr>
                  <w:rStyle w:val="InternetLink"/>
                  <w:rFonts w:ascii="Times New Roman;sans-serif" w:hAnsi="Times New Roman;sans-serif"/>
                  <w:b w:val="false"/>
                  <w:color w:val="0000FF"/>
                  <w:sz w:val="20"/>
                  <w:u w:val="single"/>
                </w:rPr>
                <w:t>Condensed Consolidated Statements of Operations</w:t>
              </w:r>
            </w:hyperlink>
          </w:p>
        </w:tc>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7011061f248747c88de11895562af037_28">
              <w:r>
                <w:rPr>
                  <w:rStyle w:val="InternetLink"/>
                  <w:rFonts w:ascii="Times New Roman;sans-serif" w:hAnsi="Times New Roman;sans-serif"/>
                  <w:b w:val="false"/>
                  <w:color w:val="0000FF"/>
                  <w:sz w:val="20"/>
                  <w:u w:val="single"/>
                </w:rPr>
                <w:t>2</w:t>
              </w:r>
            </w:hyperlink>
          </w:p>
        </w:tc>
      </w:tr>
      <w:tr>
        <w:trPr/>
        <w:tc>
          <w:tcPr>
            <w:tcW w:w="7979" w:type="dxa"/>
            <w:gridSpan w:val="3"/>
            <w:tcBorders/>
            <w:shd w:fill="auto" w:val="clear"/>
            <w:vAlign w:val="center"/>
          </w:tcPr>
          <w:p>
            <w:pPr>
              <w:pStyle w:val="TableContents"/>
              <w:spacing w:before="0" w:after="283"/>
              <w:rPr>
                <w:sz w:val="4"/>
                <w:szCs w:val="4"/>
              </w:rPr>
            </w:pPr>
            <w:r>
              <w:rPr>
                <w:sz w:val="4"/>
                <w:szCs w:val="4"/>
              </w:rPr>
            </w:r>
          </w:p>
        </w:tc>
        <w:tc>
          <w:tcPr>
            <w:tcW w:w="541" w:type="dxa"/>
            <w:gridSpan w:val="3"/>
            <w:tcBorders/>
            <w:shd w:fill="auto" w:val="clear"/>
            <w:vAlign w:val="center"/>
          </w:tcPr>
          <w:p>
            <w:pPr>
              <w:pStyle w:val="TableContents"/>
              <w:spacing w:before="0" w:after="283"/>
              <w:rPr>
                <w:sz w:val="4"/>
                <w:szCs w:val="4"/>
              </w:rPr>
            </w:pPr>
            <w:r>
              <w:rPr>
                <w:sz w:val="4"/>
                <w:szCs w:val="4"/>
              </w:rPr>
            </w:r>
          </w:p>
        </w:tc>
      </w:tr>
      <w:tr>
        <w:trPr/>
        <w:tc>
          <w:tcPr>
            <w:tcW w:w="797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7011061f248747c88de11895562af037_31">
              <w:r>
                <w:rPr>
                  <w:rStyle w:val="InternetLink"/>
                  <w:rFonts w:ascii="Times New Roman;sans-serif" w:hAnsi="Times New Roman;sans-serif"/>
                  <w:b w:val="false"/>
                  <w:color w:val="0000FF"/>
                  <w:sz w:val="20"/>
                  <w:u w:val="single"/>
                </w:rPr>
                <w:t>Condensed Consolidated Statements of Stockholders’ Equity</w:t>
              </w:r>
            </w:hyperlink>
          </w:p>
        </w:tc>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7011061f248747c88de11895562af037_31">
              <w:r>
                <w:rPr>
                  <w:rStyle w:val="InternetLink"/>
                  <w:rFonts w:ascii="Times New Roman;sans-serif" w:hAnsi="Times New Roman;sans-serif"/>
                  <w:b w:val="false"/>
                  <w:color w:val="0000FF"/>
                  <w:sz w:val="20"/>
                  <w:u w:val="single"/>
                </w:rPr>
                <w:t>3</w:t>
              </w:r>
            </w:hyperlink>
          </w:p>
        </w:tc>
      </w:tr>
      <w:tr>
        <w:trPr/>
        <w:tc>
          <w:tcPr>
            <w:tcW w:w="797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7011061f248747c88de11895562af037_34">
              <w:r>
                <w:rPr>
                  <w:rStyle w:val="InternetLink"/>
                  <w:rFonts w:ascii="Times New Roman;sans-serif" w:hAnsi="Times New Roman;sans-serif"/>
                  <w:b w:val="false"/>
                  <w:color w:val="0000FF"/>
                  <w:sz w:val="20"/>
                  <w:u w:val="single"/>
                </w:rPr>
                <w:t>Condensed Consolidated Statements of Cash Flows</w:t>
              </w:r>
            </w:hyperlink>
          </w:p>
        </w:tc>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7011061f248747c88de11895562af037_34">
              <w:r>
                <w:rPr>
                  <w:rStyle w:val="InternetLink"/>
                  <w:rFonts w:ascii="Times New Roman;sans-serif" w:hAnsi="Times New Roman;sans-serif"/>
                  <w:b w:val="false"/>
                  <w:color w:val="0000FF"/>
                  <w:sz w:val="20"/>
                  <w:u w:val="single"/>
                </w:rPr>
                <w:t>4</w:t>
              </w:r>
            </w:hyperlink>
          </w:p>
        </w:tc>
      </w:tr>
      <w:tr>
        <w:trPr/>
        <w:tc>
          <w:tcPr>
            <w:tcW w:w="797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7011061f248747c88de11895562af037_37">
              <w:r>
                <w:rPr>
                  <w:rStyle w:val="InternetLink"/>
                  <w:rFonts w:ascii="Times New Roman;sans-serif" w:hAnsi="Times New Roman;sans-serif"/>
                  <w:b w:val="false"/>
                  <w:color w:val="0000FF"/>
                  <w:sz w:val="20"/>
                  <w:u w:val="single"/>
                </w:rPr>
                <w:t>Condensed Notes to Consolidated Financial Statements</w:t>
              </w:r>
            </w:hyperlink>
          </w:p>
        </w:tc>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7011061f248747c88de11895562af037_37">
              <w:r>
                <w:rPr>
                  <w:rStyle w:val="InternetLink"/>
                  <w:rFonts w:ascii="Times New Roman;sans-serif" w:hAnsi="Times New Roman;sans-serif"/>
                  <w:b w:val="false"/>
                  <w:color w:val="0000FF"/>
                  <w:sz w:val="20"/>
                  <w:u w:val="single"/>
                </w:rPr>
                <w:t>5</w:t>
              </w:r>
            </w:hyperlink>
          </w:p>
        </w:tc>
      </w:tr>
      <w:tr>
        <w:trPr/>
        <w:tc>
          <w:tcPr>
            <w:tcW w:w="79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7011061f248747c88de11895562af037_88">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7011061f248747c88de11895562af037_88">
              <w:r>
                <w:rPr>
                  <w:rStyle w:val="InternetLink"/>
                  <w:rFonts w:ascii="Times New Roman;sans-serif" w:hAnsi="Times New Roman;sans-serif"/>
                  <w:b w:val="false"/>
                  <w:color w:val="0000FF"/>
                  <w:sz w:val="20"/>
                  <w:u w:val="single"/>
                </w:rPr>
                <w:t>23</w:t>
              </w:r>
            </w:hyperlink>
          </w:p>
        </w:tc>
      </w:tr>
      <w:tr>
        <w:trPr/>
        <w:tc>
          <w:tcPr>
            <w:tcW w:w="79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7011061f248747c88de11895562af037_133">
              <w:r>
                <w:rPr>
                  <w:rStyle w:val="InternetLink"/>
                  <w:rFonts w:ascii="Times New Roman;sans-serif" w:hAnsi="Times New Roman;sans-serif"/>
                  <w:b w:val="false"/>
                  <w:color w:val="0000FF"/>
                  <w:sz w:val="20"/>
                  <w:u w:val="single"/>
                </w:rPr>
                <w:t>Item 3. Quantitative and Qualitative Disclosures About Market Risk</w:t>
              </w:r>
            </w:hyperlink>
          </w:p>
        </w:tc>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7011061f248747c88de11895562af037_133">
              <w:r>
                <w:rPr>
                  <w:rStyle w:val="InternetLink"/>
                  <w:rFonts w:ascii="Times New Roman;sans-serif" w:hAnsi="Times New Roman;sans-serif"/>
                  <w:b w:val="false"/>
                  <w:color w:val="0000FF"/>
                  <w:sz w:val="20"/>
                  <w:u w:val="single"/>
                </w:rPr>
                <w:t>37</w:t>
              </w:r>
            </w:hyperlink>
          </w:p>
        </w:tc>
      </w:tr>
      <w:tr>
        <w:trPr/>
        <w:tc>
          <w:tcPr>
            <w:tcW w:w="79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7011061f248747c88de11895562af037_136">
              <w:r>
                <w:rPr>
                  <w:rStyle w:val="InternetLink"/>
                  <w:rFonts w:ascii="Times New Roman;sans-serif" w:hAnsi="Times New Roman;sans-serif"/>
                  <w:b w:val="false"/>
                  <w:color w:val="0000FF"/>
                  <w:sz w:val="20"/>
                  <w:u w:val="single"/>
                </w:rPr>
                <w:t>Item 4. Controls and Procedures</w:t>
              </w:r>
            </w:hyperlink>
          </w:p>
        </w:tc>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7011061f248747c88de11895562af037_136">
              <w:r>
                <w:rPr>
                  <w:rStyle w:val="InternetLink"/>
                  <w:rFonts w:ascii="Times New Roman;sans-serif" w:hAnsi="Times New Roman;sans-serif"/>
                  <w:b w:val="false"/>
                  <w:color w:val="0000FF"/>
                  <w:sz w:val="20"/>
                  <w:u w:val="single"/>
                </w:rPr>
                <w:t>38</w:t>
              </w:r>
            </w:hyperlink>
          </w:p>
        </w:tc>
      </w:tr>
      <w:tr>
        <w:trPr/>
        <w:tc>
          <w:tcPr>
            <w:tcW w:w="79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20" w:type="dxa"/>
            <w:gridSpan w:val="6"/>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7011061f248747c88de11895562af037_139">
              <w:r>
                <w:rPr>
                  <w:rStyle w:val="InternetLink"/>
                  <w:rFonts w:ascii="Times New Roman;sans-serif" w:hAnsi="Times New Roman;sans-serif"/>
                  <w:b/>
                  <w:color w:val="0000FF"/>
                  <w:sz w:val="20"/>
                  <w:u w:val="single"/>
                </w:rPr>
                <w:t>PART II. OTHER INFORMATION</w:t>
              </w:r>
            </w:hyperlink>
          </w:p>
        </w:tc>
      </w:tr>
      <w:tr>
        <w:trPr/>
        <w:tc>
          <w:tcPr>
            <w:tcW w:w="797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7011061f248747c88de11895562af037_142">
              <w:r>
                <w:rPr>
                  <w:rStyle w:val="InternetLink"/>
                  <w:rFonts w:ascii="Times New Roman;sans-serif" w:hAnsi="Times New Roman;sans-serif"/>
                  <w:b w:val="false"/>
                  <w:color w:val="0000FF"/>
                  <w:sz w:val="20"/>
                  <w:u w:val="single"/>
                </w:rPr>
                <w:t>Item 1. Legal Proceedings</w:t>
              </w:r>
            </w:hyperlink>
          </w:p>
        </w:tc>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7011061f248747c88de11895562af037_142">
              <w:r>
                <w:rPr>
                  <w:rStyle w:val="InternetLink"/>
                  <w:rFonts w:ascii="Times New Roman;sans-serif" w:hAnsi="Times New Roman;sans-serif"/>
                  <w:b w:val="false"/>
                  <w:color w:val="0000FF"/>
                  <w:sz w:val="20"/>
                  <w:u w:val="single"/>
                </w:rPr>
                <w:t>39</w:t>
              </w:r>
            </w:hyperlink>
          </w:p>
        </w:tc>
      </w:tr>
      <w:tr>
        <w:trPr/>
        <w:tc>
          <w:tcPr>
            <w:tcW w:w="79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7011061f248747c88de11895562af037_145">
              <w:r>
                <w:rPr>
                  <w:rStyle w:val="InternetLink"/>
                  <w:rFonts w:ascii="Times New Roman;sans-serif" w:hAnsi="Times New Roman;sans-serif"/>
                  <w:b w:val="false"/>
                  <w:color w:val="0000FF"/>
                  <w:sz w:val="20"/>
                  <w:u w:val="single"/>
                </w:rPr>
                <w:t>Item 1A. Risk Factors</w:t>
              </w:r>
            </w:hyperlink>
          </w:p>
        </w:tc>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7011061f248747c88de11895562af037_145">
              <w:r>
                <w:rPr>
                  <w:rStyle w:val="InternetLink"/>
                  <w:rFonts w:ascii="Times New Roman;sans-serif" w:hAnsi="Times New Roman;sans-serif"/>
                  <w:b w:val="false"/>
                  <w:color w:val="0000FF"/>
                  <w:sz w:val="20"/>
                  <w:u w:val="single"/>
                </w:rPr>
                <w:t>39</w:t>
              </w:r>
            </w:hyperlink>
          </w:p>
        </w:tc>
      </w:tr>
      <w:tr>
        <w:trPr/>
        <w:tc>
          <w:tcPr>
            <w:tcW w:w="79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7011061f248747c88de11895562af037_148">
              <w:r>
                <w:rPr>
                  <w:rStyle w:val="InternetLink"/>
                  <w:rFonts w:ascii="Times New Roman;sans-serif" w:hAnsi="Times New Roman;sans-serif"/>
                  <w:b w:val="false"/>
                  <w:color w:val="0000FF"/>
                  <w:sz w:val="20"/>
                  <w:u w:val="single"/>
                </w:rPr>
                <w:t>Item 2. Unregistered Sales of Equity Securities and Use of Proceeds</w:t>
              </w:r>
            </w:hyperlink>
          </w:p>
        </w:tc>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7011061f248747c88de11895562af037_148">
              <w:r>
                <w:rPr>
                  <w:rStyle w:val="InternetLink"/>
                  <w:rFonts w:ascii="Times New Roman;sans-serif" w:hAnsi="Times New Roman;sans-serif"/>
                  <w:b w:val="false"/>
                  <w:color w:val="0000FF"/>
                  <w:sz w:val="20"/>
                  <w:u w:val="single"/>
                </w:rPr>
                <w:t>39</w:t>
              </w:r>
            </w:hyperlink>
          </w:p>
        </w:tc>
      </w:tr>
      <w:tr>
        <w:trPr/>
        <w:tc>
          <w:tcPr>
            <w:tcW w:w="79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7011061f248747c88de11895562af037_151">
              <w:r>
                <w:rPr>
                  <w:rStyle w:val="InternetLink"/>
                  <w:rFonts w:ascii="Times New Roman;sans-serif" w:hAnsi="Times New Roman;sans-serif"/>
                  <w:b w:val="false"/>
                  <w:color w:val="0000FF"/>
                  <w:sz w:val="20"/>
                  <w:u w:val="single"/>
                </w:rPr>
                <w:t>Item 6. Exhibits</w:t>
              </w:r>
            </w:hyperlink>
          </w:p>
        </w:tc>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7011061f248747c88de11895562af037_151">
              <w:r>
                <w:rPr>
                  <w:rStyle w:val="InternetLink"/>
                  <w:rFonts w:ascii="Times New Roman;sans-serif" w:hAnsi="Times New Roman;sans-serif"/>
                  <w:b w:val="false"/>
                  <w:color w:val="0000FF"/>
                  <w:sz w:val="20"/>
                  <w:u w:val="single"/>
                </w:rPr>
                <w:t>40</w:t>
              </w:r>
            </w:hyperlink>
          </w:p>
        </w:tc>
      </w:tr>
      <w:tr>
        <w:trPr/>
        <w:tc>
          <w:tcPr>
            <w:tcW w:w="79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7011061f248747c88de11895562af037_154">
              <w:r>
                <w:rPr>
                  <w:rStyle w:val="InternetLink"/>
                  <w:rFonts w:ascii="Times New Roman;sans-serif" w:hAnsi="Times New Roman;sans-serif"/>
                  <w:b w:val="false"/>
                  <w:color w:val="0000FF"/>
                  <w:sz w:val="20"/>
                  <w:u w:val="single"/>
                </w:rPr>
                <w:t>Signatures</w:t>
              </w:r>
            </w:hyperlink>
          </w:p>
        </w:tc>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7011061f248747c88de11895562af037_154">
              <w:r>
                <w:rPr>
                  <w:rStyle w:val="InternetLink"/>
                  <w:rFonts w:ascii="Times New Roman;sans-serif" w:hAnsi="Times New Roman;sans-serif"/>
                  <w:b w:val="false"/>
                  <w:color w:val="0000FF"/>
                  <w:sz w:val="20"/>
                  <w:u w:val="single"/>
                </w:rPr>
                <w:t>41</w:t>
              </w:r>
            </w:hyperlink>
          </w:p>
        </w:tc>
      </w:tr>
    </w:tbl>
    <w:p>
      <w:pPr>
        <w:pStyle w:val="TextBody"/>
        <w:spacing w:before="0" w:after="0"/>
        <w:jc w:val="center"/>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v:rect>
            </w:pict>
          </mc:Fallback>
        </mc:AlternateContent>
      </w:r>
    </w:p>
    <w:p>
      <w:pPr>
        <w:pStyle w:val="TextBody"/>
        <w:spacing w:lineRule="auto" w:line="288" w:before="0" w:after="0"/>
        <w:rPr/>
      </w:pPr>
      <w:hyperlink w:anchor="i7011061f248747c88de11895562af037_7">
        <w:r>
          <w:rPr>
            <w:rStyle w:val="InternetLink"/>
            <w:rFonts w:ascii="Times New Roman;sans-serif" w:hAnsi="Times New Roman;sans-serif"/>
            <w:b w:val="false"/>
            <w:color w:val="0000FF"/>
            <w:sz w:val="16"/>
            <w:u w:val="single"/>
          </w:rPr>
          <w:t>Table of Contents</w:t>
        </w:r>
      </w:hyperlink>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GLOSSARY OF OIL AND NATURAL GAS TERMS</w:t>
      </w:r>
    </w:p>
    <w:p>
      <w:pPr>
        <w:pStyle w:val="TextBody"/>
        <w:spacing w:lineRule="auto" w:line="288" w:before="18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glossary of certain oil and natural gas industry terms that are used in this Quarterly Report on Form 10-Q (this “report”):</w:t>
      </w:r>
    </w:p>
    <w:tbl>
      <w:tblPr>
        <w:tblW w:w="10205" w:type="dxa"/>
        <w:jc w:val="left"/>
        <w:tblInd w:w="0" w:type="dxa"/>
        <w:tblCellMar>
          <w:top w:w="28" w:type="dxa"/>
          <w:left w:w="28" w:type="dxa"/>
          <w:bottom w:w="28" w:type="dxa"/>
          <w:right w:w="28" w:type="dxa"/>
        </w:tblCellMar>
      </w:tblPr>
      <w:tblGrid>
        <w:gridCol w:w="600"/>
        <w:gridCol w:w="313"/>
        <w:gridCol w:w="314"/>
        <w:gridCol w:w="3027"/>
        <w:gridCol w:w="2456"/>
        <w:gridCol w:w="3495"/>
      </w:tblGrid>
      <w:tr>
        <w:trPr/>
        <w:tc>
          <w:tcPr>
            <w:tcW w:w="600"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027" w:type="dxa"/>
            <w:tcBorders/>
            <w:shd w:fill="auto" w:val="clear"/>
            <w:vAlign w:val="center"/>
          </w:tcPr>
          <w:p>
            <w:pPr>
              <w:pStyle w:val="TableContents"/>
              <w:spacing w:before="0" w:after="283"/>
              <w:rPr>
                <w:sz w:val="4"/>
                <w:szCs w:val="4"/>
              </w:rPr>
            </w:pPr>
            <w:r>
              <w:rPr>
                <w:sz w:val="4"/>
                <w:szCs w:val="4"/>
              </w:rPr>
            </w:r>
          </w:p>
        </w:tc>
        <w:tc>
          <w:tcPr>
            <w:tcW w:w="2456" w:type="dxa"/>
            <w:tcBorders/>
            <w:shd w:fill="auto" w:val="clear"/>
            <w:vAlign w:val="center"/>
          </w:tcPr>
          <w:p>
            <w:pPr>
              <w:pStyle w:val="TableContents"/>
              <w:spacing w:before="0" w:after="283"/>
              <w:rPr>
                <w:sz w:val="4"/>
                <w:szCs w:val="4"/>
              </w:rPr>
            </w:pPr>
            <w:r>
              <w:rPr>
                <w:sz w:val="4"/>
                <w:szCs w:val="4"/>
              </w:rPr>
            </w:r>
          </w:p>
        </w:tc>
        <w:tc>
          <w:tcPr>
            <w:tcW w:w="3495" w:type="dxa"/>
            <w:tcBorders/>
            <w:shd w:fill="auto" w:val="clear"/>
            <w:vAlign w:val="center"/>
          </w:tcPr>
          <w:p>
            <w:pPr>
              <w:pStyle w:val="TableContents"/>
              <w:spacing w:before="0" w:after="283"/>
              <w:rPr>
                <w:sz w:val="4"/>
                <w:szCs w:val="4"/>
              </w:rPr>
            </w:pPr>
            <w:r>
              <w:rPr>
                <w:sz w:val="4"/>
                <w:szCs w:val="4"/>
              </w:rPr>
            </w:r>
          </w:p>
        </w:tc>
      </w:tr>
      <w:tr>
        <w:trPr/>
        <w:tc>
          <w:tcPr>
            <w:tcW w:w="1227" w:type="dxa"/>
            <w:gridSpan w:val="3"/>
            <w:tcBorders/>
            <w:shd w:fill="auto" w:val="clear"/>
            <w:vAlign w:val="center"/>
          </w:tcPr>
          <w:p>
            <w:pPr>
              <w:pStyle w:val="TableContents"/>
              <w:spacing w:before="0" w:after="283"/>
              <w:rPr>
                <w:sz w:val="4"/>
                <w:szCs w:val="4"/>
              </w:rPr>
            </w:pPr>
            <w:r>
              <w:rPr>
                <w:sz w:val="4"/>
                <w:szCs w:val="4"/>
              </w:rPr>
            </w:r>
          </w:p>
        </w:tc>
        <w:tc>
          <w:tcPr>
            <w:tcW w:w="8978" w:type="dxa"/>
            <w:gridSpan w:val="3"/>
            <w:tcBorders/>
            <w:shd w:fill="auto" w:val="clear"/>
            <w:vAlign w:val="center"/>
          </w:tcPr>
          <w:p>
            <w:pPr>
              <w:pStyle w:val="TableContents"/>
              <w:spacing w:before="0" w:after="283"/>
              <w:rPr>
                <w:sz w:val="4"/>
                <w:szCs w:val="4"/>
              </w:rPr>
            </w:pPr>
            <w:r>
              <w:rPr>
                <w:sz w:val="4"/>
                <w:szCs w:val="4"/>
              </w:rPr>
            </w:r>
          </w:p>
        </w:tc>
      </w:tr>
      <w:tr>
        <w:trPr/>
        <w:tc>
          <w:tcPr>
            <w:tcW w:w="12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Argus WTI Midland</w:t>
            </w:r>
          </w:p>
        </w:tc>
        <w:tc>
          <w:tcPr>
            <w:tcW w:w="897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Crude oil price index at the Permian Basin.</w:t>
            </w:r>
          </w:p>
        </w:tc>
      </w:tr>
      <w:tr>
        <w:trPr/>
        <w:tc>
          <w:tcPr>
            <w:tcW w:w="12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Basin</w:t>
            </w:r>
          </w:p>
        </w:tc>
        <w:tc>
          <w:tcPr>
            <w:tcW w:w="8978"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 large depression on the earth’s surface in which sediments accumulate.</w:t>
            </w:r>
          </w:p>
        </w:tc>
      </w:tr>
      <w:tr>
        <w:trPr/>
        <w:tc>
          <w:tcPr>
            <w:tcW w:w="12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Bbl or barrel</w:t>
            </w:r>
          </w:p>
        </w:tc>
        <w:tc>
          <w:tcPr>
            <w:tcW w:w="8978"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One stock tank barrel, or 42 U.S. gallons liquid volume, used in this report in reference to crude oil or other liquid hydrocarbons.</w:t>
            </w:r>
          </w:p>
        </w:tc>
      </w:tr>
      <w:tr>
        <w:trPr/>
        <w:tc>
          <w:tcPr>
            <w:tcW w:w="1227" w:type="dxa"/>
            <w:gridSpan w:val="3"/>
            <w:tcBorders/>
            <w:shd w:fill="auto" w:val="clear"/>
            <w:vAlign w:val="center"/>
          </w:tcPr>
          <w:p>
            <w:pPr>
              <w:pStyle w:val="TableContents"/>
              <w:spacing w:before="0" w:after="283"/>
              <w:rPr>
                <w:sz w:val="4"/>
                <w:szCs w:val="4"/>
              </w:rPr>
            </w:pPr>
            <w:r>
              <w:rPr>
                <w:sz w:val="4"/>
                <w:szCs w:val="4"/>
              </w:rPr>
            </w:r>
          </w:p>
        </w:tc>
        <w:tc>
          <w:tcPr>
            <w:tcW w:w="8978" w:type="dxa"/>
            <w:gridSpan w:val="3"/>
            <w:tcBorders/>
            <w:shd w:fill="auto" w:val="clear"/>
            <w:vAlign w:val="center"/>
          </w:tcPr>
          <w:p>
            <w:pPr>
              <w:pStyle w:val="TableContents"/>
              <w:spacing w:before="0" w:after="283"/>
              <w:rPr>
                <w:sz w:val="4"/>
                <w:szCs w:val="4"/>
              </w:rPr>
            </w:pPr>
            <w:r>
              <w:rPr>
                <w:sz w:val="4"/>
                <w:szCs w:val="4"/>
              </w:rPr>
            </w:r>
          </w:p>
        </w:tc>
      </w:tr>
      <w:tr>
        <w:trPr/>
        <w:tc>
          <w:tcPr>
            <w:tcW w:w="12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BO</w:t>
            </w:r>
          </w:p>
        </w:tc>
        <w:tc>
          <w:tcPr>
            <w:tcW w:w="8978"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One barrel of crude oil.</w:t>
            </w:r>
          </w:p>
        </w:tc>
      </w:tr>
      <w:tr>
        <w:trPr/>
        <w:tc>
          <w:tcPr>
            <w:tcW w:w="12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BO/d</w:t>
            </w:r>
          </w:p>
        </w:tc>
        <w:tc>
          <w:tcPr>
            <w:tcW w:w="8978"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One BO per day.</w:t>
            </w:r>
          </w:p>
        </w:tc>
      </w:tr>
      <w:tr>
        <w:trPr/>
        <w:tc>
          <w:tcPr>
            <w:tcW w:w="12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BOE</w:t>
            </w:r>
          </w:p>
        </w:tc>
        <w:tc>
          <w:tcPr>
            <w:tcW w:w="8978"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One barrel of oil equivalent, with six thousand cubic feet of natural gas being equivalent to one barrel of oil.</w:t>
            </w:r>
          </w:p>
        </w:tc>
      </w:tr>
      <w:tr>
        <w:trPr/>
        <w:tc>
          <w:tcPr>
            <w:tcW w:w="12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BOE/d</w:t>
            </w:r>
          </w:p>
        </w:tc>
        <w:tc>
          <w:tcPr>
            <w:tcW w:w="8978"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BOE per day.</w:t>
            </w:r>
          </w:p>
        </w:tc>
      </w:tr>
      <w:tr>
        <w:trPr/>
        <w:tc>
          <w:tcPr>
            <w:tcW w:w="12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British Thermal Unit or Btu</w:t>
            </w:r>
          </w:p>
        </w:tc>
        <w:tc>
          <w:tcPr>
            <w:tcW w:w="8978"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quantity of heat required to raise the temperature of one pound of water by one degree Fahrenheit.</w:t>
            </w:r>
          </w:p>
        </w:tc>
      </w:tr>
      <w:tr>
        <w:trPr/>
        <w:tc>
          <w:tcPr>
            <w:tcW w:w="12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Completion</w:t>
            </w:r>
          </w:p>
        </w:tc>
        <w:tc>
          <w:tcPr>
            <w:tcW w:w="8978"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process of treating a drilled well followed by the installation of permanent equipment for the production of natural gas or oil, or in the case of a dry hole, the reporting of abandonment to the appropriate agency.</w:t>
            </w:r>
          </w:p>
        </w:tc>
      </w:tr>
      <w:tr>
        <w:trPr/>
        <w:tc>
          <w:tcPr>
            <w:tcW w:w="1227" w:type="dxa"/>
            <w:gridSpan w:val="3"/>
            <w:tcBorders/>
            <w:shd w:fill="auto" w:val="clear"/>
            <w:vAlign w:val="center"/>
          </w:tcPr>
          <w:p>
            <w:pPr>
              <w:pStyle w:val="TableContents"/>
              <w:spacing w:before="0" w:after="283"/>
              <w:rPr>
                <w:sz w:val="4"/>
                <w:szCs w:val="4"/>
              </w:rPr>
            </w:pPr>
            <w:r>
              <w:rPr>
                <w:sz w:val="4"/>
                <w:szCs w:val="4"/>
              </w:rPr>
            </w:r>
          </w:p>
        </w:tc>
        <w:tc>
          <w:tcPr>
            <w:tcW w:w="8978" w:type="dxa"/>
            <w:gridSpan w:val="3"/>
            <w:tcBorders/>
            <w:shd w:fill="auto" w:val="clear"/>
            <w:vAlign w:val="center"/>
          </w:tcPr>
          <w:p>
            <w:pPr>
              <w:pStyle w:val="TableContents"/>
              <w:spacing w:before="0" w:after="283"/>
              <w:rPr>
                <w:sz w:val="4"/>
                <w:szCs w:val="4"/>
              </w:rPr>
            </w:pPr>
            <w:r>
              <w:rPr>
                <w:sz w:val="4"/>
                <w:szCs w:val="4"/>
              </w:rPr>
            </w:r>
          </w:p>
        </w:tc>
      </w:tr>
      <w:tr>
        <w:trPr/>
        <w:tc>
          <w:tcPr>
            <w:tcW w:w="1227" w:type="dxa"/>
            <w:gridSpan w:val="3"/>
            <w:tcBorders/>
            <w:shd w:fill="auto" w:val="clear"/>
            <w:vAlign w:val="center"/>
          </w:tcPr>
          <w:p>
            <w:pPr>
              <w:pStyle w:val="TableContents"/>
              <w:spacing w:before="0" w:after="283"/>
              <w:rPr>
                <w:sz w:val="4"/>
                <w:szCs w:val="4"/>
              </w:rPr>
            </w:pPr>
            <w:r>
              <w:rPr>
                <w:sz w:val="4"/>
                <w:szCs w:val="4"/>
              </w:rPr>
            </w:r>
          </w:p>
        </w:tc>
        <w:tc>
          <w:tcPr>
            <w:tcW w:w="8978" w:type="dxa"/>
            <w:gridSpan w:val="3"/>
            <w:tcBorders/>
            <w:shd w:fill="auto" w:val="clear"/>
            <w:vAlign w:val="center"/>
          </w:tcPr>
          <w:p>
            <w:pPr>
              <w:pStyle w:val="TableContents"/>
              <w:spacing w:before="0" w:after="283"/>
              <w:rPr>
                <w:sz w:val="4"/>
                <w:szCs w:val="4"/>
              </w:rPr>
            </w:pPr>
            <w:r>
              <w:rPr>
                <w:sz w:val="4"/>
                <w:szCs w:val="4"/>
              </w:rPr>
            </w:r>
          </w:p>
        </w:tc>
      </w:tr>
      <w:tr>
        <w:trPr/>
        <w:tc>
          <w:tcPr>
            <w:tcW w:w="1227" w:type="dxa"/>
            <w:gridSpan w:val="3"/>
            <w:tcBorders/>
            <w:shd w:fill="auto" w:val="clear"/>
            <w:vAlign w:val="center"/>
          </w:tcPr>
          <w:p>
            <w:pPr>
              <w:pStyle w:val="TableContents"/>
              <w:spacing w:before="0" w:after="283"/>
              <w:rPr>
                <w:sz w:val="4"/>
                <w:szCs w:val="4"/>
              </w:rPr>
            </w:pPr>
            <w:r>
              <w:rPr>
                <w:sz w:val="4"/>
                <w:szCs w:val="4"/>
              </w:rPr>
            </w:r>
          </w:p>
        </w:tc>
        <w:tc>
          <w:tcPr>
            <w:tcW w:w="8978" w:type="dxa"/>
            <w:gridSpan w:val="3"/>
            <w:tcBorders/>
            <w:shd w:fill="auto" w:val="clear"/>
            <w:vAlign w:val="center"/>
          </w:tcPr>
          <w:p>
            <w:pPr>
              <w:pStyle w:val="TableContents"/>
              <w:spacing w:before="0" w:after="283"/>
              <w:rPr>
                <w:sz w:val="4"/>
                <w:szCs w:val="4"/>
              </w:rPr>
            </w:pPr>
            <w:r>
              <w:rPr>
                <w:sz w:val="4"/>
                <w:szCs w:val="4"/>
              </w:rPr>
            </w:r>
          </w:p>
        </w:tc>
      </w:tr>
      <w:tr>
        <w:trPr/>
        <w:tc>
          <w:tcPr>
            <w:tcW w:w="1227" w:type="dxa"/>
            <w:gridSpan w:val="3"/>
            <w:tcBorders/>
            <w:shd w:fill="auto" w:val="clear"/>
            <w:vAlign w:val="center"/>
          </w:tcPr>
          <w:p>
            <w:pPr>
              <w:pStyle w:val="TableContents"/>
              <w:spacing w:before="0" w:after="283"/>
              <w:rPr>
                <w:sz w:val="4"/>
                <w:szCs w:val="4"/>
              </w:rPr>
            </w:pPr>
            <w:r>
              <w:rPr>
                <w:sz w:val="4"/>
                <w:szCs w:val="4"/>
              </w:rPr>
            </w:r>
          </w:p>
        </w:tc>
        <w:tc>
          <w:tcPr>
            <w:tcW w:w="8978" w:type="dxa"/>
            <w:gridSpan w:val="3"/>
            <w:tcBorders/>
            <w:shd w:fill="auto" w:val="clear"/>
            <w:vAlign w:val="center"/>
          </w:tcPr>
          <w:p>
            <w:pPr>
              <w:pStyle w:val="TableContents"/>
              <w:spacing w:before="0" w:after="283"/>
              <w:rPr>
                <w:sz w:val="4"/>
                <w:szCs w:val="4"/>
              </w:rPr>
            </w:pPr>
            <w:r>
              <w:rPr>
                <w:sz w:val="4"/>
                <w:szCs w:val="4"/>
              </w:rPr>
            </w:r>
          </w:p>
        </w:tc>
      </w:tr>
      <w:tr>
        <w:trPr/>
        <w:tc>
          <w:tcPr>
            <w:tcW w:w="1227" w:type="dxa"/>
            <w:gridSpan w:val="3"/>
            <w:tcBorders/>
            <w:shd w:fill="auto" w:val="clear"/>
            <w:vAlign w:val="center"/>
          </w:tcPr>
          <w:p>
            <w:pPr>
              <w:pStyle w:val="TableContents"/>
              <w:spacing w:before="0" w:after="283"/>
              <w:rPr>
                <w:sz w:val="4"/>
                <w:szCs w:val="4"/>
              </w:rPr>
            </w:pPr>
            <w:r>
              <w:rPr>
                <w:sz w:val="4"/>
                <w:szCs w:val="4"/>
              </w:rPr>
            </w:r>
          </w:p>
        </w:tc>
        <w:tc>
          <w:tcPr>
            <w:tcW w:w="8978" w:type="dxa"/>
            <w:gridSpan w:val="3"/>
            <w:tcBorders/>
            <w:shd w:fill="auto" w:val="clear"/>
            <w:vAlign w:val="center"/>
          </w:tcPr>
          <w:p>
            <w:pPr>
              <w:pStyle w:val="TableContents"/>
              <w:spacing w:before="0" w:after="283"/>
              <w:rPr>
                <w:sz w:val="4"/>
                <w:szCs w:val="4"/>
              </w:rPr>
            </w:pPr>
            <w:r>
              <w:rPr>
                <w:sz w:val="4"/>
                <w:szCs w:val="4"/>
              </w:rPr>
            </w:r>
          </w:p>
        </w:tc>
      </w:tr>
      <w:tr>
        <w:trPr/>
        <w:tc>
          <w:tcPr>
            <w:tcW w:w="1227" w:type="dxa"/>
            <w:gridSpan w:val="3"/>
            <w:tcBorders/>
            <w:shd w:fill="auto" w:val="clear"/>
            <w:vAlign w:val="center"/>
          </w:tcPr>
          <w:p>
            <w:pPr>
              <w:pStyle w:val="TableContents"/>
              <w:spacing w:before="0" w:after="283"/>
              <w:rPr>
                <w:sz w:val="4"/>
                <w:szCs w:val="4"/>
              </w:rPr>
            </w:pPr>
            <w:r>
              <w:rPr>
                <w:sz w:val="4"/>
                <w:szCs w:val="4"/>
              </w:rPr>
            </w:r>
          </w:p>
        </w:tc>
        <w:tc>
          <w:tcPr>
            <w:tcW w:w="8978" w:type="dxa"/>
            <w:gridSpan w:val="3"/>
            <w:tcBorders/>
            <w:shd w:fill="auto" w:val="clear"/>
            <w:vAlign w:val="center"/>
          </w:tcPr>
          <w:p>
            <w:pPr>
              <w:pStyle w:val="TableContents"/>
              <w:spacing w:before="0" w:after="283"/>
              <w:rPr>
                <w:sz w:val="4"/>
                <w:szCs w:val="4"/>
              </w:rPr>
            </w:pPr>
            <w:r>
              <w:rPr>
                <w:sz w:val="4"/>
                <w:szCs w:val="4"/>
              </w:rPr>
            </w:r>
          </w:p>
        </w:tc>
      </w:tr>
      <w:tr>
        <w:trPr/>
        <w:tc>
          <w:tcPr>
            <w:tcW w:w="1227" w:type="dxa"/>
            <w:gridSpan w:val="3"/>
            <w:tcBorders/>
            <w:shd w:fill="auto" w:val="clear"/>
            <w:vAlign w:val="center"/>
          </w:tcPr>
          <w:p>
            <w:pPr>
              <w:pStyle w:val="TableContents"/>
              <w:spacing w:before="0" w:after="283"/>
              <w:rPr>
                <w:sz w:val="4"/>
                <w:szCs w:val="4"/>
              </w:rPr>
            </w:pPr>
            <w:r>
              <w:rPr>
                <w:sz w:val="4"/>
                <w:szCs w:val="4"/>
              </w:rPr>
            </w:r>
          </w:p>
        </w:tc>
        <w:tc>
          <w:tcPr>
            <w:tcW w:w="8978" w:type="dxa"/>
            <w:gridSpan w:val="3"/>
            <w:tcBorders/>
            <w:shd w:fill="auto" w:val="clear"/>
            <w:vAlign w:val="center"/>
          </w:tcPr>
          <w:p>
            <w:pPr>
              <w:pStyle w:val="TableContents"/>
              <w:spacing w:before="0" w:after="283"/>
              <w:rPr>
                <w:sz w:val="4"/>
                <w:szCs w:val="4"/>
              </w:rPr>
            </w:pPr>
            <w:r>
              <w:rPr>
                <w:sz w:val="4"/>
                <w:szCs w:val="4"/>
              </w:rPr>
            </w:r>
          </w:p>
        </w:tc>
      </w:tr>
      <w:tr>
        <w:trPr/>
        <w:tc>
          <w:tcPr>
            <w:tcW w:w="1227" w:type="dxa"/>
            <w:gridSpan w:val="3"/>
            <w:tcBorders/>
            <w:shd w:fill="auto" w:val="clear"/>
            <w:vAlign w:val="center"/>
          </w:tcPr>
          <w:p>
            <w:pPr>
              <w:pStyle w:val="TableContents"/>
              <w:spacing w:before="0" w:after="283"/>
              <w:rPr>
                <w:sz w:val="4"/>
                <w:szCs w:val="4"/>
              </w:rPr>
            </w:pPr>
            <w:r>
              <w:rPr>
                <w:sz w:val="4"/>
                <w:szCs w:val="4"/>
              </w:rPr>
            </w:r>
          </w:p>
        </w:tc>
        <w:tc>
          <w:tcPr>
            <w:tcW w:w="8978" w:type="dxa"/>
            <w:gridSpan w:val="3"/>
            <w:tcBorders/>
            <w:shd w:fill="auto" w:val="clear"/>
            <w:vAlign w:val="center"/>
          </w:tcPr>
          <w:p>
            <w:pPr>
              <w:pStyle w:val="TableContents"/>
              <w:spacing w:before="0" w:after="283"/>
              <w:rPr>
                <w:sz w:val="4"/>
                <w:szCs w:val="4"/>
              </w:rPr>
            </w:pPr>
            <w:r>
              <w:rPr>
                <w:sz w:val="4"/>
                <w:szCs w:val="4"/>
              </w:rPr>
            </w:r>
          </w:p>
        </w:tc>
      </w:tr>
      <w:tr>
        <w:trPr/>
        <w:tc>
          <w:tcPr>
            <w:tcW w:w="1227" w:type="dxa"/>
            <w:gridSpan w:val="3"/>
            <w:tcBorders/>
            <w:shd w:fill="auto" w:val="clear"/>
            <w:vAlign w:val="center"/>
          </w:tcPr>
          <w:p>
            <w:pPr>
              <w:pStyle w:val="TableContents"/>
              <w:spacing w:before="0" w:after="283"/>
              <w:rPr>
                <w:sz w:val="4"/>
                <w:szCs w:val="4"/>
              </w:rPr>
            </w:pPr>
            <w:r>
              <w:rPr>
                <w:sz w:val="4"/>
                <w:szCs w:val="4"/>
              </w:rPr>
            </w:r>
          </w:p>
        </w:tc>
        <w:tc>
          <w:tcPr>
            <w:tcW w:w="8978" w:type="dxa"/>
            <w:gridSpan w:val="3"/>
            <w:tcBorders/>
            <w:shd w:fill="auto" w:val="clear"/>
            <w:vAlign w:val="center"/>
          </w:tcPr>
          <w:p>
            <w:pPr>
              <w:pStyle w:val="TableContents"/>
              <w:spacing w:before="0" w:after="283"/>
              <w:rPr>
                <w:sz w:val="4"/>
                <w:szCs w:val="4"/>
              </w:rPr>
            </w:pPr>
            <w:r>
              <w:rPr>
                <w:sz w:val="4"/>
                <w:szCs w:val="4"/>
              </w:rPr>
            </w:r>
          </w:p>
        </w:tc>
      </w:tr>
      <w:tr>
        <w:trPr/>
        <w:tc>
          <w:tcPr>
            <w:tcW w:w="1227" w:type="dxa"/>
            <w:gridSpan w:val="3"/>
            <w:tcBorders/>
            <w:shd w:fill="auto" w:val="clear"/>
            <w:vAlign w:val="center"/>
          </w:tcPr>
          <w:p>
            <w:pPr>
              <w:pStyle w:val="TableContents"/>
              <w:spacing w:before="0" w:after="283"/>
              <w:rPr>
                <w:sz w:val="4"/>
                <w:szCs w:val="4"/>
              </w:rPr>
            </w:pPr>
            <w:r>
              <w:rPr>
                <w:sz w:val="4"/>
                <w:szCs w:val="4"/>
              </w:rPr>
            </w:r>
          </w:p>
        </w:tc>
        <w:tc>
          <w:tcPr>
            <w:tcW w:w="8978" w:type="dxa"/>
            <w:gridSpan w:val="3"/>
            <w:tcBorders/>
            <w:shd w:fill="auto" w:val="clear"/>
            <w:vAlign w:val="center"/>
          </w:tcPr>
          <w:p>
            <w:pPr>
              <w:pStyle w:val="TableContents"/>
              <w:spacing w:before="0" w:after="283"/>
              <w:rPr>
                <w:sz w:val="4"/>
                <w:szCs w:val="4"/>
              </w:rPr>
            </w:pPr>
            <w:r>
              <w:rPr>
                <w:sz w:val="4"/>
                <w:szCs w:val="4"/>
              </w:rPr>
            </w:r>
          </w:p>
        </w:tc>
      </w:tr>
      <w:tr>
        <w:trPr/>
        <w:tc>
          <w:tcPr>
            <w:tcW w:w="1227" w:type="dxa"/>
            <w:gridSpan w:val="3"/>
            <w:tcBorders/>
            <w:shd w:fill="auto" w:val="clear"/>
            <w:vAlign w:val="center"/>
          </w:tcPr>
          <w:p>
            <w:pPr>
              <w:pStyle w:val="TableContents"/>
              <w:spacing w:before="0" w:after="283"/>
              <w:rPr>
                <w:sz w:val="4"/>
                <w:szCs w:val="4"/>
              </w:rPr>
            </w:pPr>
            <w:r>
              <w:rPr>
                <w:sz w:val="4"/>
                <w:szCs w:val="4"/>
              </w:rPr>
            </w:r>
          </w:p>
        </w:tc>
        <w:tc>
          <w:tcPr>
            <w:tcW w:w="8978" w:type="dxa"/>
            <w:gridSpan w:val="3"/>
            <w:tcBorders/>
            <w:shd w:fill="auto" w:val="clear"/>
            <w:vAlign w:val="center"/>
          </w:tcPr>
          <w:p>
            <w:pPr>
              <w:pStyle w:val="TableContents"/>
              <w:spacing w:before="0" w:after="283"/>
              <w:rPr>
                <w:sz w:val="4"/>
                <w:szCs w:val="4"/>
              </w:rPr>
            </w:pPr>
            <w:r>
              <w:rPr>
                <w:sz w:val="4"/>
                <w:szCs w:val="4"/>
              </w:rPr>
            </w:r>
          </w:p>
        </w:tc>
      </w:tr>
      <w:tr>
        <w:trPr/>
        <w:tc>
          <w:tcPr>
            <w:tcW w:w="1227" w:type="dxa"/>
            <w:gridSpan w:val="3"/>
            <w:tcBorders/>
            <w:shd w:fill="auto" w:val="clear"/>
            <w:vAlign w:val="center"/>
          </w:tcPr>
          <w:p>
            <w:pPr>
              <w:pStyle w:val="TableContents"/>
              <w:spacing w:before="0" w:after="283"/>
              <w:rPr>
                <w:sz w:val="4"/>
                <w:szCs w:val="4"/>
              </w:rPr>
            </w:pPr>
            <w:r>
              <w:rPr>
                <w:sz w:val="4"/>
                <w:szCs w:val="4"/>
              </w:rPr>
            </w:r>
          </w:p>
        </w:tc>
        <w:tc>
          <w:tcPr>
            <w:tcW w:w="8978" w:type="dxa"/>
            <w:gridSpan w:val="3"/>
            <w:tcBorders/>
            <w:shd w:fill="auto" w:val="clear"/>
            <w:vAlign w:val="center"/>
          </w:tcPr>
          <w:p>
            <w:pPr>
              <w:pStyle w:val="TableContents"/>
              <w:spacing w:before="0" w:after="283"/>
              <w:rPr>
                <w:sz w:val="4"/>
                <w:szCs w:val="4"/>
              </w:rPr>
            </w:pPr>
            <w:r>
              <w:rPr>
                <w:sz w:val="4"/>
                <w:szCs w:val="4"/>
              </w:rPr>
            </w:r>
          </w:p>
        </w:tc>
      </w:tr>
      <w:tr>
        <w:trPr/>
        <w:tc>
          <w:tcPr>
            <w:tcW w:w="1227" w:type="dxa"/>
            <w:gridSpan w:val="3"/>
            <w:tcBorders/>
            <w:shd w:fill="auto" w:val="clear"/>
            <w:vAlign w:val="center"/>
          </w:tcPr>
          <w:p>
            <w:pPr>
              <w:pStyle w:val="TableContents"/>
              <w:spacing w:before="0" w:after="283"/>
              <w:rPr>
                <w:sz w:val="4"/>
                <w:szCs w:val="4"/>
              </w:rPr>
            </w:pPr>
            <w:r>
              <w:rPr>
                <w:sz w:val="4"/>
                <w:szCs w:val="4"/>
              </w:rPr>
            </w:r>
          </w:p>
        </w:tc>
        <w:tc>
          <w:tcPr>
            <w:tcW w:w="8978" w:type="dxa"/>
            <w:gridSpan w:val="3"/>
            <w:tcBorders/>
            <w:shd w:fill="auto" w:val="clear"/>
            <w:vAlign w:val="center"/>
          </w:tcPr>
          <w:p>
            <w:pPr>
              <w:pStyle w:val="TableContents"/>
              <w:spacing w:before="0" w:after="283"/>
              <w:rPr>
                <w:sz w:val="4"/>
                <w:szCs w:val="4"/>
              </w:rPr>
            </w:pPr>
            <w:r>
              <w:rPr>
                <w:sz w:val="4"/>
                <w:szCs w:val="4"/>
              </w:rPr>
            </w:r>
          </w:p>
        </w:tc>
      </w:tr>
      <w:tr>
        <w:trPr/>
        <w:tc>
          <w:tcPr>
            <w:tcW w:w="12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Gross acres or gross wells</w:t>
            </w:r>
          </w:p>
        </w:tc>
        <w:tc>
          <w:tcPr>
            <w:tcW w:w="8978"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total acres or wells, as the case may be, in which a working interest is owned.</w:t>
            </w:r>
          </w:p>
        </w:tc>
      </w:tr>
      <w:tr>
        <w:trPr/>
        <w:tc>
          <w:tcPr>
            <w:tcW w:w="1227" w:type="dxa"/>
            <w:gridSpan w:val="3"/>
            <w:tcBorders/>
            <w:shd w:fill="auto" w:val="clear"/>
            <w:vAlign w:val="center"/>
          </w:tcPr>
          <w:p>
            <w:pPr>
              <w:pStyle w:val="TableContents"/>
              <w:spacing w:before="0" w:after="283"/>
              <w:rPr>
                <w:sz w:val="4"/>
                <w:szCs w:val="4"/>
              </w:rPr>
            </w:pPr>
            <w:r>
              <w:rPr>
                <w:sz w:val="4"/>
                <w:szCs w:val="4"/>
              </w:rPr>
            </w:r>
          </w:p>
        </w:tc>
        <w:tc>
          <w:tcPr>
            <w:tcW w:w="8978" w:type="dxa"/>
            <w:gridSpan w:val="3"/>
            <w:tcBorders/>
            <w:shd w:fill="auto" w:val="clear"/>
            <w:vAlign w:val="center"/>
          </w:tcPr>
          <w:p>
            <w:pPr>
              <w:pStyle w:val="TableContents"/>
              <w:spacing w:before="0" w:after="283"/>
              <w:rPr>
                <w:sz w:val="4"/>
                <w:szCs w:val="4"/>
              </w:rPr>
            </w:pPr>
            <w:r>
              <w:rPr>
                <w:sz w:val="4"/>
                <w:szCs w:val="4"/>
              </w:rPr>
            </w:r>
          </w:p>
        </w:tc>
      </w:tr>
      <w:tr>
        <w:trPr/>
        <w:tc>
          <w:tcPr>
            <w:tcW w:w="12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Henry Hub</w:t>
            </w:r>
          </w:p>
        </w:tc>
        <w:tc>
          <w:tcPr>
            <w:tcW w:w="8978"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Louisiana natural gas pricing index.</w:t>
            </w:r>
          </w:p>
        </w:tc>
      </w:tr>
      <w:tr>
        <w:trPr/>
        <w:tc>
          <w:tcPr>
            <w:tcW w:w="12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Horizontal wells</w:t>
            </w:r>
          </w:p>
        </w:tc>
        <w:tc>
          <w:tcPr>
            <w:tcW w:w="8978"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Wells drilled directionally horizontal to allow for development of structures not reachable through traditional vertical drilling mechanisms.</w:t>
            </w:r>
          </w:p>
        </w:tc>
      </w:tr>
      <w:tr>
        <w:trPr/>
        <w:tc>
          <w:tcPr>
            <w:tcW w:w="1227" w:type="dxa"/>
            <w:gridSpan w:val="3"/>
            <w:tcBorders/>
            <w:shd w:fill="auto" w:val="clear"/>
            <w:vAlign w:val="center"/>
          </w:tcPr>
          <w:p>
            <w:pPr>
              <w:pStyle w:val="TableContents"/>
              <w:spacing w:before="0" w:after="283"/>
              <w:rPr>
                <w:sz w:val="4"/>
                <w:szCs w:val="4"/>
              </w:rPr>
            </w:pPr>
            <w:r>
              <w:rPr>
                <w:sz w:val="4"/>
                <w:szCs w:val="4"/>
              </w:rPr>
            </w:r>
          </w:p>
        </w:tc>
        <w:tc>
          <w:tcPr>
            <w:tcW w:w="8978" w:type="dxa"/>
            <w:gridSpan w:val="3"/>
            <w:tcBorders/>
            <w:shd w:fill="auto" w:val="clear"/>
            <w:vAlign w:val="center"/>
          </w:tcPr>
          <w:p>
            <w:pPr>
              <w:pStyle w:val="TableContents"/>
              <w:spacing w:before="0" w:after="283"/>
              <w:rPr>
                <w:sz w:val="4"/>
                <w:szCs w:val="4"/>
              </w:rPr>
            </w:pPr>
            <w:r>
              <w:rPr>
                <w:sz w:val="4"/>
                <w:szCs w:val="4"/>
              </w:rPr>
            </w:r>
          </w:p>
        </w:tc>
      </w:tr>
      <w:tr>
        <w:trPr/>
        <w:tc>
          <w:tcPr>
            <w:tcW w:w="1227" w:type="dxa"/>
            <w:gridSpan w:val="3"/>
            <w:tcBorders/>
            <w:shd w:fill="auto" w:val="clear"/>
            <w:vAlign w:val="center"/>
          </w:tcPr>
          <w:p>
            <w:pPr>
              <w:pStyle w:val="TableContents"/>
              <w:spacing w:before="0" w:after="283"/>
              <w:rPr>
                <w:sz w:val="4"/>
                <w:szCs w:val="4"/>
              </w:rPr>
            </w:pPr>
            <w:r>
              <w:rPr>
                <w:sz w:val="4"/>
                <w:szCs w:val="4"/>
              </w:rPr>
            </w:r>
          </w:p>
        </w:tc>
        <w:tc>
          <w:tcPr>
            <w:tcW w:w="8978" w:type="dxa"/>
            <w:gridSpan w:val="3"/>
            <w:tcBorders/>
            <w:shd w:fill="auto" w:val="clear"/>
            <w:vAlign w:val="center"/>
          </w:tcPr>
          <w:p>
            <w:pPr>
              <w:pStyle w:val="TableContents"/>
              <w:spacing w:before="0" w:after="283"/>
              <w:rPr>
                <w:sz w:val="4"/>
                <w:szCs w:val="4"/>
              </w:rPr>
            </w:pPr>
            <w:r>
              <w:rPr>
                <w:sz w:val="4"/>
                <w:szCs w:val="4"/>
              </w:rPr>
            </w:r>
          </w:p>
        </w:tc>
      </w:tr>
      <w:tr>
        <w:trPr/>
        <w:tc>
          <w:tcPr>
            <w:tcW w:w="1227" w:type="dxa"/>
            <w:gridSpan w:val="3"/>
            <w:tcBorders/>
            <w:shd w:fill="auto" w:val="clear"/>
            <w:vAlign w:val="center"/>
          </w:tcPr>
          <w:p>
            <w:pPr>
              <w:pStyle w:val="TableContents"/>
              <w:spacing w:before="0" w:after="283"/>
              <w:rPr>
                <w:sz w:val="4"/>
                <w:szCs w:val="4"/>
              </w:rPr>
            </w:pPr>
            <w:r>
              <w:rPr>
                <w:sz w:val="4"/>
                <w:szCs w:val="4"/>
              </w:rPr>
            </w:r>
          </w:p>
        </w:tc>
        <w:tc>
          <w:tcPr>
            <w:tcW w:w="8978" w:type="dxa"/>
            <w:gridSpan w:val="3"/>
            <w:tcBorders/>
            <w:shd w:fill="auto" w:val="clear"/>
            <w:vAlign w:val="center"/>
          </w:tcPr>
          <w:p>
            <w:pPr>
              <w:pStyle w:val="TableContents"/>
              <w:spacing w:before="0" w:after="283"/>
              <w:rPr>
                <w:sz w:val="4"/>
                <w:szCs w:val="4"/>
              </w:rPr>
            </w:pPr>
            <w:r>
              <w:rPr>
                <w:sz w:val="4"/>
                <w:szCs w:val="4"/>
              </w:rPr>
            </w:r>
          </w:p>
        </w:tc>
      </w:tr>
      <w:tr>
        <w:trPr/>
        <w:tc>
          <w:tcPr>
            <w:tcW w:w="12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MBbl</w:t>
            </w:r>
          </w:p>
        </w:tc>
        <w:tc>
          <w:tcPr>
            <w:tcW w:w="8978"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One thousand barrels of crude oil and other liquid hydrocarbons.</w:t>
            </w:r>
          </w:p>
        </w:tc>
      </w:tr>
      <w:tr>
        <w:trPr/>
        <w:tc>
          <w:tcPr>
            <w:tcW w:w="1227" w:type="dxa"/>
            <w:gridSpan w:val="3"/>
            <w:tcBorders/>
            <w:shd w:fill="auto" w:val="clear"/>
            <w:vAlign w:val="center"/>
          </w:tcPr>
          <w:p>
            <w:pPr>
              <w:pStyle w:val="TableContents"/>
              <w:spacing w:before="0" w:after="283"/>
              <w:rPr>
                <w:sz w:val="4"/>
                <w:szCs w:val="4"/>
              </w:rPr>
            </w:pPr>
            <w:r>
              <w:rPr>
                <w:sz w:val="4"/>
                <w:szCs w:val="4"/>
              </w:rPr>
            </w:r>
          </w:p>
        </w:tc>
        <w:tc>
          <w:tcPr>
            <w:tcW w:w="8978" w:type="dxa"/>
            <w:gridSpan w:val="3"/>
            <w:tcBorders/>
            <w:shd w:fill="auto" w:val="clear"/>
            <w:vAlign w:val="center"/>
          </w:tcPr>
          <w:p>
            <w:pPr>
              <w:pStyle w:val="TableContents"/>
              <w:spacing w:before="0" w:after="283"/>
              <w:rPr>
                <w:sz w:val="4"/>
                <w:szCs w:val="4"/>
              </w:rPr>
            </w:pPr>
            <w:r>
              <w:rPr>
                <w:sz w:val="4"/>
                <w:szCs w:val="4"/>
              </w:rPr>
            </w:r>
          </w:p>
        </w:tc>
      </w:tr>
      <w:tr>
        <w:trPr/>
        <w:tc>
          <w:tcPr>
            <w:tcW w:w="12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MBOE</w:t>
            </w:r>
          </w:p>
        </w:tc>
        <w:tc>
          <w:tcPr>
            <w:tcW w:w="8978"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One thousand BOE.</w:t>
            </w:r>
          </w:p>
        </w:tc>
      </w:tr>
      <w:tr>
        <w:trPr/>
        <w:tc>
          <w:tcPr>
            <w:tcW w:w="12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MBOE/d</w:t>
            </w:r>
          </w:p>
        </w:tc>
        <w:tc>
          <w:tcPr>
            <w:tcW w:w="8978"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One thousand BOE per day.</w:t>
            </w:r>
          </w:p>
        </w:tc>
      </w:tr>
      <w:tr>
        <w:trPr/>
        <w:tc>
          <w:tcPr>
            <w:tcW w:w="12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Mcf</w:t>
            </w:r>
          </w:p>
        </w:tc>
        <w:tc>
          <w:tcPr>
            <w:tcW w:w="8978"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One thousand cubic feet of natural gas.</w:t>
            </w:r>
          </w:p>
        </w:tc>
      </w:tr>
      <w:tr>
        <w:trPr/>
        <w:tc>
          <w:tcPr>
            <w:tcW w:w="1227" w:type="dxa"/>
            <w:gridSpan w:val="3"/>
            <w:tcBorders/>
            <w:shd w:fill="auto" w:val="clear"/>
            <w:vAlign w:val="center"/>
          </w:tcPr>
          <w:p>
            <w:pPr>
              <w:pStyle w:val="TableContents"/>
              <w:spacing w:before="0" w:after="283"/>
              <w:rPr>
                <w:sz w:val="4"/>
                <w:szCs w:val="4"/>
              </w:rPr>
            </w:pPr>
            <w:r>
              <w:rPr>
                <w:sz w:val="4"/>
                <w:szCs w:val="4"/>
              </w:rPr>
            </w:r>
          </w:p>
        </w:tc>
        <w:tc>
          <w:tcPr>
            <w:tcW w:w="8978" w:type="dxa"/>
            <w:gridSpan w:val="3"/>
            <w:tcBorders/>
            <w:shd w:fill="auto" w:val="clear"/>
            <w:vAlign w:val="center"/>
          </w:tcPr>
          <w:p>
            <w:pPr>
              <w:pStyle w:val="TableContents"/>
              <w:spacing w:before="0" w:after="283"/>
              <w:rPr>
                <w:sz w:val="4"/>
                <w:szCs w:val="4"/>
              </w:rPr>
            </w:pPr>
            <w:r>
              <w:rPr>
                <w:sz w:val="4"/>
                <w:szCs w:val="4"/>
              </w:rPr>
            </w:r>
          </w:p>
        </w:tc>
      </w:tr>
      <w:tr>
        <w:trPr/>
        <w:tc>
          <w:tcPr>
            <w:tcW w:w="12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Mineral interests</w:t>
            </w:r>
          </w:p>
        </w:tc>
        <w:tc>
          <w:tcPr>
            <w:tcW w:w="8978"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interests in ownership of the resource and mineral rights, giving an owner the right to profit from the extracted resources.</w:t>
            </w:r>
          </w:p>
        </w:tc>
      </w:tr>
      <w:tr>
        <w:trPr/>
        <w:tc>
          <w:tcPr>
            <w:tcW w:w="12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MMBtu</w:t>
            </w:r>
          </w:p>
        </w:tc>
        <w:tc>
          <w:tcPr>
            <w:tcW w:w="8978"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One million British Thermal Units.</w:t>
            </w:r>
          </w:p>
        </w:tc>
      </w:tr>
      <w:tr>
        <w:trPr/>
        <w:tc>
          <w:tcPr>
            <w:tcW w:w="12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MMcf</w:t>
            </w:r>
          </w:p>
        </w:tc>
        <w:tc>
          <w:tcPr>
            <w:tcW w:w="8978"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Million cubic feet of natural gas.</w:t>
            </w:r>
          </w:p>
        </w:tc>
      </w:tr>
      <w:tr>
        <w:trPr/>
        <w:tc>
          <w:tcPr>
            <w:tcW w:w="12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acres or net wells</w:t>
            </w:r>
          </w:p>
        </w:tc>
        <w:tc>
          <w:tcPr>
            <w:tcW w:w="8978"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sum of the fractional working interest owned in gross acres.</w:t>
            </w:r>
          </w:p>
        </w:tc>
      </w:tr>
      <w:tr>
        <w:trPr/>
        <w:tc>
          <w:tcPr>
            <w:tcW w:w="1227" w:type="dxa"/>
            <w:gridSpan w:val="3"/>
            <w:tcBorders/>
            <w:shd w:fill="auto" w:val="clear"/>
            <w:vAlign w:val="center"/>
          </w:tcPr>
          <w:p>
            <w:pPr>
              <w:pStyle w:val="TableContents"/>
              <w:spacing w:before="0" w:after="283"/>
              <w:rPr>
                <w:sz w:val="4"/>
                <w:szCs w:val="4"/>
              </w:rPr>
            </w:pPr>
            <w:r>
              <w:rPr>
                <w:sz w:val="4"/>
                <w:szCs w:val="4"/>
              </w:rPr>
            </w:r>
          </w:p>
        </w:tc>
        <w:tc>
          <w:tcPr>
            <w:tcW w:w="8978" w:type="dxa"/>
            <w:gridSpan w:val="3"/>
            <w:tcBorders/>
            <w:shd w:fill="auto" w:val="clear"/>
            <w:vAlign w:val="center"/>
          </w:tcPr>
          <w:p>
            <w:pPr>
              <w:pStyle w:val="TableContents"/>
              <w:spacing w:before="0" w:after="283"/>
              <w:rPr>
                <w:sz w:val="4"/>
                <w:szCs w:val="4"/>
              </w:rPr>
            </w:pPr>
            <w:r>
              <w:rPr>
                <w:sz w:val="4"/>
                <w:szCs w:val="4"/>
              </w:rPr>
            </w:r>
          </w:p>
        </w:tc>
      </w:tr>
      <w:tr>
        <w:trPr/>
        <w:tc>
          <w:tcPr>
            <w:tcW w:w="1227" w:type="dxa"/>
            <w:gridSpan w:val="3"/>
            <w:tcBorders/>
            <w:shd w:fill="auto" w:val="clear"/>
            <w:vAlign w:val="center"/>
          </w:tcPr>
          <w:p>
            <w:pPr>
              <w:pStyle w:val="TableContents"/>
              <w:spacing w:before="0" w:after="283"/>
              <w:rPr>
                <w:sz w:val="4"/>
                <w:szCs w:val="4"/>
              </w:rPr>
            </w:pPr>
            <w:r>
              <w:rPr>
                <w:sz w:val="4"/>
                <w:szCs w:val="4"/>
              </w:rPr>
            </w:r>
          </w:p>
        </w:tc>
        <w:tc>
          <w:tcPr>
            <w:tcW w:w="8978" w:type="dxa"/>
            <w:gridSpan w:val="3"/>
            <w:tcBorders/>
            <w:shd w:fill="auto" w:val="clear"/>
            <w:vAlign w:val="center"/>
          </w:tcPr>
          <w:p>
            <w:pPr>
              <w:pStyle w:val="TableContents"/>
              <w:spacing w:before="0" w:after="283"/>
              <w:rPr>
                <w:sz w:val="4"/>
                <w:szCs w:val="4"/>
              </w:rPr>
            </w:pPr>
            <w:r>
              <w:rPr>
                <w:sz w:val="4"/>
                <w:szCs w:val="4"/>
              </w:rPr>
            </w:r>
          </w:p>
        </w:tc>
      </w:tr>
      <w:tr>
        <w:trPr/>
        <w:tc>
          <w:tcPr>
            <w:tcW w:w="12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Oil and natural gas properties</w:t>
            </w:r>
          </w:p>
        </w:tc>
        <w:tc>
          <w:tcPr>
            <w:tcW w:w="8978"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Tracts of land consisting of properties to be developed for oil and natural gas resource extraction.</w:t>
            </w:r>
          </w:p>
        </w:tc>
      </w:tr>
      <w:tr>
        <w:trPr/>
        <w:tc>
          <w:tcPr>
            <w:tcW w:w="1227" w:type="dxa"/>
            <w:gridSpan w:val="3"/>
            <w:tcBorders/>
            <w:shd w:fill="auto" w:val="clear"/>
            <w:vAlign w:val="center"/>
          </w:tcPr>
          <w:p>
            <w:pPr>
              <w:pStyle w:val="TableContents"/>
              <w:spacing w:before="0" w:after="283"/>
              <w:rPr>
                <w:sz w:val="4"/>
                <w:szCs w:val="4"/>
              </w:rPr>
            </w:pPr>
            <w:r>
              <w:rPr>
                <w:sz w:val="4"/>
                <w:szCs w:val="4"/>
              </w:rPr>
            </w:r>
          </w:p>
        </w:tc>
        <w:tc>
          <w:tcPr>
            <w:tcW w:w="8978" w:type="dxa"/>
            <w:gridSpan w:val="3"/>
            <w:tcBorders/>
            <w:shd w:fill="auto" w:val="clear"/>
            <w:vAlign w:val="center"/>
          </w:tcPr>
          <w:p>
            <w:pPr>
              <w:pStyle w:val="TableContents"/>
              <w:spacing w:before="0" w:after="283"/>
              <w:rPr>
                <w:sz w:val="4"/>
                <w:szCs w:val="4"/>
              </w:rPr>
            </w:pPr>
            <w:r>
              <w:rPr>
                <w:sz w:val="4"/>
                <w:szCs w:val="4"/>
              </w:rPr>
            </w:r>
          </w:p>
        </w:tc>
      </w:tr>
      <w:tr>
        <w:trPr/>
        <w:tc>
          <w:tcPr>
            <w:tcW w:w="1227" w:type="dxa"/>
            <w:gridSpan w:val="3"/>
            <w:tcBorders/>
            <w:shd w:fill="auto" w:val="clear"/>
            <w:vAlign w:val="center"/>
          </w:tcPr>
          <w:p>
            <w:pPr>
              <w:pStyle w:val="TableContents"/>
              <w:spacing w:before="0" w:after="283"/>
              <w:rPr>
                <w:sz w:val="4"/>
                <w:szCs w:val="4"/>
              </w:rPr>
            </w:pPr>
            <w:r>
              <w:rPr>
                <w:sz w:val="4"/>
                <w:szCs w:val="4"/>
              </w:rPr>
            </w:r>
          </w:p>
        </w:tc>
        <w:tc>
          <w:tcPr>
            <w:tcW w:w="8978" w:type="dxa"/>
            <w:gridSpan w:val="3"/>
            <w:tcBorders/>
            <w:shd w:fill="auto" w:val="clear"/>
            <w:vAlign w:val="center"/>
          </w:tcPr>
          <w:p>
            <w:pPr>
              <w:pStyle w:val="TableContents"/>
              <w:spacing w:before="0" w:after="283"/>
              <w:rPr>
                <w:sz w:val="4"/>
                <w:szCs w:val="4"/>
              </w:rPr>
            </w:pPr>
            <w:r>
              <w:rPr>
                <w:sz w:val="4"/>
                <w:szCs w:val="4"/>
              </w:rPr>
            </w:r>
          </w:p>
        </w:tc>
      </w:tr>
      <w:tr>
        <w:trPr/>
        <w:tc>
          <w:tcPr>
            <w:tcW w:w="1227" w:type="dxa"/>
            <w:gridSpan w:val="3"/>
            <w:tcBorders/>
            <w:shd w:fill="auto" w:val="clear"/>
            <w:vAlign w:val="center"/>
          </w:tcPr>
          <w:p>
            <w:pPr>
              <w:pStyle w:val="TableContents"/>
              <w:spacing w:before="0" w:after="283"/>
              <w:rPr>
                <w:sz w:val="4"/>
                <w:szCs w:val="4"/>
              </w:rPr>
            </w:pPr>
            <w:r>
              <w:rPr>
                <w:sz w:val="4"/>
                <w:szCs w:val="4"/>
              </w:rPr>
            </w:r>
          </w:p>
        </w:tc>
        <w:tc>
          <w:tcPr>
            <w:tcW w:w="8978" w:type="dxa"/>
            <w:gridSpan w:val="3"/>
            <w:tcBorders/>
            <w:shd w:fill="auto" w:val="clear"/>
            <w:vAlign w:val="center"/>
          </w:tcPr>
          <w:p>
            <w:pPr>
              <w:pStyle w:val="TableContents"/>
              <w:spacing w:before="0" w:after="283"/>
              <w:rPr>
                <w:sz w:val="4"/>
                <w:szCs w:val="4"/>
              </w:rPr>
            </w:pPr>
            <w:r>
              <w:rPr>
                <w:sz w:val="4"/>
                <w:szCs w:val="4"/>
              </w:rPr>
            </w:r>
          </w:p>
        </w:tc>
      </w:tr>
      <w:tr>
        <w:trPr/>
        <w:tc>
          <w:tcPr>
            <w:tcW w:w="1227" w:type="dxa"/>
            <w:gridSpan w:val="3"/>
            <w:tcBorders/>
            <w:shd w:fill="auto" w:val="clear"/>
            <w:vAlign w:val="center"/>
          </w:tcPr>
          <w:p>
            <w:pPr>
              <w:pStyle w:val="TableContents"/>
              <w:spacing w:before="0" w:after="283"/>
              <w:rPr>
                <w:sz w:val="4"/>
                <w:szCs w:val="4"/>
              </w:rPr>
            </w:pPr>
            <w:r>
              <w:rPr>
                <w:sz w:val="4"/>
                <w:szCs w:val="4"/>
              </w:rPr>
            </w:r>
          </w:p>
        </w:tc>
        <w:tc>
          <w:tcPr>
            <w:tcW w:w="8978" w:type="dxa"/>
            <w:gridSpan w:val="3"/>
            <w:tcBorders/>
            <w:shd w:fill="auto" w:val="clear"/>
            <w:vAlign w:val="center"/>
          </w:tcPr>
          <w:p>
            <w:pPr>
              <w:pStyle w:val="TableContents"/>
              <w:spacing w:before="0" w:after="283"/>
              <w:rPr>
                <w:sz w:val="4"/>
                <w:szCs w:val="4"/>
              </w:rPr>
            </w:pPr>
            <w:r>
              <w:rPr>
                <w:sz w:val="4"/>
                <w:szCs w:val="4"/>
              </w:rPr>
            </w:r>
          </w:p>
        </w:tc>
      </w:tr>
      <w:tr>
        <w:trPr/>
        <w:tc>
          <w:tcPr>
            <w:tcW w:w="1227" w:type="dxa"/>
            <w:gridSpan w:val="3"/>
            <w:tcBorders/>
            <w:shd w:fill="auto" w:val="clear"/>
            <w:vAlign w:val="center"/>
          </w:tcPr>
          <w:p>
            <w:pPr>
              <w:pStyle w:val="TableContents"/>
              <w:spacing w:before="0" w:after="283"/>
              <w:rPr>
                <w:sz w:val="4"/>
                <w:szCs w:val="4"/>
              </w:rPr>
            </w:pPr>
            <w:r>
              <w:rPr>
                <w:sz w:val="4"/>
                <w:szCs w:val="4"/>
              </w:rPr>
            </w:r>
          </w:p>
        </w:tc>
        <w:tc>
          <w:tcPr>
            <w:tcW w:w="8978" w:type="dxa"/>
            <w:gridSpan w:val="3"/>
            <w:tcBorders/>
            <w:shd w:fill="auto" w:val="clear"/>
            <w:vAlign w:val="center"/>
          </w:tcPr>
          <w:p>
            <w:pPr>
              <w:pStyle w:val="TableContents"/>
              <w:spacing w:before="0" w:after="283"/>
              <w:rPr>
                <w:sz w:val="4"/>
                <w:szCs w:val="4"/>
              </w:rPr>
            </w:pPr>
            <w:r>
              <w:rPr>
                <w:sz w:val="4"/>
                <w:szCs w:val="4"/>
              </w:rPr>
            </w:r>
          </w:p>
        </w:tc>
      </w:tr>
      <w:tr>
        <w:trPr/>
        <w:tc>
          <w:tcPr>
            <w:tcW w:w="1227" w:type="dxa"/>
            <w:gridSpan w:val="3"/>
            <w:tcBorders/>
            <w:shd w:fill="auto" w:val="clear"/>
            <w:vAlign w:val="center"/>
          </w:tcPr>
          <w:p>
            <w:pPr>
              <w:pStyle w:val="TableContents"/>
              <w:spacing w:before="0" w:after="283"/>
              <w:rPr>
                <w:sz w:val="4"/>
                <w:szCs w:val="4"/>
              </w:rPr>
            </w:pPr>
            <w:r>
              <w:rPr>
                <w:sz w:val="4"/>
                <w:szCs w:val="4"/>
              </w:rPr>
            </w:r>
          </w:p>
        </w:tc>
        <w:tc>
          <w:tcPr>
            <w:tcW w:w="8978" w:type="dxa"/>
            <w:gridSpan w:val="3"/>
            <w:tcBorders/>
            <w:shd w:fill="auto" w:val="clear"/>
            <w:vAlign w:val="center"/>
          </w:tcPr>
          <w:p>
            <w:pPr>
              <w:pStyle w:val="TableContents"/>
              <w:spacing w:before="0" w:after="283"/>
              <w:rPr>
                <w:sz w:val="4"/>
                <w:szCs w:val="4"/>
              </w:rPr>
            </w:pPr>
            <w:r>
              <w:rPr>
                <w:sz w:val="4"/>
                <w:szCs w:val="4"/>
              </w:rPr>
            </w:r>
          </w:p>
        </w:tc>
      </w:tr>
      <w:tr>
        <w:trPr/>
        <w:tc>
          <w:tcPr>
            <w:tcW w:w="12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Prospect</w:t>
            </w:r>
          </w:p>
        </w:tc>
        <w:tc>
          <w:tcPr>
            <w:tcW w:w="8978"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 specific geographic area which, based on supporting geological, geophysical or other data and also preliminary economic analysis using reasonably anticipated prices and costs, is deemed to have potential for the discovery of commercial hydrocarbons.</w:t>
            </w:r>
          </w:p>
        </w:tc>
      </w:tr>
      <w:tr>
        <w:trPr/>
        <w:tc>
          <w:tcPr>
            <w:tcW w:w="1227" w:type="dxa"/>
            <w:gridSpan w:val="3"/>
            <w:tcBorders/>
            <w:shd w:fill="auto" w:val="clear"/>
            <w:vAlign w:val="center"/>
          </w:tcPr>
          <w:p>
            <w:pPr>
              <w:pStyle w:val="TableContents"/>
              <w:spacing w:before="0" w:after="283"/>
              <w:rPr>
                <w:sz w:val="4"/>
                <w:szCs w:val="4"/>
              </w:rPr>
            </w:pPr>
            <w:r>
              <w:rPr>
                <w:sz w:val="4"/>
                <w:szCs w:val="4"/>
              </w:rPr>
            </w:r>
          </w:p>
        </w:tc>
        <w:tc>
          <w:tcPr>
            <w:tcW w:w="8978" w:type="dxa"/>
            <w:gridSpan w:val="3"/>
            <w:tcBorders/>
            <w:shd w:fill="auto" w:val="clear"/>
            <w:vAlign w:val="center"/>
          </w:tcPr>
          <w:p>
            <w:pPr>
              <w:pStyle w:val="TableContents"/>
              <w:spacing w:before="0" w:after="283"/>
              <w:rPr>
                <w:sz w:val="4"/>
                <w:szCs w:val="4"/>
              </w:rPr>
            </w:pPr>
            <w:r>
              <w:rPr>
                <w:sz w:val="4"/>
                <w:szCs w:val="4"/>
              </w:rPr>
            </w:r>
          </w:p>
        </w:tc>
      </w:tr>
      <w:tr>
        <w:trPr/>
        <w:tc>
          <w:tcPr>
            <w:tcW w:w="12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Proved reserves</w:t>
            </w:r>
          </w:p>
        </w:tc>
        <w:tc>
          <w:tcPr>
            <w:tcW w:w="8978"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estimated quantities of oil, natural gas and natural gas liquids which geological and engineering data demonstrate with reasonable certainty to be commercially recoverable in future years from known reservoirs under existing economic and operating conditions.</w:t>
            </w:r>
          </w:p>
        </w:tc>
      </w:tr>
      <w:tr>
        <w:trPr/>
        <w:tc>
          <w:tcPr>
            <w:tcW w:w="1227" w:type="dxa"/>
            <w:gridSpan w:val="3"/>
            <w:tcBorders/>
            <w:shd w:fill="auto" w:val="clear"/>
            <w:vAlign w:val="center"/>
          </w:tcPr>
          <w:p>
            <w:pPr>
              <w:pStyle w:val="TableContents"/>
              <w:spacing w:before="0" w:after="283"/>
              <w:rPr>
                <w:sz w:val="4"/>
                <w:szCs w:val="4"/>
              </w:rPr>
            </w:pPr>
            <w:r>
              <w:rPr>
                <w:sz w:val="4"/>
                <w:szCs w:val="4"/>
              </w:rPr>
            </w:r>
          </w:p>
        </w:tc>
        <w:tc>
          <w:tcPr>
            <w:tcW w:w="8978" w:type="dxa"/>
            <w:gridSpan w:val="3"/>
            <w:tcBorders/>
            <w:shd w:fill="auto" w:val="clear"/>
            <w:vAlign w:val="center"/>
          </w:tcPr>
          <w:p>
            <w:pPr>
              <w:pStyle w:val="TableContents"/>
              <w:spacing w:before="0" w:after="283"/>
              <w:rPr>
                <w:sz w:val="4"/>
                <w:szCs w:val="4"/>
              </w:rPr>
            </w:pPr>
            <w:r>
              <w:rPr>
                <w:sz w:val="4"/>
                <w:szCs w:val="4"/>
              </w:rPr>
            </w:r>
          </w:p>
        </w:tc>
      </w:tr>
      <w:tr>
        <w:trPr/>
        <w:tc>
          <w:tcPr>
            <w:tcW w:w="1227" w:type="dxa"/>
            <w:gridSpan w:val="3"/>
            <w:tcBorders/>
            <w:shd w:fill="auto" w:val="clear"/>
            <w:vAlign w:val="center"/>
          </w:tcPr>
          <w:p>
            <w:pPr>
              <w:pStyle w:val="TableContents"/>
              <w:spacing w:before="0" w:after="283"/>
              <w:rPr>
                <w:sz w:val="4"/>
                <w:szCs w:val="4"/>
              </w:rPr>
            </w:pPr>
            <w:r>
              <w:rPr>
                <w:sz w:val="4"/>
                <w:szCs w:val="4"/>
              </w:rPr>
            </w:r>
          </w:p>
        </w:tc>
        <w:tc>
          <w:tcPr>
            <w:tcW w:w="8978" w:type="dxa"/>
            <w:gridSpan w:val="3"/>
            <w:tcBorders/>
            <w:shd w:fill="auto" w:val="clear"/>
            <w:vAlign w:val="center"/>
          </w:tcPr>
          <w:p>
            <w:pPr>
              <w:pStyle w:val="TableContents"/>
              <w:spacing w:before="0" w:after="283"/>
              <w:rPr>
                <w:sz w:val="4"/>
                <w:szCs w:val="4"/>
              </w:rPr>
            </w:pPr>
            <w:r>
              <w:rPr>
                <w:sz w:val="4"/>
                <w:szCs w:val="4"/>
              </w:rPr>
            </w:r>
          </w:p>
        </w:tc>
      </w:tr>
      <w:tr>
        <w:trPr/>
        <w:tc>
          <w:tcPr>
            <w:tcW w:w="12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Reserves</w:t>
            </w:r>
          </w:p>
        </w:tc>
        <w:tc>
          <w:tcPr>
            <w:tcW w:w="8978"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estimated remaining quantities of oil and natural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natural gas or related substances to the market and all permits and financing required to implement the project. Reserves are not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(i.e., absence of reservoir, structurally low reservoir or negative test results). Such areas may contain prospective resources (i.e., potentially recoverable resources from undiscovered accumulations).</w:t>
            </w:r>
          </w:p>
        </w:tc>
      </w:tr>
      <w:tr>
        <w:trPr/>
        <w:tc>
          <w:tcPr>
            <w:tcW w:w="12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Reservoir</w:t>
            </w:r>
          </w:p>
        </w:tc>
        <w:tc>
          <w:tcPr>
            <w:tcW w:w="8978"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 porous and permeable underground formation containing a natural accumulation of producible natural gas and/or crude oil that is confined by impermeable rock or water barriers and is separate from other reservoirs.</w:t>
            </w:r>
          </w:p>
        </w:tc>
      </w:tr>
      <w:tr>
        <w:trPr/>
        <w:tc>
          <w:tcPr>
            <w:tcW w:w="1227" w:type="dxa"/>
            <w:gridSpan w:val="3"/>
            <w:tcBorders/>
            <w:shd w:fill="auto" w:val="clear"/>
            <w:vAlign w:val="center"/>
          </w:tcPr>
          <w:p>
            <w:pPr>
              <w:pStyle w:val="TableContents"/>
              <w:spacing w:before="0" w:after="283"/>
              <w:rPr>
                <w:sz w:val="4"/>
                <w:szCs w:val="4"/>
              </w:rPr>
            </w:pPr>
            <w:r>
              <w:rPr>
                <w:sz w:val="4"/>
                <w:szCs w:val="4"/>
              </w:rPr>
            </w:r>
          </w:p>
        </w:tc>
        <w:tc>
          <w:tcPr>
            <w:tcW w:w="8978" w:type="dxa"/>
            <w:gridSpan w:val="3"/>
            <w:tcBorders/>
            <w:shd w:fill="auto" w:val="clear"/>
            <w:vAlign w:val="center"/>
          </w:tcPr>
          <w:p>
            <w:pPr>
              <w:pStyle w:val="TableContents"/>
              <w:spacing w:before="0" w:after="283"/>
              <w:rPr>
                <w:sz w:val="4"/>
                <w:szCs w:val="4"/>
              </w:rPr>
            </w:pPr>
            <w:r>
              <w:rPr>
                <w:sz w:val="4"/>
                <w:szCs w:val="4"/>
              </w:rPr>
            </w:r>
          </w:p>
        </w:tc>
      </w:tr>
      <w:tr>
        <w:trPr/>
        <w:tc>
          <w:tcPr>
            <w:tcW w:w="12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Royalty interest</w:t>
            </w:r>
          </w:p>
        </w:tc>
        <w:tc>
          <w:tcPr>
            <w:tcW w:w="8978"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An interest that gives an owner the right to receive a portion of the resources or revenues without having to carry any costs of development, which may be subject to expiration.</w:t>
            </w:r>
          </w:p>
        </w:tc>
      </w:tr>
      <w:tr>
        <w:trPr/>
        <w:tc>
          <w:tcPr>
            <w:tcW w:w="1227" w:type="dxa"/>
            <w:gridSpan w:val="3"/>
            <w:tcBorders/>
            <w:shd w:fill="auto" w:val="clear"/>
            <w:vAlign w:val="center"/>
          </w:tcPr>
          <w:p>
            <w:pPr>
              <w:pStyle w:val="TableContents"/>
              <w:spacing w:before="0" w:after="283"/>
              <w:rPr>
                <w:sz w:val="4"/>
                <w:szCs w:val="4"/>
              </w:rPr>
            </w:pPr>
            <w:r>
              <w:rPr>
                <w:sz w:val="4"/>
                <w:szCs w:val="4"/>
              </w:rPr>
            </w:r>
          </w:p>
        </w:tc>
        <w:tc>
          <w:tcPr>
            <w:tcW w:w="8978" w:type="dxa"/>
            <w:gridSpan w:val="3"/>
            <w:tcBorders/>
            <w:shd w:fill="auto" w:val="clear"/>
            <w:vAlign w:val="center"/>
          </w:tcPr>
          <w:p>
            <w:pPr>
              <w:pStyle w:val="TableContents"/>
              <w:spacing w:before="0" w:after="283"/>
              <w:rPr>
                <w:sz w:val="4"/>
                <w:szCs w:val="4"/>
              </w:rPr>
            </w:pPr>
            <w:r>
              <w:rPr>
                <w:sz w:val="4"/>
                <w:szCs w:val="4"/>
              </w:rPr>
            </w:r>
          </w:p>
        </w:tc>
      </w:tr>
      <w:tr>
        <w:trPr/>
        <w:tc>
          <w:tcPr>
            <w:tcW w:w="1227" w:type="dxa"/>
            <w:gridSpan w:val="3"/>
            <w:tcBorders/>
            <w:shd w:fill="auto" w:val="clear"/>
            <w:vAlign w:val="center"/>
          </w:tcPr>
          <w:p>
            <w:pPr>
              <w:pStyle w:val="TableContents"/>
              <w:spacing w:before="0" w:after="283"/>
              <w:rPr>
                <w:sz w:val="4"/>
                <w:szCs w:val="4"/>
              </w:rPr>
            </w:pPr>
            <w:r>
              <w:rPr>
                <w:sz w:val="4"/>
                <w:szCs w:val="4"/>
              </w:rPr>
            </w:r>
          </w:p>
        </w:tc>
        <w:tc>
          <w:tcPr>
            <w:tcW w:w="8978" w:type="dxa"/>
            <w:gridSpan w:val="3"/>
            <w:tcBorders/>
            <w:shd w:fill="auto" w:val="clear"/>
            <w:vAlign w:val="center"/>
          </w:tcPr>
          <w:p>
            <w:pPr>
              <w:pStyle w:val="TableContents"/>
              <w:spacing w:before="0" w:after="283"/>
              <w:rPr>
                <w:sz w:val="4"/>
                <w:szCs w:val="4"/>
              </w:rPr>
            </w:pPr>
            <w:r>
              <w:rPr>
                <w:sz w:val="4"/>
                <w:szCs w:val="4"/>
              </w:rPr>
            </w:r>
          </w:p>
        </w:tc>
      </w:tr>
      <w:tr>
        <w:trPr/>
        <w:tc>
          <w:tcPr>
            <w:tcW w:w="1227" w:type="dxa"/>
            <w:gridSpan w:val="3"/>
            <w:tcBorders/>
            <w:shd w:fill="auto" w:val="clear"/>
            <w:vAlign w:val="center"/>
          </w:tcPr>
          <w:p>
            <w:pPr>
              <w:pStyle w:val="TableContents"/>
              <w:spacing w:before="0" w:after="283"/>
              <w:rPr>
                <w:sz w:val="4"/>
                <w:szCs w:val="4"/>
              </w:rPr>
            </w:pPr>
            <w:r>
              <w:rPr>
                <w:sz w:val="4"/>
                <w:szCs w:val="4"/>
              </w:rPr>
            </w:r>
          </w:p>
        </w:tc>
        <w:tc>
          <w:tcPr>
            <w:tcW w:w="8978" w:type="dxa"/>
            <w:gridSpan w:val="3"/>
            <w:tcBorders/>
            <w:shd w:fill="auto" w:val="clear"/>
            <w:vAlign w:val="center"/>
          </w:tcPr>
          <w:p>
            <w:pPr>
              <w:pStyle w:val="TableContents"/>
              <w:spacing w:before="0" w:after="283"/>
              <w:rPr>
                <w:sz w:val="4"/>
                <w:szCs w:val="4"/>
              </w:rPr>
            </w:pPr>
            <w:r>
              <w:rPr>
                <w:sz w:val="4"/>
                <w:szCs w:val="4"/>
              </w:rPr>
            </w:r>
          </w:p>
        </w:tc>
      </w:tr>
      <w:tr>
        <w:trPr/>
        <w:tc>
          <w:tcPr>
            <w:tcW w:w="1227" w:type="dxa"/>
            <w:gridSpan w:val="3"/>
            <w:tcBorders/>
            <w:shd w:fill="auto" w:val="clear"/>
            <w:vAlign w:val="center"/>
          </w:tcPr>
          <w:p>
            <w:pPr>
              <w:pStyle w:val="TableContents"/>
              <w:spacing w:before="0" w:after="283"/>
              <w:rPr>
                <w:sz w:val="4"/>
                <w:szCs w:val="4"/>
              </w:rPr>
            </w:pPr>
            <w:r>
              <w:rPr>
                <w:sz w:val="4"/>
                <w:szCs w:val="4"/>
              </w:rPr>
            </w:r>
          </w:p>
        </w:tc>
        <w:tc>
          <w:tcPr>
            <w:tcW w:w="8978" w:type="dxa"/>
            <w:gridSpan w:val="3"/>
            <w:tcBorders/>
            <w:shd w:fill="auto" w:val="clear"/>
            <w:vAlign w:val="center"/>
          </w:tcPr>
          <w:p>
            <w:pPr>
              <w:pStyle w:val="TableContents"/>
              <w:spacing w:before="0" w:after="283"/>
              <w:rPr>
                <w:sz w:val="4"/>
                <w:szCs w:val="4"/>
              </w:rPr>
            </w:pPr>
            <w:r>
              <w:rPr>
                <w:sz w:val="4"/>
                <w:szCs w:val="4"/>
              </w:rPr>
            </w:r>
          </w:p>
        </w:tc>
      </w:tr>
      <w:tr>
        <w:trPr/>
        <w:tc>
          <w:tcPr>
            <w:tcW w:w="12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Waha Hub</w:t>
            </w:r>
          </w:p>
        </w:tc>
        <w:tc>
          <w:tcPr>
            <w:tcW w:w="8978"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West Texas natural gas index.</w:t>
            </w:r>
          </w:p>
        </w:tc>
      </w:tr>
      <w:tr>
        <w:trPr/>
        <w:tc>
          <w:tcPr>
            <w:tcW w:w="12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Working interest</w:t>
            </w:r>
          </w:p>
        </w:tc>
        <w:tc>
          <w:tcPr>
            <w:tcW w:w="8978"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An operating interest that gives the owner the right to drill, produce and conduct operating activities on the property and receive a share of production and requires the owner to pay a share of the costs of drilling and production operations.</w:t>
            </w:r>
          </w:p>
        </w:tc>
      </w:tr>
      <w:tr>
        <w:trPr/>
        <w:tc>
          <w:tcPr>
            <w:tcW w:w="1227"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WTI</w:t>
            </w:r>
          </w:p>
        </w:tc>
        <w:tc>
          <w:tcPr>
            <w:tcW w:w="8978"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West Texas Intermediate.</w:t>
            </w:r>
          </w:p>
        </w:tc>
      </w:tr>
      <w:tr>
        <w:trPr/>
        <w:tc>
          <w:tcPr>
            <w:tcW w:w="1227" w:type="dxa"/>
            <w:gridSpan w:val="3"/>
            <w:tcBorders/>
            <w:shd w:fill="auto" w:val="clear"/>
            <w:vAlign w:val="center"/>
          </w:tcPr>
          <w:p>
            <w:pPr>
              <w:pStyle w:val="TableContents"/>
              <w:spacing w:before="0" w:after="283"/>
              <w:rPr>
                <w:sz w:val="4"/>
                <w:szCs w:val="4"/>
              </w:rPr>
            </w:pPr>
            <w:r>
              <w:rPr>
                <w:sz w:val="4"/>
                <w:szCs w:val="4"/>
              </w:rPr>
            </w:r>
          </w:p>
        </w:tc>
        <w:tc>
          <w:tcPr>
            <w:tcW w:w="8978"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v:rect>
            </w:pict>
          </mc:Fallback>
        </mc:AlternateContent>
      </w:r>
    </w:p>
    <w:p>
      <w:pPr>
        <w:pStyle w:val="TextBody"/>
        <w:spacing w:lineRule="auto" w:line="288" w:before="0" w:after="0"/>
        <w:rPr/>
      </w:pPr>
      <w:hyperlink w:anchor="i7011061f248747c88de11895562af037_7">
        <w:r>
          <w:rPr>
            <w:rStyle w:val="InternetLink"/>
            <w:rFonts w:ascii="Times New Roman;sans-serif" w:hAnsi="Times New Roman;sans-serif"/>
            <w:b w:val="false"/>
            <w:color w:val="0000FF"/>
            <w:sz w:val="16"/>
            <w:u w:val="single"/>
          </w:rPr>
          <w:t>Table of Contents</w:t>
        </w:r>
      </w:hyperlink>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GLOSSARY OF CERTAIN OTHER TERMS</w:t>
      </w:r>
    </w:p>
    <w:p>
      <w:pPr>
        <w:pStyle w:val="TextBody"/>
        <w:spacing w:lineRule="auto" w:line="288" w:before="18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glossary of certain other terms that are used in this report:</w:t>
      </w:r>
    </w:p>
    <w:tbl>
      <w:tblPr>
        <w:tblW w:w="10205" w:type="dxa"/>
        <w:jc w:val="left"/>
        <w:tblInd w:w="0" w:type="dxa"/>
        <w:tblCellMar>
          <w:top w:w="28" w:type="dxa"/>
          <w:left w:w="28" w:type="dxa"/>
          <w:bottom w:w="28" w:type="dxa"/>
          <w:right w:w="28" w:type="dxa"/>
        </w:tblCellMar>
      </w:tblPr>
      <w:tblGrid>
        <w:gridCol w:w="533"/>
        <w:gridCol w:w="395"/>
        <w:gridCol w:w="399"/>
        <w:gridCol w:w="2691"/>
        <w:gridCol w:w="2557"/>
        <w:gridCol w:w="3630"/>
      </w:tblGrid>
      <w:tr>
        <w:trPr/>
        <w:tc>
          <w:tcPr>
            <w:tcW w:w="533"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2691" w:type="dxa"/>
            <w:tcBorders/>
            <w:shd w:fill="auto" w:val="clear"/>
            <w:vAlign w:val="center"/>
          </w:tcPr>
          <w:p>
            <w:pPr>
              <w:pStyle w:val="TableContents"/>
              <w:spacing w:before="0" w:after="283"/>
              <w:rPr>
                <w:sz w:val="4"/>
                <w:szCs w:val="4"/>
              </w:rPr>
            </w:pPr>
            <w:r>
              <w:rPr>
                <w:sz w:val="4"/>
                <w:szCs w:val="4"/>
              </w:rPr>
            </w:r>
          </w:p>
        </w:tc>
        <w:tc>
          <w:tcPr>
            <w:tcW w:w="2557" w:type="dxa"/>
            <w:tcBorders/>
            <w:shd w:fill="auto" w:val="clear"/>
            <w:vAlign w:val="center"/>
          </w:tcPr>
          <w:p>
            <w:pPr>
              <w:pStyle w:val="TableContents"/>
              <w:spacing w:before="0" w:after="283"/>
              <w:rPr>
                <w:sz w:val="4"/>
                <w:szCs w:val="4"/>
              </w:rPr>
            </w:pPr>
            <w:r>
              <w:rPr>
                <w:sz w:val="4"/>
                <w:szCs w:val="4"/>
              </w:rPr>
            </w:r>
          </w:p>
        </w:tc>
        <w:tc>
          <w:tcPr>
            <w:tcW w:w="3630" w:type="dxa"/>
            <w:tcBorders/>
            <w:shd w:fill="auto" w:val="clear"/>
            <w:vAlign w:val="center"/>
          </w:tcPr>
          <w:p>
            <w:pPr>
              <w:pStyle w:val="TableContents"/>
              <w:spacing w:before="0" w:after="283"/>
              <w:rPr>
                <w:sz w:val="4"/>
                <w:szCs w:val="4"/>
              </w:rPr>
            </w:pPr>
            <w:r>
              <w:rPr>
                <w:sz w:val="4"/>
                <w:szCs w:val="4"/>
              </w:rPr>
            </w:r>
          </w:p>
        </w:tc>
      </w:tr>
      <w:tr>
        <w:trPr/>
        <w:tc>
          <w:tcPr>
            <w:tcW w:w="1327" w:type="dxa"/>
            <w:gridSpan w:val="3"/>
            <w:tcBorders/>
            <w:shd w:fill="auto" w:val="clear"/>
            <w:vAlign w:val="center"/>
          </w:tcPr>
          <w:p>
            <w:pPr>
              <w:pStyle w:val="TableContents"/>
              <w:spacing w:before="0" w:after="283"/>
              <w:rPr>
                <w:sz w:val="4"/>
                <w:szCs w:val="4"/>
              </w:rPr>
            </w:pPr>
            <w:r>
              <w:rPr>
                <w:sz w:val="4"/>
                <w:szCs w:val="4"/>
              </w:rPr>
            </w:r>
          </w:p>
        </w:tc>
        <w:tc>
          <w:tcPr>
            <w:tcW w:w="8878" w:type="dxa"/>
            <w:gridSpan w:val="3"/>
            <w:tcBorders/>
            <w:shd w:fill="auto" w:val="clear"/>
            <w:vAlign w:val="center"/>
          </w:tcPr>
          <w:p>
            <w:pPr>
              <w:pStyle w:val="TableContents"/>
              <w:spacing w:before="0" w:after="283"/>
              <w:rPr>
                <w:sz w:val="4"/>
                <w:szCs w:val="4"/>
              </w:rPr>
            </w:pPr>
            <w:r>
              <w:rPr>
                <w:sz w:val="4"/>
                <w:szCs w:val="4"/>
              </w:rPr>
            </w:r>
          </w:p>
        </w:tc>
      </w:tr>
      <w:tr>
        <w:trPr/>
        <w:tc>
          <w:tcPr>
            <w:tcW w:w="1327" w:type="dxa"/>
            <w:gridSpan w:val="3"/>
            <w:tcBorders/>
            <w:shd w:fill="auto" w:val="clear"/>
            <w:vAlign w:val="center"/>
          </w:tcPr>
          <w:p>
            <w:pPr>
              <w:pStyle w:val="TableContents"/>
              <w:spacing w:before="0" w:after="283"/>
              <w:rPr>
                <w:sz w:val="4"/>
                <w:szCs w:val="4"/>
              </w:rPr>
            </w:pPr>
            <w:r>
              <w:rPr>
                <w:sz w:val="4"/>
                <w:szCs w:val="4"/>
              </w:rPr>
            </w:r>
          </w:p>
        </w:tc>
        <w:tc>
          <w:tcPr>
            <w:tcW w:w="8878" w:type="dxa"/>
            <w:gridSpan w:val="3"/>
            <w:tcBorders/>
            <w:shd w:fill="auto" w:val="clear"/>
            <w:vAlign w:val="center"/>
          </w:tcPr>
          <w:p>
            <w:pPr>
              <w:pStyle w:val="TableContents"/>
              <w:spacing w:before="0" w:after="283"/>
              <w:rPr>
                <w:sz w:val="4"/>
                <w:szCs w:val="4"/>
              </w:rPr>
            </w:pPr>
            <w:r>
              <w:rPr>
                <w:sz w:val="4"/>
                <w:szCs w:val="4"/>
              </w:rPr>
            </w:r>
          </w:p>
        </w:tc>
      </w:tr>
      <w:tr>
        <w:trPr/>
        <w:tc>
          <w:tcPr>
            <w:tcW w:w="1327" w:type="dxa"/>
            <w:gridSpan w:val="3"/>
            <w:tcBorders/>
            <w:shd w:fill="auto" w:val="clear"/>
            <w:vAlign w:val="center"/>
          </w:tcPr>
          <w:p>
            <w:pPr>
              <w:pStyle w:val="TableContents"/>
              <w:spacing w:before="0" w:after="283"/>
              <w:rPr>
                <w:sz w:val="4"/>
                <w:szCs w:val="4"/>
              </w:rPr>
            </w:pPr>
            <w:r>
              <w:rPr>
                <w:sz w:val="4"/>
                <w:szCs w:val="4"/>
              </w:rPr>
            </w:r>
          </w:p>
        </w:tc>
        <w:tc>
          <w:tcPr>
            <w:tcW w:w="8878" w:type="dxa"/>
            <w:gridSpan w:val="3"/>
            <w:tcBorders/>
            <w:shd w:fill="auto" w:val="clear"/>
            <w:vAlign w:val="center"/>
          </w:tcPr>
          <w:p>
            <w:pPr>
              <w:pStyle w:val="TableContents"/>
              <w:spacing w:before="0" w:after="283"/>
              <w:rPr>
                <w:sz w:val="4"/>
                <w:szCs w:val="4"/>
              </w:rPr>
            </w:pPr>
            <w:r>
              <w:rPr>
                <w:sz w:val="4"/>
                <w:szCs w:val="4"/>
              </w:rPr>
            </w:r>
          </w:p>
        </w:tc>
      </w:tr>
      <w:tr>
        <w:trPr/>
        <w:tc>
          <w:tcPr>
            <w:tcW w:w="1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w:t>
            </w:r>
          </w:p>
        </w:tc>
        <w:tc>
          <w:tcPr>
            <w:tcW w:w="887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Accounting Standards Update.</w:t>
            </w:r>
          </w:p>
        </w:tc>
      </w:tr>
      <w:tr>
        <w:trPr/>
        <w:tc>
          <w:tcPr>
            <w:tcW w:w="1327" w:type="dxa"/>
            <w:gridSpan w:val="3"/>
            <w:tcBorders/>
            <w:shd w:fill="auto" w:val="clear"/>
            <w:vAlign w:val="center"/>
          </w:tcPr>
          <w:p>
            <w:pPr>
              <w:pStyle w:val="TableContents"/>
              <w:spacing w:before="0" w:after="283"/>
              <w:rPr>
                <w:sz w:val="4"/>
                <w:szCs w:val="4"/>
              </w:rPr>
            </w:pPr>
            <w:r>
              <w:rPr>
                <w:sz w:val="4"/>
                <w:szCs w:val="4"/>
              </w:rPr>
            </w:r>
          </w:p>
        </w:tc>
        <w:tc>
          <w:tcPr>
            <w:tcW w:w="8878" w:type="dxa"/>
            <w:gridSpan w:val="3"/>
            <w:tcBorders/>
            <w:shd w:fill="auto" w:val="clear"/>
            <w:vAlign w:val="center"/>
          </w:tcPr>
          <w:p>
            <w:pPr>
              <w:pStyle w:val="TableContents"/>
              <w:spacing w:before="0" w:after="283"/>
              <w:rPr>
                <w:sz w:val="4"/>
                <w:szCs w:val="4"/>
              </w:rPr>
            </w:pPr>
            <w:r>
              <w:rPr>
                <w:sz w:val="4"/>
                <w:szCs w:val="4"/>
              </w:rPr>
            </w:r>
          </w:p>
        </w:tc>
      </w:tr>
      <w:tr>
        <w:trPr/>
        <w:tc>
          <w:tcPr>
            <w:tcW w:w="1327" w:type="dxa"/>
            <w:gridSpan w:val="3"/>
            <w:tcBorders/>
            <w:shd w:fill="auto" w:val="clear"/>
            <w:vAlign w:val="center"/>
          </w:tcPr>
          <w:p>
            <w:pPr>
              <w:pStyle w:val="TableContents"/>
              <w:spacing w:before="0" w:after="283"/>
              <w:rPr>
                <w:sz w:val="4"/>
                <w:szCs w:val="4"/>
              </w:rPr>
            </w:pPr>
            <w:r>
              <w:rPr>
                <w:sz w:val="4"/>
                <w:szCs w:val="4"/>
              </w:rPr>
            </w:r>
          </w:p>
        </w:tc>
        <w:tc>
          <w:tcPr>
            <w:tcW w:w="8878" w:type="dxa"/>
            <w:gridSpan w:val="3"/>
            <w:tcBorders/>
            <w:shd w:fill="auto" w:val="clear"/>
            <w:vAlign w:val="center"/>
          </w:tcPr>
          <w:p>
            <w:pPr>
              <w:pStyle w:val="TableContents"/>
              <w:spacing w:before="0" w:after="283"/>
              <w:rPr>
                <w:sz w:val="4"/>
                <w:szCs w:val="4"/>
              </w:rPr>
            </w:pPr>
            <w:r>
              <w:rPr>
                <w:sz w:val="4"/>
                <w:szCs w:val="4"/>
              </w:rPr>
            </w:r>
          </w:p>
        </w:tc>
      </w:tr>
      <w:tr>
        <w:trPr/>
        <w:tc>
          <w:tcPr>
            <w:tcW w:w="1327" w:type="dxa"/>
            <w:gridSpan w:val="3"/>
            <w:tcBorders/>
            <w:shd w:fill="auto" w:val="clear"/>
            <w:vAlign w:val="center"/>
          </w:tcPr>
          <w:p>
            <w:pPr>
              <w:pStyle w:val="TableContents"/>
              <w:spacing w:before="0" w:after="283"/>
              <w:rPr>
                <w:sz w:val="4"/>
                <w:szCs w:val="4"/>
              </w:rPr>
            </w:pPr>
            <w:r>
              <w:rPr>
                <w:sz w:val="4"/>
                <w:szCs w:val="4"/>
              </w:rPr>
            </w:r>
          </w:p>
        </w:tc>
        <w:tc>
          <w:tcPr>
            <w:tcW w:w="8878" w:type="dxa"/>
            <w:gridSpan w:val="3"/>
            <w:tcBorders/>
            <w:shd w:fill="auto" w:val="clear"/>
            <w:vAlign w:val="center"/>
          </w:tcPr>
          <w:p>
            <w:pPr>
              <w:pStyle w:val="TableContents"/>
              <w:spacing w:before="0" w:after="283"/>
              <w:rPr>
                <w:sz w:val="4"/>
                <w:szCs w:val="4"/>
              </w:rPr>
            </w:pPr>
            <w:r>
              <w:rPr>
                <w:sz w:val="4"/>
                <w:szCs w:val="4"/>
              </w:rPr>
            </w:r>
          </w:p>
        </w:tc>
      </w:tr>
      <w:tr>
        <w:trPr/>
        <w:tc>
          <w:tcPr>
            <w:tcW w:w="1327" w:type="dxa"/>
            <w:gridSpan w:val="3"/>
            <w:tcBorders/>
            <w:shd w:fill="auto" w:val="clear"/>
            <w:vAlign w:val="center"/>
          </w:tcPr>
          <w:p>
            <w:pPr>
              <w:pStyle w:val="TableContents"/>
              <w:spacing w:before="0" w:after="283"/>
              <w:rPr>
                <w:sz w:val="4"/>
                <w:szCs w:val="4"/>
              </w:rPr>
            </w:pPr>
            <w:r>
              <w:rPr>
                <w:sz w:val="4"/>
                <w:szCs w:val="4"/>
              </w:rPr>
            </w:r>
          </w:p>
        </w:tc>
        <w:tc>
          <w:tcPr>
            <w:tcW w:w="8878" w:type="dxa"/>
            <w:gridSpan w:val="3"/>
            <w:tcBorders/>
            <w:shd w:fill="auto" w:val="clear"/>
            <w:vAlign w:val="center"/>
          </w:tcPr>
          <w:p>
            <w:pPr>
              <w:pStyle w:val="TableContents"/>
              <w:spacing w:before="0" w:after="283"/>
              <w:rPr>
                <w:sz w:val="4"/>
                <w:szCs w:val="4"/>
              </w:rPr>
            </w:pPr>
            <w:r>
              <w:rPr>
                <w:sz w:val="4"/>
                <w:szCs w:val="4"/>
              </w:rPr>
            </w:r>
          </w:p>
        </w:tc>
      </w:tr>
      <w:tr>
        <w:trPr/>
        <w:tc>
          <w:tcPr>
            <w:tcW w:w="1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Act</w:t>
            </w:r>
          </w:p>
        </w:tc>
        <w:tc>
          <w:tcPr>
            <w:tcW w:w="8878"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Securities Exchange Act of 1934, as amended.</w:t>
            </w:r>
          </w:p>
        </w:tc>
      </w:tr>
      <w:tr>
        <w:trPr/>
        <w:tc>
          <w:tcPr>
            <w:tcW w:w="1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8878"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Financial Accounting Standards Board.</w:t>
            </w:r>
          </w:p>
        </w:tc>
      </w:tr>
      <w:tr>
        <w:trPr/>
        <w:tc>
          <w:tcPr>
            <w:tcW w:w="1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w:t>
            </w:r>
          </w:p>
        </w:tc>
        <w:tc>
          <w:tcPr>
            <w:tcW w:w="8878"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Accounting principles generally accepted in the United States.</w:t>
            </w:r>
          </w:p>
        </w:tc>
      </w:tr>
      <w:tr>
        <w:trPr/>
        <w:tc>
          <w:tcPr>
            <w:tcW w:w="1327" w:type="dxa"/>
            <w:gridSpan w:val="3"/>
            <w:tcBorders/>
            <w:shd w:fill="auto" w:val="clear"/>
            <w:vAlign w:val="center"/>
          </w:tcPr>
          <w:p>
            <w:pPr>
              <w:pStyle w:val="TableContents"/>
              <w:spacing w:before="0" w:after="283"/>
              <w:rPr>
                <w:sz w:val="4"/>
                <w:szCs w:val="4"/>
              </w:rPr>
            </w:pPr>
            <w:r>
              <w:rPr>
                <w:sz w:val="4"/>
                <w:szCs w:val="4"/>
              </w:rPr>
            </w:r>
          </w:p>
        </w:tc>
        <w:tc>
          <w:tcPr>
            <w:tcW w:w="8878" w:type="dxa"/>
            <w:gridSpan w:val="3"/>
            <w:tcBorders/>
            <w:shd w:fill="auto" w:val="clear"/>
            <w:vAlign w:val="center"/>
          </w:tcPr>
          <w:p>
            <w:pPr>
              <w:pStyle w:val="TableContents"/>
              <w:spacing w:before="0" w:after="283"/>
              <w:rPr>
                <w:sz w:val="4"/>
                <w:szCs w:val="4"/>
              </w:rPr>
            </w:pPr>
            <w:r>
              <w:rPr>
                <w:sz w:val="4"/>
                <w:szCs w:val="4"/>
              </w:rPr>
            </w:r>
          </w:p>
        </w:tc>
      </w:tr>
      <w:tr>
        <w:trPr/>
        <w:tc>
          <w:tcPr>
            <w:tcW w:w="1327" w:type="dxa"/>
            <w:gridSpan w:val="3"/>
            <w:tcBorders/>
            <w:shd w:fill="auto" w:val="clear"/>
            <w:vAlign w:val="center"/>
          </w:tcPr>
          <w:p>
            <w:pPr>
              <w:pStyle w:val="TableContents"/>
              <w:spacing w:before="0" w:after="283"/>
              <w:rPr>
                <w:sz w:val="4"/>
                <w:szCs w:val="4"/>
              </w:rPr>
            </w:pPr>
            <w:r>
              <w:rPr>
                <w:sz w:val="4"/>
                <w:szCs w:val="4"/>
              </w:rPr>
            </w:r>
          </w:p>
        </w:tc>
        <w:tc>
          <w:tcPr>
            <w:tcW w:w="8878" w:type="dxa"/>
            <w:gridSpan w:val="3"/>
            <w:tcBorders/>
            <w:shd w:fill="auto" w:val="clear"/>
            <w:vAlign w:val="center"/>
          </w:tcPr>
          <w:p>
            <w:pPr>
              <w:pStyle w:val="TableContents"/>
              <w:spacing w:before="0" w:after="283"/>
              <w:rPr>
                <w:sz w:val="4"/>
                <w:szCs w:val="4"/>
              </w:rPr>
            </w:pPr>
            <w:r>
              <w:rPr>
                <w:sz w:val="4"/>
                <w:szCs w:val="4"/>
              </w:rPr>
            </w:r>
          </w:p>
        </w:tc>
      </w:tr>
      <w:tr>
        <w:trPr/>
        <w:tc>
          <w:tcPr>
            <w:tcW w:w="1327" w:type="dxa"/>
            <w:gridSpan w:val="3"/>
            <w:tcBorders/>
            <w:shd w:fill="auto" w:val="clear"/>
            <w:vAlign w:val="center"/>
          </w:tcPr>
          <w:p>
            <w:pPr>
              <w:pStyle w:val="TableContents"/>
              <w:spacing w:before="0" w:after="283"/>
              <w:rPr>
                <w:sz w:val="4"/>
                <w:szCs w:val="4"/>
              </w:rPr>
            </w:pPr>
            <w:r>
              <w:rPr>
                <w:sz w:val="4"/>
                <w:szCs w:val="4"/>
              </w:rPr>
            </w:r>
          </w:p>
        </w:tc>
        <w:tc>
          <w:tcPr>
            <w:tcW w:w="8878" w:type="dxa"/>
            <w:gridSpan w:val="3"/>
            <w:tcBorders/>
            <w:shd w:fill="auto" w:val="clear"/>
            <w:vAlign w:val="center"/>
          </w:tcPr>
          <w:p>
            <w:pPr>
              <w:pStyle w:val="TableContents"/>
              <w:spacing w:before="0" w:after="283"/>
              <w:rPr>
                <w:sz w:val="4"/>
                <w:szCs w:val="4"/>
              </w:rPr>
            </w:pPr>
            <w:r>
              <w:rPr>
                <w:sz w:val="4"/>
                <w:szCs w:val="4"/>
              </w:rPr>
            </w:r>
          </w:p>
        </w:tc>
      </w:tr>
      <w:tr>
        <w:trPr/>
        <w:tc>
          <w:tcPr>
            <w:tcW w:w="1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LIBOR</w:t>
            </w:r>
          </w:p>
        </w:tc>
        <w:tc>
          <w:tcPr>
            <w:tcW w:w="8878"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London interbank offered rate.</w:t>
            </w:r>
          </w:p>
        </w:tc>
      </w:tr>
      <w:tr>
        <w:trPr/>
        <w:tc>
          <w:tcPr>
            <w:tcW w:w="1327" w:type="dxa"/>
            <w:gridSpan w:val="3"/>
            <w:tcBorders/>
            <w:shd w:fill="auto" w:val="clear"/>
            <w:vAlign w:val="center"/>
          </w:tcPr>
          <w:p>
            <w:pPr>
              <w:pStyle w:val="TableContents"/>
              <w:spacing w:before="0" w:after="283"/>
              <w:rPr>
                <w:sz w:val="4"/>
                <w:szCs w:val="4"/>
              </w:rPr>
            </w:pPr>
            <w:r>
              <w:rPr>
                <w:sz w:val="4"/>
                <w:szCs w:val="4"/>
              </w:rPr>
            </w:r>
          </w:p>
        </w:tc>
        <w:tc>
          <w:tcPr>
            <w:tcW w:w="8878" w:type="dxa"/>
            <w:gridSpan w:val="3"/>
            <w:tcBorders/>
            <w:shd w:fill="auto" w:val="clear"/>
            <w:vAlign w:val="center"/>
          </w:tcPr>
          <w:p>
            <w:pPr>
              <w:pStyle w:val="TableContents"/>
              <w:spacing w:before="0" w:after="283"/>
              <w:rPr>
                <w:sz w:val="4"/>
                <w:szCs w:val="4"/>
              </w:rPr>
            </w:pPr>
            <w:r>
              <w:rPr>
                <w:sz w:val="4"/>
                <w:szCs w:val="4"/>
              </w:rPr>
            </w:r>
          </w:p>
        </w:tc>
      </w:tr>
      <w:tr>
        <w:trPr/>
        <w:tc>
          <w:tcPr>
            <w:tcW w:w="1327" w:type="dxa"/>
            <w:gridSpan w:val="3"/>
            <w:tcBorders/>
            <w:shd w:fill="auto" w:val="clear"/>
            <w:vAlign w:val="center"/>
          </w:tcPr>
          <w:p>
            <w:pPr>
              <w:pStyle w:val="TableContents"/>
              <w:spacing w:before="0" w:after="283"/>
              <w:rPr>
                <w:sz w:val="4"/>
                <w:szCs w:val="4"/>
              </w:rPr>
            </w:pPr>
            <w:r>
              <w:rPr>
                <w:sz w:val="4"/>
                <w:szCs w:val="4"/>
              </w:rPr>
            </w:r>
          </w:p>
        </w:tc>
        <w:tc>
          <w:tcPr>
            <w:tcW w:w="8878" w:type="dxa"/>
            <w:gridSpan w:val="3"/>
            <w:tcBorders/>
            <w:shd w:fill="auto" w:val="clear"/>
            <w:vAlign w:val="center"/>
          </w:tcPr>
          <w:p>
            <w:pPr>
              <w:pStyle w:val="TableContents"/>
              <w:spacing w:before="0" w:after="283"/>
              <w:rPr>
                <w:sz w:val="4"/>
                <w:szCs w:val="4"/>
              </w:rPr>
            </w:pPr>
            <w:r>
              <w:rPr>
                <w:sz w:val="4"/>
                <w:szCs w:val="4"/>
              </w:rPr>
            </w:r>
          </w:p>
        </w:tc>
      </w:tr>
      <w:tr>
        <w:trPr/>
        <w:tc>
          <w:tcPr>
            <w:tcW w:w="1327" w:type="dxa"/>
            <w:gridSpan w:val="3"/>
            <w:tcBorders/>
            <w:shd w:fill="auto" w:val="clear"/>
            <w:vAlign w:val="center"/>
          </w:tcPr>
          <w:p>
            <w:pPr>
              <w:pStyle w:val="TableContents"/>
              <w:spacing w:before="0" w:after="283"/>
              <w:rPr>
                <w:sz w:val="4"/>
                <w:szCs w:val="4"/>
              </w:rPr>
            </w:pPr>
            <w:r>
              <w:rPr>
                <w:sz w:val="4"/>
                <w:szCs w:val="4"/>
              </w:rPr>
            </w:r>
          </w:p>
        </w:tc>
        <w:tc>
          <w:tcPr>
            <w:tcW w:w="8878" w:type="dxa"/>
            <w:gridSpan w:val="3"/>
            <w:tcBorders/>
            <w:shd w:fill="auto" w:val="clear"/>
            <w:vAlign w:val="center"/>
          </w:tcPr>
          <w:p>
            <w:pPr>
              <w:pStyle w:val="TableContents"/>
              <w:spacing w:before="0" w:after="283"/>
              <w:rPr>
                <w:sz w:val="4"/>
                <w:szCs w:val="4"/>
              </w:rPr>
            </w:pPr>
            <w:r>
              <w:rPr>
                <w:sz w:val="4"/>
                <w:szCs w:val="4"/>
              </w:rPr>
            </w:r>
          </w:p>
        </w:tc>
      </w:tr>
      <w:tr>
        <w:trPr/>
        <w:tc>
          <w:tcPr>
            <w:tcW w:w="1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NYMEX</w:t>
            </w:r>
          </w:p>
        </w:tc>
        <w:tc>
          <w:tcPr>
            <w:tcW w:w="8878"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New York Mercantile Exchange.</w:t>
            </w:r>
          </w:p>
        </w:tc>
      </w:tr>
      <w:tr>
        <w:trPr/>
        <w:tc>
          <w:tcPr>
            <w:tcW w:w="1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OPEC</w:t>
            </w:r>
          </w:p>
        </w:tc>
        <w:tc>
          <w:tcPr>
            <w:tcW w:w="8878"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Organization of the Petroleum Exporting Countries.</w:t>
            </w:r>
          </w:p>
        </w:tc>
      </w:tr>
      <w:tr>
        <w:trPr/>
        <w:tc>
          <w:tcPr>
            <w:tcW w:w="1327" w:type="dxa"/>
            <w:gridSpan w:val="3"/>
            <w:tcBorders/>
            <w:shd w:fill="auto" w:val="clear"/>
            <w:vAlign w:val="center"/>
          </w:tcPr>
          <w:p>
            <w:pPr>
              <w:pStyle w:val="TableContents"/>
              <w:spacing w:before="0" w:after="283"/>
              <w:rPr>
                <w:sz w:val="4"/>
                <w:szCs w:val="4"/>
              </w:rPr>
            </w:pPr>
            <w:r>
              <w:rPr>
                <w:sz w:val="4"/>
                <w:szCs w:val="4"/>
              </w:rPr>
            </w:r>
          </w:p>
        </w:tc>
        <w:tc>
          <w:tcPr>
            <w:tcW w:w="8878" w:type="dxa"/>
            <w:gridSpan w:val="3"/>
            <w:tcBorders/>
            <w:shd w:fill="auto" w:val="clear"/>
            <w:vAlign w:val="center"/>
          </w:tcPr>
          <w:p>
            <w:pPr>
              <w:pStyle w:val="TableContents"/>
              <w:spacing w:before="0" w:after="283"/>
              <w:rPr>
                <w:sz w:val="4"/>
                <w:szCs w:val="4"/>
              </w:rPr>
            </w:pPr>
            <w:r>
              <w:rPr>
                <w:sz w:val="4"/>
                <w:szCs w:val="4"/>
              </w:rPr>
            </w:r>
          </w:p>
        </w:tc>
      </w:tr>
      <w:tr>
        <w:trPr/>
        <w:tc>
          <w:tcPr>
            <w:tcW w:w="1327" w:type="dxa"/>
            <w:gridSpan w:val="3"/>
            <w:tcBorders/>
            <w:shd w:fill="auto" w:val="clear"/>
            <w:vAlign w:val="center"/>
          </w:tcPr>
          <w:p>
            <w:pPr>
              <w:pStyle w:val="TableContents"/>
              <w:spacing w:before="0" w:after="283"/>
              <w:rPr>
                <w:sz w:val="4"/>
                <w:szCs w:val="4"/>
              </w:rPr>
            </w:pPr>
            <w:r>
              <w:rPr>
                <w:sz w:val="4"/>
                <w:szCs w:val="4"/>
              </w:rPr>
            </w:r>
          </w:p>
        </w:tc>
        <w:tc>
          <w:tcPr>
            <w:tcW w:w="8878" w:type="dxa"/>
            <w:gridSpan w:val="3"/>
            <w:tcBorders/>
            <w:shd w:fill="auto" w:val="clear"/>
            <w:vAlign w:val="center"/>
          </w:tcPr>
          <w:p>
            <w:pPr>
              <w:pStyle w:val="TableContents"/>
              <w:spacing w:before="0" w:after="283"/>
              <w:rPr>
                <w:sz w:val="4"/>
                <w:szCs w:val="4"/>
              </w:rPr>
            </w:pPr>
            <w:r>
              <w:rPr>
                <w:sz w:val="4"/>
                <w:szCs w:val="4"/>
              </w:rPr>
            </w:r>
          </w:p>
        </w:tc>
      </w:tr>
      <w:tr>
        <w:trPr/>
        <w:tc>
          <w:tcPr>
            <w:tcW w:w="1327" w:type="dxa"/>
            <w:gridSpan w:val="3"/>
            <w:tcBorders/>
            <w:shd w:fill="auto" w:val="clear"/>
            <w:vAlign w:val="center"/>
          </w:tcPr>
          <w:p>
            <w:pPr>
              <w:pStyle w:val="TableContents"/>
              <w:spacing w:before="0" w:after="283"/>
              <w:rPr>
                <w:sz w:val="4"/>
                <w:szCs w:val="4"/>
              </w:rPr>
            </w:pPr>
            <w:r>
              <w:rPr>
                <w:sz w:val="4"/>
                <w:szCs w:val="4"/>
              </w:rPr>
            </w:r>
          </w:p>
        </w:tc>
        <w:tc>
          <w:tcPr>
            <w:tcW w:w="8878" w:type="dxa"/>
            <w:gridSpan w:val="3"/>
            <w:tcBorders/>
            <w:shd w:fill="auto" w:val="clear"/>
            <w:vAlign w:val="center"/>
          </w:tcPr>
          <w:p>
            <w:pPr>
              <w:pStyle w:val="TableContents"/>
              <w:spacing w:before="0" w:after="283"/>
              <w:rPr>
                <w:sz w:val="4"/>
                <w:szCs w:val="4"/>
              </w:rPr>
            </w:pPr>
            <w:r>
              <w:rPr>
                <w:sz w:val="4"/>
                <w:szCs w:val="4"/>
              </w:rPr>
            </w:r>
          </w:p>
        </w:tc>
      </w:tr>
      <w:tr>
        <w:trPr/>
        <w:tc>
          <w:tcPr>
            <w:tcW w:w="1327" w:type="dxa"/>
            <w:gridSpan w:val="3"/>
            <w:tcBorders/>
            <w:shd w:fill="auto" w:val="clear"/>
            <w:vAlign w:val="center"/>
          </w:tcPr>
          <w:p>
            <w:pPr>
              <w:pStyle w:val="TableContents"/>
              <w:spacing w:before="0" w:after="283"/>
              <w:rPr>
                <w:sz w:val="4"/>
                <w:szCs w:val="4"/>
              </w:rPr>
            </w:pPr>
            <w:r>
              <w:rPr>
                <w:sz w:val="4"/>
                <w:szCs w:val="4"/>
              </w:rPr>
            </w:r>
          </w:p>
        </w:tc>
        <w:tc>
          <w:tcPr>
            <w:tcW w:w="8878" w:type="dxa"/>
            <w:gridSpan w:val="3"/>
            <w:tcBorders/>
            <w:shd w:fill="auto" w:val="clear"/>
            <w:vAlign w:val="center"/>
          </w:tcPr>
          <w:p>
            <w:pPr>
              <w:pStyle w:val="TableContents"/>
              <w:spacing w:before="0" w:after="283"/>
              <w:rPr>
                <w:sz w:val="4"/>
                <w:szCs w:val="4"/>
              </w:rPr>
            </w:pPr>
            <w:r>
              <w:rPr>
                <w:sz w:val="4"/>
                <w:szCs w:val="4"/>
              </w:rPr>
            </w:r>
          </w:p>
        </w:tc>
      </w:tr>
      <w:tr>
        <w:trPr/>
        <w:tc>
          <w:tcPr>
            <w:tcW w:w="1327" w:type="dxa"/>
            <w:gridSpan w:val="3"/>
            <w:tcBorders/>
            <w:shd w:fill="auto" w:val="clear"/>
            <w:vAlign w:val="center"/>
          </w:tcPr>
          <w:p>
            <w:pPr>
              <w:pStyle w:val="TableContents"/>
              <w:spacing w:before="0" w:after="283"/>
              <w:rPr>
                <w:sz w:val="4"/>
                <w:szCs w:val="4"/>
              </w:rPr>
            </w:pPr>
            <w:r>
              <w:rPr>
                <w:sz w:val="4"/>
                <w:szCs w:val="4"/>
              </w:rPr>
            </w:r>
          </w:p>
        </w:tc>
        <w:tc>
          <w:tcPr>
            <w:tcW w:w="8878" w:type="dxa"/>
            <w:gridSpan w:val="3"/>
            <w:tcBorders/>
            <w:shd w:fill="auto" w:val="clear"/>
            <w:vAlign w:val="center"/>
          </w:tcPr>
          <w:p>
            <w:pPr>
              <w:pStyle w:val="TableContents"/>
              <w:spacing w:before="0" w:after="283"/>
              <w:rPr>
                <w:sz w:val="4"/>
                <w:szCs w:val="4"/>
              </w:rPr>
            </w:pPr>
            <w:r>
              <w:rPr>
                <w:sz w:val="4"/>
                <w:szCs w:val="4"/>
              </w:rPr>
            </w:r>
          </w:p>
        </w:tc>
      </w:tr>
      <w:tr>
        <w:trPr/>
        <w:tc>
          <w:tcPr>
            <w:tcW w:w="1327" w:type="dxa"/>
            <w:gridSpan w:val="3"/>
            <w:tcBorders/>
            <w:shd w:fill="auto" w:val="clear"/>
            <w:vAlign w:val="center"/>
          </w:tcPr>
          <w:p>
            <w:pPr>
              <w:pStyle w:val="TableContents"/>
              <w:spacing w:before="0" w:after="283"/>
              <w:rPr>
                <w:sz w:val="4"/>
                <w:szCs w:val="4"/>
              </w:rPr>
            </w:pPr>
            <w:r>
              <w:rPr>
                <w:sz w:val="4"/>
                <w:szCs w:val="4"/>
              </w:rPr>
            </w:r>
          </w:p>
        </w:tc>
        <w:tc>
          <w:tcPr>
            <w:tcW w:w="8878" w:type="dxa"/>
            <w:gridSpan w:val="3"/>
            <w:tcBorders/>
            <w:shd w:fill="auto" w:val="clear"/>
            <w:vAlign w:val="center"/>
          </w:tcPr>
          <w:p>
            <w:pPr>
              <w:pStyle w:val="TableContents"/>
              <w:spacing w:before="0" w:after="283"/>
              <w:rPr>
                <w:sz w:val="4"/>
                <w:szCs w:val="4"/>
              </w:rPr>
            </w:pPr>
            <w:r>
              <w:rPr>
                <w:sz w:val="4"/>
                <w:szCs w:val="4"/>
              </w:rPr>
            </w:r>
          </w:p>
        </w:tc>
      </w:tr>
      <w:tr>
        <w:trPr/>
        <w:tc>
          <w:tcPr>
            <w:tcW w:w="1327" w:type="dxa"/>
            <w:gridSpan w:val="3"/>
            <w:tcBorders/>
            <w:shd w:fill="auto" w:val="clear"/>
            <w:vAlign w:val="center"/>
          </w:tcPr>
          <w:p>
            <w:pPr>
              <w:pStyle w:val="TableContents"/>
              <w:spacing w:before="0" w:after="283"/>
              <w:rPr>
                <w:sz w:val="4"/>
                <w:szCs w:val="4"/>
              </w:rPr>
            </w:pPr>
            <w:r>
              <w:rPr>
                <w:sz w:val="4"/>
                <w:szCs w:val="4"/>
              </w:rPr>
            </w:r>
          </w:p>
        </w:tc>
        <w:tc>
          <w:tcPr>
            <w:tcW w:w="8878" w:type="dxa"/>
            <w:gridSpan w:val="3"/>
            <w:tcBorders/>
            <w:shd w:fill="auto" w:val="clear"/>
            <w:vAlign w:val="center"/>
          </w:tcPr>
          <w:p>
            <w:pPr>
              <w:pStyle w:val="TableContents"/>
              <w:spacing w:before="0" w:after="283"/>
              <w:rPr>
                <w:sz w:val="4"/>
                <w:szCs w:val="4"/>
              </w:rPr>
            </w:pPr>
            <w:r>
              <w:rPr>
                <w:sz w:val="4"/>
                <w:szCs w:val="4"/>
              </w:rPr>
            </w:r>
          </w:p>
        </w:tc>
      </w:tr>
      <w:tr>
        <w:trPr/>
        <w:tc>
          <w:tcPr>
            <w:tcW w:w="1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8878"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United States Securities and Exchange Commission.</w:t>
            </w:r>
          </w:p>
        </w:tc>
      </w:tr>
      <w:tr>
        <w:trPr/>
        <w:tc>
          <w:tcPr>
            <w:tcW w:w="1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Act</w:t>
            </w:r>
          </w:p>
        </w:tc>
        <w:tc>
          <w:tcPr>
            <w:tcW w:w="8878"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Securities Act of 1933, as amended.</w:t>
            </w:r>
          </w:p>
        </w:tc>
      </w:tr>
      <w:tr>
        <w:trPr/>
        <w:tc>
          <w:tcPr>
            <w:tcW w:w="1327" w:type="dxa"/>
            <w:gridSpan w:val="3"/>
            <w:tcBorders/>
            <w:shd w:fill="auto" w:val="clear"/>
            <w:vAlign w:val="center"/>
          </w:tcPr>
          <w:p>
            <w:pPr>
              <w:pStyle w:val="TableContents"/>
              <w:spacing w:before="0" w:after="283"/>
              <w:rPr>
                <w:sz w:val="4"/>
                <w:szCs w:val="4"/>
              </w:rPr>
            </w:pPr>
            <w:r>
              <w:rPr>
                <w:sz w:val="4"/>
                <w:szCs w:val="4"/>
              </w:rPr>
            </w:r>
          </w:p>
        </w:tc>
        <w:tc>
          <w:tcPr>
            <w:tcW w:w="8878" w:type="dxa"/>
            <w:gridSpan w:val="3"/>
            <w:tcBorders/>
            <w:shd w:fill="auto" w:val="clear"/>
            <w:vAlign w:val="center"/>
          </w:tcPr>
          <w:p>
            <w:pPr>
              <w:pStyle w:val="TableContents"/>
              <w:spacing w:before="0" w:after="283"/>
              <w:rPr>
                <w:sz w:val="4"/>
                <w:szCs w:val="4"/>
              </w:rPr>
            </w:pPr>
            <w:r>
              <w:rPr>
                <w:sz w:val="4"/>
                <w:szCs w:val="4"/>
              </w:rPr>
            </w:r>
          </w:p>
        </w:tc>
      </w:tr>
      <w:tr>
        <w:trPr/>
        <w:tc>
          <w:tcPr>
            <w:tcW w:w="1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Guaranteed Senior Notes</w:t>
            </w:r>
          </w:p>
        </w:tc>
        <w:tc>
          <w:tcPr>
            <w:tcW w:w="8878"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outstanding senior notes issued by Diamondback Energy, Inc. under indentures where Diamondback E&amp;P is the sole guarantor, consisting of the 3.250% Senior Notes due 2026, 3.500% Senior Notes due 2029, 3.125% Senior Notes due 2031, 6.250% Senior Notes due 2033, 4.400% Senior Notes due 2051, 4.250% Senior Notes due 2052 and 6.250% Senior Notes due 2053.</w:t>
            </w:r>
          </w:p>
        </w:tc>
      </w:tr>
      <w:tr>
        <w:trPr/>
        <w:tc>
          <w:tcPr>
            <w:tcW w:w="1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SOFR</w:t>
            </w:r>
          </w:p>
        </w:tc>
        <w:tc>
          <w:tcPr>
            <w:tcW w:w="8878"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secured overnight financing rate.</w:t>
            </w:r>
          </w:p>
        </w:tc>
      </w:tr>
      <w:tr>
        <w:trPr/>
        <w:tc>
          <w:tcPr>
            <w:tcW w:w="1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TSR</w:t>
            </w:r>
          </w:p>
        </w:tc>
        <w:tc>
          <w:tcPr>
            <w:tcW w:w="8878"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Total stockholder return of the Company’s common stock.</w:t>
            </w:r>
          </w:p>
        </w:tc>
      </w:tr>
      <w:tr>
        <w:trPr/>
        <w:tc>
          <w:tcPr>
            <w:tcW w:w="1327" w:type="dxa"/>
            <w:gridSpan w:val="3"/>
            <w:tcBorders/>
            <w:shd w:fill="auto" w:val="clear"/>
            <w:vAlign w:val="center"/>
          </w:tcPr>
          <w:p>
            <w:pPr>
              <w:pStyle w:val="TableContents"/>
              <w:spacing w:before="0" w:after="283"/>
              <w:rPr>
                <w:sz w:val="4"/>
                <w:szCs w:val="4"/>
              </w:rPr>
            </w:pPr>
            <w:r>
              <w:rPr>
                <w:sz w:val="4"/>
                <w:szCs w:val="4"/>
              </w:rPr>
            </w:r>
          </w:p>
        </w:tc>
        <w:tc>
          <w:tcPr>
            <w:tcW w:w="8878" w:type="dxa"/>
            <w:gridSpan w:val="3"/>
            <w:tcBorders/>
            <w:shd w:fill="auto" w:val="clear"/>
            <w:vAlign w:val="center"/>
          </w:tcPr>
          <w:p>
            <w:pPr>
              <w:pStyle w:val="TableContents"/>
              <w:spacing w:before="0" w:after="283"/>
              <w:rPr>
                <w:sz w:val="4"/>
                <w:szCs w:val="4"/>
              </w:rPr>
            </w:pPr>
            <w:r>
              <w:rPr>
                <w:sz w:val="4"/>
                <w:szCs w:val="4"/>
              </w:rPr>
            </w:r>
          </w:p>
        </w:tc>
      </w:tr>
      <w:tr>
        <w:trPr/>
        <w:tc>
          <w:tcPr>
            <w:tcW w:w="1327" w:type="dxa"/>
            <w:gridSpan w:val="3"/>
            <w:tcBorders/>
            <w:shd w:fill="auto" w:val="clear"/>
            <w:vAlign w:val="center"/>
          </w:tcPr>
          <w:p>
            <w:pPr>
              <w:pStyle w:val="TableContents"/>
              <w:spacing w:before="0" w:after="283"/>
              <w:rPr>
                <w:sz w:val="4"/>
                <w:szCs w:val="4"/>
              </w:rPr>
            </w:pPr>
            <w:r>
              <w:rPr>
                <w:sz w:val="4"/>
                <w:szCs w:val="4"/>
              </w:rPr>
            </w:r>
          </w:p>
        </w:tc>
        <w:tc>
          <w:tcPr>
            <w:tcW w:w="8878" w:type="dxa"/>
            <w:gridSpan w:val="3"/>
            <w:tcBorders/>
            <w:shd w:fill="auto" w:val="clear"/>
            <w:vAlign w:val="center"/>
          </w:tcPr>
          <w:p>
            <w:pPr>
              <w:pStyle w:val="TableContents"/>
              <w:spacing w:before="0" w:after="283"/>
              <w:rPr>
                <w:sz w:val="4"/>
                <w:szCs w:val="4"/>
              </w:rPr>
            </w:pPr>
            <w:r>
              <w:rPr>
                <w:sz w:val="4"/>
                <w:szCs w:val="4"/>
              </w:rPr>
            </w:r>
          </w:p>
        </w:tc>
      </w:tr>
      <w:tr>
        <w:trPr/>
        <w:tc>
          <w:tcPr>
            <w:tcW w:w="1327" w:type="dxa"/>
            <w:gridSpan w:val="3"/>
            <w:tcBorders/>
            <w:shd w:fill="auto" w:val="clear"/>
            <w:vAlign w:val="center"/>
          </w:tcPr>
          <w:p>
            <w:pPr>
              <w:pStyle w:val="TableContents"/>
              <w:spacing w:before="0" w:after="283"/>
              <w:rPr>
                <w:sz w:val="4"/>
                <w:szCs w:val="4"/>
              </w:rPr>
            </w:pPr>
            <w:r>
              <w:rPr>
                <w:sz w:val="4"/>
                <w:szCs w:val="4"/>
              </w:rPr>
            </w:r>
          </w:p>
        </w:tc>
        <w:tc>
          <w:tcPr>
            <w:tcW w:w="8878" w:type="dxa"/>
            <w:gridSpan w:val="3"/>
            <w:tcBorders/>
            <w:shd w:fill="auto" w:val="clear"/>
            <w:vAlign w:val="center"/>
          </w:tcPr>
          <w:p>
            <w:pPr>
              <w:pStyle w:val="TableContents"/>
              <w:spacing w:before="0" w:after="283"/>
              <w:rPr>
                <w:sz w:val="4"/>
                <w:szCs w:val="4"/>
              </w:rPr>
            </w:pPr>
            <w:r>
              <w:rPr>
                <w:sz w:val="4"/>
                <w:szCs w:val="4"/>
              </w:rPr>
            </w:r>
          </w:p>
        </w:tc>
      </w:tr>
      <w:tr>
        <w:trPr/>
        <w:tc>
          <w:tcPr>
            <w:tcW w:w="1327" w:type="dxa"/>
            <w:gridSpan w:val="3"/>
            <w:tcBorders/>
            <w:shd w:fill="auto" w:val="clear"/>
            <w:vAlign w:val="center"/>
          </w:tcPr>
          <w:p>
            <w:pPr>
              <w:pStyle w:val="TableContents"/>
              <w:spacing w:before="0" w:after="283"/>
              <w:rPr>
                <w:sz w:val="4"/>
                <w:szCs w:val="4"/>
              </w:rPr>
            </w:pPr>
            <w:r>
              <w:rPr>
                <w:sz w:val="4"/>
                <w:szCs w:val="4"/>
              </w:rPr>
            </w:r>
          </w:p>
        </w:tc>
        <w:tc>
          <w:tcPr>
            <w:tcW w:w="8878" w:type="dxa"/>
            <w:gridSpan w:val="3"/>
            <w:tcBorders/>
            <w:shd w:fill="auto" w:val="clear"/>
            <w:vAlign w:val="center"/>
          </w:tcPr>
          <w:p>
            <w:pPr>
              <w:pStyle w:val="TableContents"/>
              <w:spacing w:before="0" w:after="283"/>
              <w:rPr>
                <w:sz w:val="4"/>
                <w:szCs w:val="4"/>
              </w:rPr>
            </w:pPr>
            <w:r>
              <w:rPr>
                <w:sz w:val="4"/>
                <w:szCs w:val="4"/>
              </w:rPr>
            </w:r>
          </w:p>
        </w:tc>
      </w:tr>
      <w:tr>
        <w:trPr/>
        <w:tc>
          <w:tcPr>
            <w:tcW w:w="1327" w:type="dxa"/>
            <w:gridSpan w:val="3"/>
            <w:tcBorders/>
            <w:shd w:fill="auto" w:val="clear"/>
            <w:vAlign w:val="center"/>
          </w:tcPr>
          <w:p>
            <w:pPr>
              <w:pStyle w:val="TableContents"/>
              <w:spacing w:before="0" w:after="283"/>
              <w:rPr>
                <w:sz w:val="4"/>
                <w:szCs w:val="4"/>
              </w:rPr>
            </w:pPr>
            <w:r>
              <w:rPr>
                <w:sz w:val="4"/>
                <w:szCs w:val="4"/>
              </w:rPr>
            </w:r>
          </w:p>
        </w:tc>
        <w:tc>
          <w:tcPr>
            <w:tcW w:w="8878" w:type="dxa"/>
            <w:gridSpan w:val="3"/>
            <w:tcBorders/>
            <w:shd w:fill="auto" w:val="clear"/>
            <w:vAlign w:val="center"/>
          </w:tcPr>
          <w:p>
            <w:pPr>
              <w:pStyle w:val="TableContents"/>
              <w:spacing w:before="0" w:after="283"/>
              <w:rPr>
                <w:sz w:val="4"/>
                <w:szCs w:val="4"/>
              </w:rPr>
            </w:pPr>
            <w:r>
              <w:rPr>
                <w:sz w:val="4"/>
                <w:szCs w:val="4"/>
              </w:rPr>
            </w:r>
          </w:p>
        </w:tc>
      </w:tr>
      <w:tr>
        <w:trPr/>
        <w:tc>
          <w:tcPr>
            <w:tcW w:w="1327" w:type="dxa"/>
            <w:gridSpan w:val="3"/>
            <w:tcBorders/>
            <w:shd w:fill="auto" w:val="clear"/>
            <w:vAlign w:val="center"/>
          </w:tcPr>
          <w:p>
            <w:pPr>
              <w:pStyle w:val="TableContents"/>
              <w:spacing w:before="0" w:after="283"/>
              <w:rPr>
                <w:sz w:val="4"/>
                <w:szCs w:val="4"/>
              </w:rPr>
            </w:pPr>
            <w:r>
              <w:rPr>
                <w:sz w:val="4"/>
                <w:szCs w:val="4"/>
              </w:rPr>
            </w:r>
          </w:p>
        </w:tc>
        <w:tc>
          <w:tcPr>
            <w:tcW w:w="8878" w:type="dxa"/>
            <w:gridSpan w:val="3"/>
            <w:tcBorders/>
            <w:shd w:fill="auto" w:val="clear"/>
            <w:vAlign w:val="center"/>
          </w:tcPr>
          <w:p>
            <w:pPr>
              <w:pStyle w:val="TableContents"/>
              <w:spacing w:before="0" w:after="283"/>
              <w:rPr>
                <w:sz w:val="4"/>
                <w:szCs w:val="4"/>
              </w:rPr>
            </w:pPr>
            <w:r>
              <w:rPr>
                <w:sz w:val="4"/>
                <w:szCs w:val="4"/>
              </w:rPr>
            </w:r>
          </w:p>
        </w:tc>
      </w:tr>
      <w:tr>
        <w:trPr/>
        <w:tc>
          <w:tcPr>
            <w:tcW w:w="1327"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Wells Fargo</w:t>
            </w:r>
          </w:p>
        </w:tc>
        <w:tc>
          <w:tcPr>
            <w:tcW w:w="8878"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Wells Fargo Bank, National Association.</w:t>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v:rect>
            </w:pict>
          </mc:Fallback>
        </mc:AlternateContent>
      </w:r>
    </w:p>
    <w:p>
      <w:pPr>
        <w:pStyle w:val="TextBody"/>
        <w:spacing w:lineRule="auto" w:line="288" w:before="0" w:after="0"/>
        <w:rPr/>
      </w:pPr>
      <w:hyperlink w:anchor="i7011061f248747c88de11895562af037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CAUTIONARY STATEMENT REGARDING FORWARD-LOOKING STATEMENTS</w:t>
      </w:r>
    </w:p>
    <w:p>
      <w:pPr>
        <w:pStyle w:val="TextBody"/>
        <w:spacing w:before="0" w:after="0"/>
        <w:ind w:left="0" w:right="0" w:firstLine="720"/>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 xml:space="preserve">Various statements contained in this report are “forward-looking statements” within the meaning of Section 27A of the Securities Act and Section 21E of the Exchange Act, which involve risks, uncertainties, and assumptions. All statements, other than statements of historical fact, including statements regarding our: future performance; business strategy; future operations (including drilling plans and capital plans); estimates and projections of revenues, losses, costs, expenses, returns, cash flow, and financial position; reserve estimates and our ability to replace or increase reserves; anticipated benefits of strategic transactions (including acquisitions and divestitures); and plans and objectives of management (including plans for future cash flow from operations and for executing environmental strategies) are forward-looking statements. When used in this report, the words “aim,” “anticipate,” “believe,” “continue,” “could,” “estimate,” “expect,” “forecast,” “future,” “guidance,” “intend,” “may,” “model,” “outlook,” “plan,” “positioned,” “potential,” “predict,” “project,” “seek,” “should,” “target,” “will,” “would,” and similar expressions (including the negative of such terms) as they relate to the Company are intended to identify forward-looking statements, although not all forward-looking statements contain such identifying words. In particular, the factors discussed in this report and detailed under </w:t>
      </w:r>
      <w:hyperlink w:anchor="i7011061f248747c88de11895562af037_145">
        <w:r>
          <w:rPr>
            <w:rStyle w:val="InternetLink"/>
            <w:rFonts w:ascii="Times New Roman;sans-serif" w:hAnsi="Times New Roman;sans-serif"/>
            <w:b w:val="false"/>
            <w:color w:val="0000FF"/>
            <w:sz w:val="20"/>
            <w:u w:val="single"/>
          </w:rPr>
          <w:t>Part II, Item 1A. Risk Factors</w:t>
        </w:r>
      </w:hyperlink>
      <w:r>
        <w:rPr>
          <w:color w:val="000000"/>
        </w:rPr>
        <w:t xml:space="preserve"> </w:t>
      </w:r>
      <w:r>
        <w:rPr>
          <w:rFonts w:ascii="Times New Roman;sans-serif" w:hAnsi="Times New Roman;sans-serif"/>
          <w:b w:val="false"/>
          <w:color w:val="000000"/>
          <w:sz w:val="20"/>
        </w:rPr>
        <w:t xml:space="preserve">in this report and our </w:t>
      </w:r>
      <w:r>
        <w:fldChar w:fldCharType="begin"/>
      </w:r>
      <w:r>
        <w:rPr>
          <w:rStyle w:val="InternetLink"/>
          <w:sz w:val="20"/>
          <w:u w:val="single"/>
          <w:b w:val="false"/>
          <w:rFonts w:ascii="Times New Roman;sans-serif" w:hAnsi="Times New Roman;sans-serif"/>
        </w:rPr>
        <w:instrText> HYPERLINK "http://www.sec.gov/ix?doc=/Archives/edgar/data/1539838/000153983823000022/fang-20221231.htm" \l "ia595866015b4400388c840bd76dbe1a1_16"</w:instrText>
      </w:r>
      <w:r>
        <w:rPr>
          <w:rStyle w:val="InternetLink"/>
          <w:sz w:val="20"/>
          <w:u w:val="single"/>
          <w:b w:val="false"/>
          <w:rFonts w:ascii="Times New Roman;sans-serif" w:hAnsi="Times New Roman;sans-serif"/>
        </w:rPr>
        <w:fldChar w:fldCharType="separate"/>
      </w:r>
      <w:r>
        <w:rPr>
          <w:rStyle w:val="InternetLink"/>
          <w:rFonts w:ascii="Times New Roman;sans-serif" w:hAnsi="Times New Roman;sans-serif"/>
          <w:b w:val="false"/>
          <w:color w:val="0000FF"/>
          <w:sz w:val="20"/>
          <w:u w:val="single"/>
        </w:rPr>
        <w:t>Annual Report on Form 10–K</w:t>
      </w:r>
      <w:r>
        <w:rPr>
          <w:rStyle w:val="InternetLink"/>
          <w:sz w:val="20"/>
          <w:u w:val="single"/>
          <w:b w:val="false"/>
          <w:rFonts w:ascii="Times New Roman;sans-serif" w:hAnsi="Times New Roman;sans-serif"/>
        </w:rPr>
        <w:fldChar w:fldCharType="end"/>
      </w:r>
      <w:r>
        <w:rPr>
          <w:color w:val="000000"/>
        </w:rPr>
        <w:t xml:space="preserve"> </w:t>
      </w:r>
      <w:r>
        <w:rPr>
          <w:rFonts w:ascii="Times New Roman;sans-serif" w:hAnsi="Times New Roman;sans-serif"/>
          <w:b w:val="false"/>
          <w:color w:val="000000"/>
          <w:sz w:val="20"/>
        </w:rPr>
        <w:t>for the year ended December 31, 2022 could affect our actual results and cause our actual results to differ materially from expectations, estimates or assumptions expressed, forecasted or implied in such forward-looking statements. Unless the context requires otherwise, references to “we,” “us,” “our” or the “Company” are intended to mean the business and operations of the Company and its consolidated subsidiaries.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Factors that could cause our outcomes to differ materially include (but are not limited to) the following:</w:t>
      </w:r>
    </w:p>
    <w:p>
      <w:pPr>
        <w:pStyle w:val="TextBody"/>
        <w:spacing w:before="0" w:after="0"/>
        <w:ind w:left="0" w:right="0" w:firstLine="720"/>
        <w:jc w:val="both"/>
        <w:rPr/>
      </w:pPr>
      <w:r>
        <w:rPr/>
      </w:r>
    </w:p>
    <w:p>
      <w:pPr>
        <w:pStyle w:val="TextBody"/>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supply and demand levels for oil, natural gas, and natural gas liquids, and the resulting impact on the price for those commodities;</w:t>
      </w:r>
    </w:p>
    <w:p>
      <w:pPr>
        <w:pStyle w:val="TextBody"/>
        <w:spacing w:lineRule="auto" w:line="268" w:before="0" w:after="120"/>
        <w:ind w:left="0" w:right="0" w:hanging="360"/>
        <w:jc w:val="both"/>
        <w:rPr/>
      </w:pPr>
      <w:r>
        <w:rPr>
          <w:color w:val="000000"/>
        </w:rPr>
        <w:t>•</w:t>
      </w:r>
      <w:r>
        <w:rPr>
          <w:rFonts w:ascii="Times New Roman;sans-serif" w:hAnsi="Times New Roman;sans-serif"/>
          <w:b w:val="false"/>
          <w:color w:val="000000"/>
          <w:sz w:val="20"/>
        </w:rPr>
        <w:t>the impact of public health crises, including epidemic or pandemic diseases such as the COVID-19 pandemic, and any related company or government policies or actions;</w:t>
      </w:r>
    </w:p>
    <w:p>
      <w:pPr>
        <w:pStyle w:val="TextBody"/>
        <w:spacing w:lineRule="auto" w:line="268" w:before="0" w:after="120"/>
        <w:ind w:left="0" w:right="0" w:hanging="360"/>
        <w:jc w:val="both"/>
        <w:rPr/>
      </w:pPr>
      <w:r>
        <w:rPr>
          <w:color w:val="000000"/>
        </w:rPr>
        <w:t>•</w:t>
      </w:r>
      <w:r>
        <w:rPr>
          <w:rFonts w:ascii="Times New Roman;sans-serif" w:hAnsi="Times New Roman;sans-serif"/>
          <w:b w:val="false"/>
          <w:color w:val="000000"/>
          <w:sz w:val="20"/>
        </w:rPr>
        <w:t>actions taken by the members of OPEC and Russia affecting the production and pricing of oil, as well as other domestic and global political, economic, or diplomatic developments;</w:t>
      </w:r>
    </w:p>
    <w:p>
      <w:pPr>
        <w:pStyle w:val="TextBody"/>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general economic, business or industry conditions, including changes in foreign currency exchange rates, interest rates and inflation rates, instability in the financial sector and concerns over a potential economic downturn or recession;</w:t>
      </w:r>
    </w:p>
    <w:p>
      <w:pPr>
        <w:pStyle w:val="TextBody"/>
        <w:spacing w:lineRule="auto" w:line="268" w:before="0" w:after="120"/>
        <w:ind w:left="0" w:right="0" w:hanging="360"/>
        <w:jc w:val="both"/>
        <w:rPr/>
      </w:pPr>
      <w:r>
        <w:rPr>
          <w:color w:val="000000"/>
        </w:rPr>
        <w:t>•</w:t>
      </w:r>
      <w:r>
        <w:rPr>
          <w:rFonts w:ascii="Times New Roman;sans-serif" w:hAnsi="Times New Roman;sans-serif"/>
          <w:b w:val="false"/>
          <w:color w:val="000000"/>
          <w:sz w:val="20"/>
        </w:rPr>
        <w:t>regional supply and demand factors, including delays, curtailment delays or interruptions of production, or governmental orders, rules or regulations that impose production limits;</w:t>
      </w:r>
    </w:p>
    <w:p>
      <w:pPr>
        <w:pStyle w:val="TextBody"/>
        <w:spacing w:lineRule="auto" w:line="268" w:before="0" w:after="120"/>
        <w:ind w:left="0" w:right="0" w:hanging="360"/>
        <w:jc w:val="both"/>
        <w:rPr/>
      </w:pPr>
      <w:r>
        <w:rPr>
          <w:color w:val="000000"/>
        </w:rPr>
        <w:t>•</w:t>
      </w:r>
      <w:r>
        <w:rPr>
          <w:rFonts w:ascii="Times New Roman;sans-serif" w:hAnsi="Times New Roman;sans-serif"/>
          <w:b w:val="false"/>
          <w:color w:val="000000"/>
          <w:sz w:val="20"/>
        </w:rPr>
        <w:t>federal and state legislative and regulatory initiatives relating to hydraulic fracturing, including the effect of existing and future laws and governmental regulations;</w:t>
      </w:r>
    </w:p>
    <w:p>
      <w:pPr>
        <w:pStyle w:val="TextBody"/>
        <w:spacing w:lineRule="auto" w:line="268" w:before="0" w:after="120"/>
        <w:ind w:left="0" w:right="0" w:hanging="360"/>
        <w:jc w:val="both"/>
        <w:rPr/>
      </w:pPr>
      <w:r>
        <w:rPr>
          <w:color w:val="000000"/>
        </w:rPr>
        <w:t>•</w:t>
      </w:r>
      <w:r>
        <w:rPr>
          <w:rFonts w:ascii="Times New Roman;sans-serif" w:hAnsi="Times New Roman;sans-serif"/>
          <w:b w:val="false"/>
          <w:color w:val="000000"/>
          <w:sz w:val="20"/>
        </w:rPr>
        <w:t>physical and transition risks relating to climate change;</w:t>
      </w:r>
    </w:p>
    <w:p>
      <w:pPr>
        <w:pStyle w:val="TextBody"/>
        <w:spacing w:lineRule="auto" w:line="268" w:before="0" w:after="120"/>
        <w:ind w:left="0" w:right="0" w:hanging="360"/>
        <w:jc w:val="both"/>
        <w:rPr/>
      </w:pPr>
      <w:r>
        <w:rPr>
          <w:color w:val="000000"/>
        </w:rPr>
        <w:t>•</w:t>
      </w:r>
      <w:r>
        <w:rPr>
          <w:rFonts w:ascii="Times New Roman;sans-serif" w:hAnsi="Times New Roman;sans-serif"/>
          <w:b w:val="false"/>
          <w:color w:val="000000"/>
          <w:sz w:val="20"/>
        </w:rPr>
        <w:t>restrictions on the use of water, including limits on the use of produced water and a moratorium on new produced water well permits recently imposed by the Texas Railroad Commission in an effort to control induced seismicity in the Permian Basin;</w:t>
      </w:r>
    </w:p>
    <w:p>
      <w:pPr>
        <w:pStyle w:val="TextBody"/>
        <w:spacing w:lineRule="auto" w:line="268" w:before="0" w:after="120"/>
        <w:ind w:left="0" w:right="0" w:hanging="360"/>
        <w:jc w:val="both"/>
        <w:rPr/>
      </w:pPr>
      <w:r>
        <w:rPr>
          <w:color w:val="000000"/>
        </w:rPr>
        <w:t>•</w:t>
      </w:r>
      <w:r>
        <w:rPr>
          <w:rFonts w:ascii="Times New Roman;sans-serif" w:hAnsi="Times New Roman;sans-serif"/>
          <w:b w:val="false"/>
          <w:color w:val="000000"/>
          <w:sz w:val="20"/>
        </w:rPr>
        <w:t>significant declines in prices for oil, natural gas, or natural gas liquids, which could require recognition of significant impairment charges;</w:t>
      </w:r>
    </w:p>
    <w:p>
      <w:pPr>
        <w:pStyle w:val="TextBody"/>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U.S. energy, environmental, monetary and trade policies;</w:t>
      </w:r>
    </w:p>
    <w:p>
      <w:pPr>
        <w:pStyle w:val="TextBody"/>
        <w:spacing w:lineRule="auto" w:line="268" w:before="0" w:after="120"/>
        <w:ind w:left="0" w:right="0" w:hanging="360"/>
        <w:jc w:val="both"/>
        <w:rPr/>
      </w:pPr>
      <w:r>
        <w:rPr>
          <w:color w:val="000000"/>
        </w:rPr>
        <w:t>•</w:t>
      </w:r>
      <w:r>
        <w:rPr>
          <w:rFonts w:ascii="Times New Roman;sans-serif" w:hAnsi="Times New Roman;sans-serif"/>
          <w:b w:val="false"/>
          <w:color w:val="000000"/>
          <w:sz w:val="20"/>
        </w:rPr>
        <w:t>conditions in the capital, financial and credit markets, including the availability and pricing of capital for drilling and development operations and our environmental and social responsibility projects;</w:t>
      </w:r>
    </w:p>
    <w:p>
      <w:pPr>
        <w:pStyle w:val="TextBody"/>
        <w:spacing w:lineRule="auto" w:line="268" w:before="0" w:after="120"/>
        <w:ind w:left="0" w:right="0" w:hanging="360"/>
        <w:jc w:val="both"/>
        <w:rPr/>
      </w:pPr>
      <w:r>
        <w:rPr>
          <w:color w:val="000000"/>
        </w:rPr>
        <w:t>•</w:t>
      </w:r>
      <w:r>
        <w:rPr>
          <w:rFonts w:ascii="Times New Roman;sans-serif" w:hAnsi="Times New Roman;sans-serif"/>
          <w:b w:val="false"/>
          <w:color w:val="000000"/>
          <w:sz w:val="20"/>
        </w:rPr>
        <w:t>challenges with employee retention and an increasingly competitive labor market due to a sustained labor shortage or increased turnover caused by the COVID-19 pandemic;</w:t>
      </w:r>
    </w:p>
    <w:p>
      <w:pPr>
        <w:pStyle w:val="TextBody"/>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availability or cost of rigs, equipment, raw materials, supplies, oilfield services;</w:t>
      </w:r>
    </w:p>
    <w:p>
      <w:pPr>
        <w:pStyle w:val="TextBody"/>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safety, health, environmental, tax, and other regulations or requirements (including those addressing air emissions, water management, or the impact of global climate change);</w:t>
      </w:r>
    </w:p>
    <w:p>
      <w:pPr>
        <w:pStyle w:val="TextBody"/>
        <w:spacing w:lineRule="auto" w:line="268" w:before="0" w:after="120"/>
        <w:ind w:left="0" w:right="0" w:hanging="360"/>
        <w:jc w:val="both"/>
        <w:rPr/>
      </w:pPr>
      <w:r>
        <w:rPr>
          <w:color w:val="000000"/>
        </w:rPr>
        <w:t>•</w:t>
      </w:r>
      <w:r>
        <w:rPr>
          <w:rFonts w:ascii="Times New Roman;sans-serif" w:hAnsi="Times New Roman;sans-serif"/>
          <w:b w:val="false"/>
          <w:color w:val="000000"/>
          <w:sz w:val="20"/>
        </w:rPr>
        <w:t>security threats, including cybersecurity threats and disruptions to our business and operations from breaches of our information technology systems, or from breaches of information technology systems of third parties with whom we transact business;</w:t>
      </w:r>
    </w:p>
    <w:p>
      <w:pPr>
        <w:pStyle w:val="TextBody"/>
        <w:spacing w:lineRule="auto" w:line="268" w:before="0" w:after="120"/>
        <w:ind w:left="0" w:right="0" w:hanging="360"/>
        <w:jc w:val="both"/>
        <w:rPr/>
      </w:pPr>
      <w:r>
        <w:rPr>
          <w:color w:val="000000"/>
        </w:rPr>
        <w:t>•</w:t>
      </w:r>
      <w:r>
        <w:rPr>
          <w:rFonts w:ascii="Times New Roman;sans-serif" w:hAnsi="Times New Roman;sans-serif"/>
          <w:b w:val="false"/>
          <w:color w:val="000000"/>
          <w:sz w:val="20"/>
        </w:rPr>
        <w:t xml:space="preserve">lack of, or disruption in, access to adequate and reliable transportation, processing, storage, and other facilities for our oil, natural gas, and natural gas liquids; </w:t>
      </w: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v:textbox>
              </v:rect>
            </w:pict>
          </mc:Fallback>
        </mc:AlternateContent>
      </w:r>
    </w:p>
    <w:p>
      <w:pPr>
        <w:pStyle w:val="TextBody"/>
        <w:spacing w:lineRule="auto" w:line="288" w:before="0" w:after="0"/>
        <w:rPr/>
      </w:pPr>
      <w:hyperlink w:anchor="i7011061f248747c88de11895562af037_7">
        <w:r>
          <w:rPr>
            <w:rStyle w:val="InternetLink"/>
            <w:rFonts w:ascii="Times New Roman;sans-serif" w:hAnsi="Times New Roman;sans-serif"/>
            <w:b w:val="false"/>
            <w:color w:val="0000FF"/>
            <w:sz w:val="16"/>
            <w:u w:val="single"/>
          </w:rPr>
          <w:t>Table of Contents</w:t>
        </w:r>
      </w:hyperlink>
    </w:p>
    <w:p>
      <w:pPr>
        <w:pStyle w:val="TextBody"/>
        <w:spacing w:lineRule="auto" w:line="268" w:before="0" w:after="120"/>
        <w:ind w:left="0" w:right="0" w:hanging="360"/>
        <w:jc w:val="both"/>
        <w:rPr/>
      </w:pPr>
      <w:r>
        <w:rPr>
          <w:color w:val="000000"/>
        </w:rPr>
        <w:t>•</w:t>
      </w:r>
      <w:r>
        <w:rPr>
          <w:rFonts w:ascii="Times New Roman;sans-serif" w:hAnsi="Times New Roman;sans-serif"/>
          <w:b w:val="false"/>
          <w:color w:val="000000"/>
          <w:sz w:val="20"/>
        </w:rPr>
        <w:t>failures or delays in achieving expected reserve or production levels from existing and future oil and natural gas developments, including due to operating hazards, drilling risks, or the inherent uncertainties in predicting reserve and reservoir performance;</w:t>
      </w:r>
    </w:p>
    <w:p>
      <w:pPr>
        <w:pStyle w:val="TextBody"/>
        <w:spacing w:lineRule="auto" w:line="268" w:before="0" w:after="120"/>
        <w:ind w:left="0" w:right="0" w:hanging="360"/>
        <w:jc w:val="both"/>
        <w:rPr/>
      </w:pPr>
      <w:r>
        <w:rPr>
          <w:color w:val="000000"/>
        </w:rPr>
        <w:t>•</w:t>
      </w:r>
      <w:r>
        <w:rPr>
          <w:rFonts w:ascii="Times New Roman;sans-serif" w:hAnsi="Times New Roman;sans-serif"/>
          <w:b w:val="false"/>
          <w:color w:val="000000"/>
          <w:sz w:val="20"/>
        </w:rPr>
        <w:t>difficulty in obtaining necessary approvals and permits;</w:t>
      </w:r>
    </w:p>
    <w:p>
      <w:pPr>
        <w:pStyle w:val="TextBody"/>
        <w:spacing w:lineRule="auto" w:line="268" w:before="0" w:after="120"/>
        <w:ind w:left="0" w:right="0" w:hanging="360"/>
        <w:jc w:val="both"/>
        <w:rPr/>
      </w:pPr>
      <w:r>
        <w:rPr>
          <w:color w:val="000000"/>
        </w:rPr>
        <w:t>•</w:t>
      </w:r>
      <w:r>
        <w:rPr>
          <w:rFonts w:ascii="Times New Roman;sans-serif" w:hAnsi="Times New Roman;sans-serif"/>
          <w:b w:val="false"/>
          <w:color w:val="000000"/>
          <w:sz w:val="20"/>
        </w:rPr>
        <w:t>severe weather conditions;</w:t>
      </w:r>
    </w:p>
    <w:p>
      <w:pPr>
        <w:pStyle w:val="TextBody"/>
        <w:spacing w:lineRule="auto" w:line="268" w:before="0" w:after="120"/>
        <w:ind w:left="0" w:right="0" w:hanging="360"/>
        <w:jc w:val="both"/>
        <w:rPr/>
      </w:pPr>
      <w:r>
        <w:rPr>
          <w:color w:val="000000"/>
        </w:rPr>
        <w:t>•</w:t>
      </w:r>
      <w:r>
        <w:rPr>
          <w:rFonts w:ascii="Times New Roman;sans-serif" w:hAnsi="Times New Roman;sans-serif"/>
          <w:b w:val="false"/>
          <w:color w:val="000000"/>
          <w:sz w:val="20"/>
        </w:rPr>
        <w:t>acts of war or terrorist acts and the governmental or military response thereto;</w:t>
      </w:r>
    </w:p>
    <w:p>
      <w:pPr>
        <w:pStyle w:val="TextBody"/>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the financial strength of counterparties to our credit agreement and hedging contracts;</w:t>
      </w:r>
    </w:p>
    <w:p>
      <w:pPr>
        <w:pStyle w:val="TextBody"/>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our credit rating; and</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other risks and factors disclosed in this report.</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light of these factors, the events anticipated by our forward-looking statements may not occur at the time anticipated or at all. Moreover, we operate in a very competitive and rapidly changing environment and new risks emerge from time to time. We cannot predict all risks, nor can we assess the impact of all factors on our business or the extent to which any factor, or combination of factors, may cause actual results to differ materially from those anticipated by any forward-looking statements we may make. Accordingly, you should not place undue reliance on any forward-looking statements made in this report. All forward-looking statements speak only as of the date of this report or, if earlier, as of the date they were made. We do not intend to, and disclaim any obligation to, update or revise any forward-looking statements unless required by applicable law.</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w:t>
                      </w:r>
                    </w:p>
                  </w:txbxContent>
                </v:textbox>
              </v:rect>
            </w:pict>
          </mc:Fallback>
        </mc:AlternateContent>
      </w:r>
    </w:p>
    <w:p>
      <w:pPr>
        <w:pStyle w:val="TextBody"/>
        <w:spacing w:lineRule="auto" w:line="288" w:before="0" w:after="0"/>
        <w:rPr/>
      </w:pPr>
      <w:hyperlink w:anchor="i7011061f248747c88de11895562af037_7">
        <w:r>
          <w:rPr>
            <w:rStyle w:val="InternetLink"/>
            <w:rFonts w:ascii="Times New Roman;sans-serif" w:hAnsi="Times New Roman;sans-serif"/>
            <w:b w:val="false"/>
            <w:color w:val="0000FF"/>
            <w:sz w:val="16"/>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PART I. FINANCIAL INFORMATION </w:t>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 (UNAUDITED)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0205" w:type="dxa"/>
        <w:jc w:val="left"/>
        <w:tblInd w:w="0" w:type="dxa"/>
        <w:tblCellMar>
          <w:top w:w="28" w:type="dxa"/>
          <w:left w:w="28" w:type="dxa"/>
          <w:bottom w:w="28" w:type="dxa"/>
          <w:right w:w="28" w:type="dxa"/>
        </w:tblCellMar>
      </w:tblPr>
      <w:tblGrid>
        <w:gridCol w:w="2774"/>
        <w:gridCol w:w="2267"/>
        <w:gridCol w:w="2256"/>
        <w:gridCol w:w="250"/>
        <w:gridCol w:w="826"/>
        <w:gridCol w:w="139"/>
        <w:gridCol w:w="139"/>
        <w:gridCol w:w="139"/>
        <w:gridCol w:w="139"/>
        <w:gridCol w:w="250"/>
        <w:gridCol w:w="826"/>
        <w:gridCol w:w="200"/>
      </w:tblGrid>
      <w:tr>
        <w:trPr/>
        <w:tc>
          <w:tcPr>
            <w:tcW w:w="2774" w:type="dxa"/>
            <w:tcBorders/>
            <w:shd w:fill="auto" w:val="clear"/>
            <w:vAlign w:val="center"/>
          </w:tcPr>
          <w:p>
            <w:pPr>
              <w:pStyle w:val="TableContents"/>
              <w:spacing w:before="0" w:after="283"/>
              <w:rPr>
                <w:sz w:val="4"/>
                <w:szCs w:val="4"/>
              </w:rPr>
            </w:pPr>
            <w:r>
              <w:rPr>
                <w:sz w:val="4"/>
                <w:szCs w:val="4"/>
              </w:rPr>
            </w:r>
          </w:p>
        </w:tc>
        <w:tc>
          <w:tcPr>
            <w:tcW w:w="2267" w:type="dxa"/>
            <w:tcBorders/>
            <w:shd w:fill="auto" w:val="clear"/>
            <w:vAlign w:val="center"/>
          </w:tcPr>
          <w:p>
            <w:pPr>
              <w:pStyle w:val="TableContents"/>
              <w:spacing w:before="0" w:after="283"/>
              <w:rPr>
                <w:sz w:val="4"/>
                <w:szCs w:val="4"/>
              </w:rPr>
            </w:pPr>
            <w:r>
              <w:rPr>
                <w:sz w:val="4"/>
                <w:szCs w:val="4"/>
              </w:rPr>
            </w:r>
          </w:p>
        </w:tc>
        <w:tc>
          <w:tcPr>
            <w:tcW w:w="2256"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r>
      <w:tr>
        <w:trPr/>
        <w:tc>
          <w:tcPr>
            <w:tcW w:w="10205"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Diamondback Energy, Inc. and Subsidiaries</w:t>
            </w:r>
          </w:p>
        </w:tc>
      </w:tr>
      <w:tr>
        <w:trPr/>
        <w:tc>
          <w:tcPr>
            <w:tcW w:w="10205"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Condensed Consolidated Balance Sheets</w:t>
            </w:r>
          </w:p>
        </w:tc>
      </w:tr>
      <w:tr>
        <w:trPr/>
        <w:tc>
          <w:tcPr>
            <w:tcW w:w="10205"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72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4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2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2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8" w:type="dxa"/>
            <w:gridSpan w:val="9"/>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par values and share data)</w:t>
            </w:r>
          </w:p>
        </w:tc>
      </w:tr>
      <w:tr>
        <w:trPr/>
        <w:tc>
          <w:tcPr>
            <w:tcW w:w="729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2908" w:type="dxa"/>
            <w:gridSpan w:val="9"/>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r>
      <w:tr>
        <w:trPr/>
        <w:tc>
          <w:tcPr>
            <w:tcW w:w="72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Current assets:</w:t>
            </w:r>
          </w:p>
        </w:tc>
        <w:tc>
          <w:tcPr>
            <w:tcW w:w="12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and cash equivalents</w:t>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157 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Restricted cash</w:t>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receivable:</w:t>
            </w:r>
          </w:p>
        </w:tc>
        <w:tc>
          <w:tcPr>
            <w:tcW w:w="12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Joint interest and other, net</w:t>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148 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Oil and natural gas sales, net</w:t>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606 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618 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7"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41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r>
      <w:tr>
        <w:trPr/>
        <w:tc>
          <w:tcPr>
            <w:tcW w:w="72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Inventories</w:t>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7"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41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r>
      <w:tr>
        <w:trPr/>
        <w:tc>
          <w:tcPr>
            <w:tcW w:w="72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Derivative instruments</w:t>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132 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Income tax receivable</w:t>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188 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284 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Prepaid expenses and other current assets</w:t>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current assets</w:t>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1,160 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1,392 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Property and equipment:</w:t>
            </w:r>
          </w:p>
        </w:tc>
        <w:tc>
          <w:tcPr>
            <w:tcW w:w="121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97"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17"/>
              </w:rPr>
            </w:pPr>
            <w:r>
              <w:rPr>
                <w:rFonts w:ascii="Times New Roman;sans-serif" w:hAnsi="Times New Roman;sans-serif"/>
                <w:b w:val="false"/>
                <w:color w:val="000000"/>
                <w:sz w:val="17"/>
              </w:rPr>
              <w:t>Oil and natural gas properties, full cost method of accounting ($8,711 million and $8,355 million excluded from amortization at March 31, 2023 and December 31, 2022, respectively)</w:t>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39,321 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37,122 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property, equipment and land</w:t>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1,431 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1,481 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Accumulated depletion, depreciation, amortization and impairment</w:t>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(15,238)</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(14,844)</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Property and equipment, net</w:t>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25,514 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23,759 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Funds held in escrow</w:t>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Equity method investments</w:t>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573 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566 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Assets held for sale</w:t>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143 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158 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Derivative instruments</w:t>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income taxes, net</w:t>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Investment in real estate, net</w:t>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assets</w:t>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assets</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27,589 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26,209 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21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Current liabilities:</w:t>
            </w:r>
          </w:p>
        </w:tc>
        <w:tc>
          <w:tcPr>
            <w:tcW w:w="12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payable - trade</w:t>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241 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7"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41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r>
      <w:tr>
        <w:trPr/>
        <w:tc>
          <w:tcPr>
            <w:tcW w:w="72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Accrued capital expenditures</w:t>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466 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480 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Current maturities of long-term debt</w:t>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accrued liabilities</w:t>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350 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399 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Revenues and royalties payable</w:t>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716 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619 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Derivative instruments</w:t>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Income taxes payable</w:t>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7"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41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r>
      <w:tr>
        <w:trPr/>
        <w:tc>
          <w:tcPr>
            <w:tcW w:w="72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current liabilities</w:t>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1,886 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1,716 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Long-term debt</w:t>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6,950 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6,238 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Derivative instruments</w:t>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150 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148 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Asset retirement obligations</w:t>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306 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336 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income taxes</w:t>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2,161 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2,069 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long-term liabilities</w:t>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liabilities</w:t>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11,466 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10,519 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Commitments and contingencies (Note 14)</w:t>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Stockholders’ equity:</w:t>
            </w:r>
          </w:p>
        </w:tc>
        <w:tc>
          <w:tcPr>
            <w:tcW w:w="12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7"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17"/>
              </w:rPr>
            </w:pPr>
            <w:r>
              <w:rPr>
                <w:rFonts w:ascii="Times New Roman;sans-serif" w:hAnsi="Times New Roman;sans-serif"/>
                <w:b w:val="false"/>
                <w:color w:val="000000"/>
                <w:sz w:val="17"/>
              </w:rPr>
              <w:t>Common stock, $0.01 par value; 400,000,000 shares authorized; 181,604,781 and 179,840,797 shares issued and outstanding at March 31, 2023 and December 31, 2022, respectively</w:t>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Additional paid-in capital</w:t>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14,502 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14,213 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Retained earnings (accumulated deficit)</w:t>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967 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801 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Accumulated other comprehensive income (loss)</w:t>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Diamondback Energy, Inc. stockholders’ equity</w:t>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15,464 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15,009 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Non-controlling interest</w:t>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659 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681 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equity</w:t>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16,123 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15,690 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liabilities and equity</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27,589 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26,209 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0"/>
        <w:rPr/>
      </w:pPr>
      <w:hyperlink w:anchor="i7011061f248747c88de11895562af037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CellMar>
          <w:top w:w="28" w:type="dxa"/>
          <w:left w:w="28" w:type="dxa"/>
          <w:bottom w:w="28" w:type="dxa"/>
          <w:right w:w="28" w:type="dxa"/>
        </w:tblCellMar>
      </w:tblPr>
      <w:tblGrid>
        <w:gridCol w:w="1779"/>
        <w:gridCol w:w="1527"/>
        <w:gridCol w:w="1535"/>
        <w:gridCol w:w="467"/>
        <w:gridCol w:w="1369"/>
        <w:gridCol w:w="241"/>
        <w:gridCol w:w="241"/>
        <w:gridCol w:w="241"/>
        <w:gridCol w:w="241"/>
        <w:gridCol w:w="467"/>
        <w:gridCol w:w="1369"/>
        <w:gridCol w:w="241"/>
        <w:gridCol w:w="109"/>
        <w:gridCol w:w="109"/>
        <w:gridCol w:w="109"/>
        <w:gridCol w:w="160"/>
      </w:tblGrid>
      <w:tr>
        <w:trPr/>
        <w:tc>
          <w:tcPr>
            <w:tcW w:w="1779" w:type="dxa"/>
            <w:tcBorders/>
            <w:shd w:fill="auto" w:val="clear"/>
            <w:vAlign w:val="center"/>
          </w:tcPr>
          <w:p>
            <w:pPr>
              <w:pStyle w:val="TableContents"/>
              <w:spacing w:before="0" w:after="283"/>
              <w:rPr>
                <w:sz w:val="4"/>
                <w:szCs w:val="4"/>
              </w:rPr>
            </w:pPr>
            <w:r>
              <w:rPr>
                <w:sz w:val="4"/>
                <w:szCs w:val="4"/>
              </w:rPr>
            </w:r>
          </w:p>
        </w:tc>
        <w:tc>
          <w:tcPr>
            <w:tcW w:w="1527"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36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36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gridSpan w:val="2"/>
            <w:tcBorders/>
            <w:shd w:fill="auto" w:val="clear"/>
          </w:tcPr>
          <w:p>
            <w:pPr>
              <w:pStyle w:val="TableContents"/>
              <w:spacing w:before="0" w:after="283"/>
              <w:rPr>
                <w:sz w:val="4"/>
                <w:szCs w:val="4"/>
              </w:rPr>
            </w:pPr>
            <w:r>
              <w:rPr>
                <w:sz w:val="4"/>
                <w:szCs w:val="4"/>
              </w:rPr>
            </w:r>
          </w:p>
        </w:tc>
      </w:tr>
      <w:tr>
        <w:trPr/>
        <w:tc>
          <w:tcPr>
            <w:tcW w:w="4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72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7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(In millions, except per share amounts, shares in thousands)</w:t>
            </w:r>
          </w:p>
        </w:tc>
        <w:tc>
          <w:tcPr>
            <w:tcW w:w="487" w:type="dxa"/>
            <w:gridSpan w:val="4"/>
            <w:tcBorders/>
            <w:shd w:fill="auto" w:val="clear"/>
          </w:tcPr>
          <w:p>
            <w:pPr>
              <w:pStyle w:val="TableContents"/>
              <w:spacing w:before="0" w:after="283"/>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Revenues:</w:t>
            </w:r>
          </w:p>
        </w:tc>
        <w:tc>
          <w:tcPr>
            <w:tcW w:w="20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Oil sales</w:t>
            </w:r>
          </w:p>
        </w:tc>
        <w:tc>
          <w:tcPr>
            <w:tcW w:w="4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3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1,654 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3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1,946 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Natural gas sales</w:t>
            </w:r>
          </w:p>
        </w:tc>
        <w:tc>
          <w:tcPr>
            <w:tcW w:w="18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154 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Natural gas liquid sales</w:t>
            </w:r>
          </w:p>
        </w:tc>
        <w:tc>
          <w:tcPr>
            <w:tcW w:w="18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179 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289 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auto" w:val="clear"/>
            <w:vAlign w:val="center"/>
          </w:tcPr>
          <w:p>
            <w:pPr>
              <w:pStyle w:val="TableContents"/>
              <w:spacing w:before="0" w:after="283"/>
              <w:rPr>
                <w:sz w:val="4"/>
                <w:szCs w:val="4"/>
              </w:rPr>
            </w:pPr>
            <w:r>
              <w:rPr>
                <w:sz w:val="4"/>
                <w:szCs w:val="4"/>
              </w:rPr>
            </w:r>
          </w:p>
        </w:tc>
        <w:tc>
          <w:tcPr>
            <w:tcW w:w="2077" w:type="dxa"/>
            <w:gridSpan w:val="3"/>
            <w:tcBorders/>
            <w:shd w:fill="auto" w:val="clear"/>
            <w:vAlign w:val="center"/>
          </w:tcPr>
          <w:p>
            <w:pPr>
              <w:pStyle w:val="TableContents"/>
              <w:spacing w:before="0" w:after="283"/>
              <w:rPr>
                <w:sz w:val="4"/>
                <w:szCs w:val="4"/>
              </w:rPr>
            </w:pPr>
            <w:r>
              <w:rPr>
                <w:sz w:val="4"/>
                <w:szCs w:val="4"/>
              </w:rPr>
            </w:r>
          </w:p>
        </w:tc>
        <w:tc>
          <w:tcPr>
            <w:tcW w:w="723" w:type="dxa"/>
            <w:gridSpan w:val="3"/>
            <w:tcBorders/>
            <w:shd w:fill="auto" w:val="clear"/>
            <w:vAlign w:val="center"/>
          </w:tcPr>
          <w:p>
            <w:pPr>
              <w:pStyle w:val="TableContents"/>
              <w:spacing w:before="0" w:after="283"/>
              <w:rPr>
                <w:sz w:val="4"/>
                <w:szCs w:val="4"/>
              </w:rPr>
            </w:pPr>
            <w:r>
              <w:rPr>
                <w:sz w:val="4"/>
                <w:szCs w:val="4"/>
              </w:rPr>
            </w:r>
          </w:p>
        </w:tc>
        <w:tc>
          <w:tcPr>
            <w:tcW w:w="20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operating income</w:t>
            </w:r>
          </w:p>
        </w:tc>
        <w:tc>
          <w:tcPr>
            <w:tcW w:w="18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revenues</w:t>
            </w:r>
          </w:p>
        </w:tc>
        <w:tc>
          <w:tcPr>
            <w:tcW w:w="18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1,925 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2,408 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Costs and expenses:</w:t>
            </w:r>
          </w:p>
        </w:tc>
        <w:tc>
          <w:tcPr>
            <w:tcW w:w="207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Lease operating expenses</w:t>
            </w:r>
          </w:p>
        </w:tc>
        <w:tc>
          <w:tcPr>
            <w:tcW w:w="18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192 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149 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Production and ad valorem taxes</w:t>
            </w:r>
          </w:p>
        </w:tc>
        <w:tc>
          <w:tcPr>
            <w:tcW w:w="18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155 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161 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Gathering and transportation</w:t>
            </w:r>
          </w:p>
        </w:tc>
        <w:tc>
          <w:tcPr>
            <w:tcW w:w="18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depletion, amortization and accretion</w:t>
            </w:r>
          </w:p>
        </w:tc>
        <w:tc>
          <w:tcPr>
            <w:tcW w:w="18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403 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313 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auto" w:val="clear"/>
            <w:vAlign w:val="center"/>
          </w:tcPr>
          <w:p>
            <w:pPr>
              <w:pStyle w:val="TableContents"/>
              <w:spacing w:before="0" w:after="283"/>
              <w:rPr>
                <w:sz w:val="4"/>
                <w:szCs w:val="4"/>
              </w:rPr>
            </w:pPr>
            <w:r>
              <w:rPr>
                <w:sz w:val="4"/>
                <w:szCs w:val="4"/>
              </w:rPr>
            </w:r>
          </w:p>
        </w:tc>
        <w:tc>
          <w:tcPr>
            <w:tcW w:w="2077" w:type="dxa"/>
            <w:gridSpan w:val="3"/>
            <w:tcBorders/>
            <w:shd w:fill="auto" w:val="clear"/>
            <w:vAlign w:val="center"/>
          </w:tcPr>
          <w:p>
            <w:pPr>
              <w:pStyle w:val="TableContents"/>
              <w:spacing w:before="0" w:after="283"/>
              <w:rPr>
                <w:sz w:val="4"/>
                <w:szCs w:val="4"/>
              </w:rPr>
            </w:pPr>
            <w:r>
              <w:rPr>
                <w:sz w:val="4"/>
                <w:szCs w:val="4"/>
              </w:rPr>
            </w:r>
          </w:p>
        </w:tc>
        <w:tc>
          <w:tcPr>
            <w:tcW w:w="723" w:type="dxa"/>
            <w:gridSpan w:val="3"/>
            <w:tcBorders/>
            <w:shd w:fill="auto" w:val="clear"/>
            <w:vAlign w:val="center"/>
          </w:tcPr>
          <w:p>
            <w:pPr>
              <w:pStyle w:val="TableContents"/>
              <w:spacing w:before="0" w:after="283"/>
              <w:rPr>
                <w:sz w:val="4"/>
                <w:szCs w:val="4"/>
              </w:rPr>
            </w:pPr>
            <w:r>
              <w:rPr>
                <w:sz w:val="4"/>
                <w:szCs w:val="4"/>
              </w:rPr>
            </w:r>
          </w:p>
        </w:tc>
        <w:tc>
          <w:tcPr>
            <w:tcW w:w="20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auto" w:val="clear"/>
            <w:vAlign w:val="center"/>
          </w:tcPr>
          <w:p>
            <w:pPr>
              <w:pStyle w:val="TableContents"/>
              <w:spacing w:before="0" w:after="283"/>
              <w:rPr>
                <w:sz w:val="4"/>
                <w:szCs w:val="4"/>
              </w:rPr>
            </w:pPr>
            <w:r>
              <w:rPr>
                <w:sz w:val="4"/>
                <w:szCs w:val="4"/>
              </w:rPr>
            </w:r>
          </w:p>
        </w:tc>
        <w:tc>
          <w:tcPr>
            <w:tcW w:w="2077" w:type="dxa"/>
            <w:gridSpan w:val="3"/>
            <w:tcBorders/>
            <w:shd w:fill="auto" w:val="clear"/>
            <w:vAlign w:val="center"/>
          </w:tcPr>
          <w:p>
            <w:pPr>
              <w:pStyle w:val="TableContents"/>
              <w:spacing w:before="0" w:after="283"/>
              <w:rPr>
                <w:sz w:val="4"/>
                <w:szCs w:val="4"/>
              </w:rPr>
            </w:pPr>
            <w:r>
              <w:rPr>
                <w:sz w:val="4"/>
                <w:szCs w:val="4"/>
              </w:rPr>
            </w:r>
          </w:p>
        </w:tc>
        <w:tc>
          <w:tcPr>
            <w:tcW w:w="723" w:type="dxa"/>
            <w:gridSpan w:val="3"/>
            <w:tcBorders/>
            <w:shd w:fill="auto" w:val="clear"/>
            <w:vAlign w:val="center"/>
          </w:tcPr>
          <w:p>
            <w:pPr>
              <w:pStyle w:val="TableContents"/>
              <w:spacing w:before="0" w:after="283"/>
              <w:rPr>
                <w:sz w:val="4"/>
                <w:szCs w:val="4"/>
              </w:rPr>
            </w:pPr>
            <w:r>
              <w:rPr>
                <w:sz w:val="4"/>
                <w:szCs w:val="4"/>
              </w:rPr>
            </w:r>
          </w:p>
        </w:tc>
        <w:tc>
          <w:tcPr>
            <w:tcW w:w="20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General and administrative expenses</w:t>
            </w:r>
          </w:p>
        </w:tc>
        <w:tc>
          <w:tcPr>
            <w:tcW w:w="18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auto" w:val="clear"/>
            <w:vAlign w:val="center"/>
          </w:tcPr>
          <w:p>
            <w:pPr>
              <w:pStyle w:val="TableContents"/>
              <w:spacing w:before="0" w:after="283"/>
              <w:rPr>
                <w:sz w:val="4"/>
                <w:szCs w:val="4"/>
              </w:rPr>
            </w:pPr>
            <w:r>
              <w:rPr>
                <w:sz w:val="4"/>
                <w:szCs w:val="4"/>
              </w:rPr>
            </w:r>
          </w:p>
        </w:tc>
        <w:tc>
          <w:tcPr>
            <w:tcW w:w="2077" w:type="dxa"/>
            <w:gridSpan w:val="3"/>
            <w:tcBorders/>
            <w:shd w:fill="auto" w:val="clear"/>
            <w:vAlign w:val="center"/>
          </w:tcPr>
          <w:p>
            <w:pPr>
              <w:pStyle w:val="TableContents"/>
              <w:spacing w:before="0" w:after="283"/>
              <w:rPr>
                <w:sz w:val="4"/>
                <w:szCs w:val="4"/>
              </w:rPr>
            </w:pPr>
            <w:r>
              <w:rPr>
                <w:sz w:val="4"/>
                <w:szCs w:val="4"/>
              </w:rPr>
            </w:r>
          </w:p>
        </w:tc>
        <w:tc>
          <w:tcPr>
            <w:tcW w:w="723" w:type="dxa"/>
            <w:gridSpan w:val="3"/>
            <w:tcBorders/>
            <w:shd w:fill="auto" w:val="clear"/>
            <w:vAlign w:val="center"/>
          </w:tcPr>
          <w:p>
            <w:pPr>
              <w:pStyle w:val="TableContents"/>
              <w:spacing w:before="0" w:after="283"/>
              <w:rPr>
                <w:sz w:val="4"/>
                <w:szCs w:val="4"/>
              </w:rPr>
            </w:pPr>
            <w:r>
              <w:rPr>
                <w:sz w:val="4"/>
                <w:szCs w:val="4"/>
              </w:rPr>
            </w:r>
          </w:p>
        </w:tc>
        <w:tc>
          <w:tcPr>
            <w:tcW w:w="20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Merger and integration expenses</w:t>
            </w:r>
          </w:p>
        </w:tc>
        <w:tc>
          <w:tcPr>
            <w:tcW w:w="18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operating expenses</w:t>
            </w:r>
          </w:p>
        </w:tc>
        <w:tc>
          <w:tcPr>
            <w:tcW w:w="18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costs and expenses</w:t>
            </w:r>
          </w:p>
        </w:tc>
        <w:tc>
          <w:tcPr>
            <w:tcW w:w="18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900 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Income (loss) from operations</w:t>
            </w:r>
          </w:p>
        </w:tc>
        <w:tc>
          <w:tcPr>
            <w:tcW w:w="18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1,025 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1,660 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Other income (expense):</w:t>
            </w:r>
          </w:p>
        </w:tc>
        <w:tc>
          <w:tcPr>
            <w:tcW w:w="20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 net</w:t>
            </w:r>
          </w:p>
        </w:tc>
        <w:tc>
          <w:tcPr>
            <w:tcW w:w="18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income (expense), net</w:t>
            </w:r>
          </w:p>
        </w:tc>
        <w:tc>
          <w:tcPr>
            <w:tcW w:w="18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auto" w:val="clear"/>
            <w:vAlign w:val="center"/>
          </w:tcPr>
          <w:p>
            <w:pPr>
              <w:pStyle w:val="TableContents"/>
              <w:spacing w:before="0" w:after="283"/>
              <w:rPr>
                <w:sz w:val="4"/>
                <w:szCs w:val="4"/>
              </w:rPr>
            </w:pPr>
            <w:r>
              <w:rPr>
                <w:sz w:val="4"/>
                <w:szCs w:val="4"/>
              </w:rPr>
            </w:r>
          </w:p>
        </w:tc>
        <w:tc>
          <w:tcPr>
            <w:tcW w:w="2077" w:type="dxa"/>
            <w:gridSpan w:val="3"/>
            <w:tcBorders/>
            <w:shd w:fill="auto" w:val="clear"/>
            <w:vAlign w:val="center"/>
          </w:tcPr>
          <w:p>
            <w:pPr>
              <w:pStyle w:val="TableContents"/>
              <w:spacing w:before="0" w:after="283"/>
              <w:rPr>
                <w:sz w:val="4"/>
                <w:szCs w:val="4"/>
              </w:rPr>
            </w:pPr>
            <w:r>
              <w:rPr>
                <w:sz w:val="4"/>
                <w:szCs w:val="4"/>
              </w:rPr>
            </w:r>
          </w:p>
        </w:tc>
        <w:tc>
          <w:tcPr>
            <w:tcW w:w="723" w:type="dxa"/>
            <w:gridSpan w:val="3"/>
            <w:tcBorders/>
            <w:shd w:fill="auto" w:val="clear"/>
            <w:vAlign w:val="center"/>
          </w:tcPr>
          <w:p>
            <w:pPr>
              <w:pStyle w:val="TableContents"/>
              <w:spacing w:before="0" w:after="283"/>
              <w:rPr>
                <w:sz w:val="4"/>
                <w:szCs w:val="4"/>
              </w:rPr>
            </w:pPr>
            <w:r>
              <w:rPr>
                <w:sz w:val="4"/>
                <w:szCs w:val="4"/>
              </w:rPr>
            </w:r>
          </w:p>
        </w:tc>
        <w:tc>
          <w:tcPr>
            <w:tcW w:w="20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 (loss) on derivative instruments, net</w:t>
            </w:r>
          </w:p>
        </w:tc>
        <w:tc>
          <w:tcPr>
            <w:tcW w:w="18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(93)</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(552)</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auto" w:val="clear"/>
            <w:vAlign w:val="center"/>
          </w:tcPr>
          <w:p>
            <w:pPr>
              <w:pStyle w:val="TableContents"/>
              <w:spacing w:before="0" w:after="283"/>
              <w:rPr>
                <w:sz w:val="4"/>
                <w:szCs w:val="4"/>
              </w:rPr>
            </w:pPr>
            <w:r>
              <w:rPr>
                <w:sz w:val="4"/>
                <w:szCs w:val="4"/>
              </w:rPr>
            </w:r>
          </w:p>
        </w:tc>
        <w:tc>
          <w:tcPr>
            <w:tcW w:w="2077" w:type="dxa"/>
            <w:gridSpan w:val="3"/>
            <w:tcBorders/>
            <w:shd w:fill="auto" w:val="clear"/>
            <w:vAlign w:val="center"/>
          </w:tcPr>
          <w:p>
            <w:pPr>
              <w:pStyle w:val="TableContents"/>
              <w:spacing w:before="0" w:after="283"/>
              <w:rPr>
                <w:sz w:val="4"/>
                <w:szCs w:val="4"/>
              </w:rPr>
            </w:pPr>
            <w:r>
              <w:rPr>
                <w:sz w:val="4"/>
                <w:szCs w:val="4"/>
              </w:rPr>
            </w:r>
          </w:p>
        </w:tc>
        <w:tc>
          <w:tcPr>
            <w:tcW w:w="723" w:type="dxa"/>
            <w:gridSpan w:val="3"/>
            <w:tcBorders/>
            <w:shd w:fill="auto" w:val="clear"/>
            <w:vAlign w:val="center"/>
          </w:tcPr>
          <w:p>
            <w:pPr>
              <w:pStyle w:val="TableContents"/>
              <w:spacing w:before="0" w:after="283"/>
              <w:rPr>
                <w:sz w:val="4"/>
                <w:szCs w:val="4"/>
              </w:rPr>
            </w:pPr>
            <w:r>
              <w:rPr>
                <w:sz w:val="4"/>
                <w:szCs w:val="4"/>
              </w:rPr>
            </w:r>
          </w:p>
        </w:tc>
        <w:tc>
          <w:tcPr>
            <w:tcW w:w="20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auto" w:val="clear"/>
            <w:vAlign w:val="center"/>
          </w:tcPr>
          <w:p>
            <w:pPr>
              <w:pStyle w:val="TableContents"/>
              <w:spacing w:before="0" w:after="283"/>
              <w:rPr>
                <w:sz w:val="4"/>
                <w:szCs w:val="4"/>
              </w:rPr>
            </w:pPr>
            <w:r>
              <w:rPr>
                <w:sz w:val="4"/>
                <w:szCs w:val="4"/>
              </w:rPr>
            </w:r>
          </w:p>
        </w:tc>
        <w:tc>
          <w:tcPr>
            <w:tcW w:w="2077" w:type="dxa"/>
            <w:gridSpan w:val="3"/>
            <w:tcBorders/>
            <w:shd w:fill="auto" w:val="clear"/>
            <w:vAlign w:val="center"/>
          </w:tcPr>
          <w:p>
            <w:pPr>
              <w:pStyle w:val="TableContents"/>
              <w:spacing w:before="0" w:after="283"/>
              <w:rPr>
                <w:sz w:val="4"/>
                <w:szCs w:val="4"/>
              </w:rPr>
            </w:pPr>
            <w:r>
              <w:rPr>
                <w:sz w:val="4"/>
                <w:szCs w:val="4"/>
              </w:rPr>
            </w:r>
          </w:p>
        </w:tc>
        <w:tc>
          <w:tcPr>
            <w:tcW w:w="723" w:type="dxa"/>
            <w:gridSpan w:val="3"/>
            <w:tcBorders/>
            <w:shd w:fill="auto" w:val="clear"/>
            <w:vAlign w:val="center"/>
          </w:tcPr>
          <w:p>
            <w:pPr>
              <w:pStyle w:val="TableContents"/>
              <w:spacing w:before="0" w:after="283"/>
              <w:rPr>
                <w:sz w:val="4"/>
                <w:szCs w:val="4"/>
              </w:rPr>
            </w:pPr>
            <w:r>
              <w:rPr>
                <w:sz w:val="4"/>
                <w:szCs w:val="4"/>
              </w:rPr>
            </w:r>
          </w:p>
        </w:tc>
        <w:tc>
          <w:tcPr>
            <w:tcW w:w="20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auto" w:val="clear"/>
            <w:vAlign w:val="center"/>
          </w:tcPr>
          <w:p>
            <w:pPr>
              <w:pStyle w:val="TableContents"/>
              <w:spacing w:before="0" w:after="283"/>
              <w:rPr>
                <w:sz w:val="4"/>
                <w:szCs w:val="4"/>
              </w:rPr>
            </w:pPr>
            <w:r>
              <w:rPr>
                <w:sz w:val="4"/>
                <w:szCs w:val="4"/>
              </w:rPr>
            </w:r>
          </w:p>
        </w:tc>
        <w:tc>
          <w:tcPr>
            <w:tcW w:w="2077" w:type="dxa"/>
            <w:gridSpan w:val="3"/>
            <w:tcBorders/>
            <w:shd w:fill="auto" w:val="clear"/>
            <w:vAlign w:val="center"/>
          </w:tcPr>
          <w:p>
            <w:pPr>
              <w:pStyle w:val="TableContents"/>
              <w:spacing w:before="0" w:after="283"/>
              <w:rPr>
                <w:sz w:val="4"/>
                <w:szCs w:val="4"/>
              </w:rPr>
            </w:pPr>
            <w:r>
              <w:rPr>
                <w:sz w:val="4"/>
                <w:szCs w:val="4"/>
              </w:rPr>
            </w:r>
          </w:p>
        </w:tc>
        <w:tc>
          <w:tcPr>
            <w:tcW w:w="723" w:type="dxa"/>
            <w:gridSpan w:val="3"/>
            <w:tcBorders/>
            <w:shd w:fill="auto" w:val="clear"/>
            <w:vAlign w:val="center"/>
          </w:tcPr>
          <w:p>
            <w:pPr>
              <w:pStyle w:val="TableContents"/>
              <w:spacing w:before="0" w:after="283"/>
              <w:rPr>
                <w:sz w:val="4"/>
                <w:szCs w:val="4"/>
              </w:rPr>
            </w:pPr>
            <w:r>
              <w:rPr>
                <w:sz w:val="4"/>
                <w:szCs w:val="4"/>
              </w:rPr>
            </w:r>
          </w:p>
        </w:tc>
        <w:tc>
          <w:tcPr>
            <w:tcW w:w="20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 (loss) on extinguishment of debt</w:t>
            </w:r>
          </w:p>
        </w:tc>
        <w:tc>
          <w:tcPr>
            <w:tcW w:w="18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(54)</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(loss) from equity investments</w:t>
            </w:r>
          </w:p>
        </w:tc>
        <w:tc>
          <w:tcPr>
            <w:tcW w:w="18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other income (expense), net</w:t>
            </w:r>
          </w:p>
        </w:tc>
        <w:tc>
          <w:tcPr>
            <w:tcW w:w="18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(636)</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Income (loss) before income taxes</w:t>
            </w:r>
          </w:p>
        </w:tc>
        <w:tc>
          <w:tcPr>
            <w:tcW w:w="18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953 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1,024 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(benefit from) income taxes</w:t>
            </w:r>
          </w:p>
        </w:tc>
        <w:tc>
          <w:tcPr>
            <w:tcW w:w="18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207 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221 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 xml:space="preserve">Net income (loss) </w:t>
            </w:r>
          </w:p>
        </w:tc>
        <w:tc>
          <w:tcPr>
            <w:tcW w:w="18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attributable to non-controlling interest</w:t>
            </w:r>
          </w:p>
        </w:tc>
        <w:tc>
          <w:tcPr>
            <w:tcW w:w="18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Net income (loss) attributable to Diamondback Energy, Inc.</w:t>
            </w:r>
          </w:p>
        </w:tc>
        <w:tc>
          <w:tcPr>
            <w:tcW w:w="46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36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36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Earnings (loss) per common share:</w:t>
            </w:r>
          </w:p>
        </w:tc>
        <w:tc>
          <w:tcPr>
            <w:tcW w:w="207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Basic</w:t>
            </w:r>
          </w:p>
        </w:tc>
        <w:tc>
          <w:tcPr>
            <w:tcW w:w="4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3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3.88 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3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4.35 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Diluted</w:t>
            </w:r>
          </w:p>
        </w:tc>
        <w:tc>
          <w:tcPr>
            <w:tcW w:w="4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3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3.88 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3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4.35 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Weighted average common shares outstanding:</w:t>
            </w:r>
          </w:p>
        </w:tc>
        <w:tc>
          <w:tcPr>
            <w:tcW w:w="20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Basic</w:t>
            </w:r>
          </w:p>
        </w:tc>
        <w:tc>
          <w:tcPr>
            <w:tcW w:w="18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181,988 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177,565 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Diluted</w:t>
            </w:r>
          </w:p>
        </w:tc>
        <w:tc>
          <w:tcPr>
            <w:tcW w:w="18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181,988 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177,567 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Dividends declared per share</w:t>
            </w:r>
          </w:p>
        </w:tc>
        <w:tc>
          <w:tcPr>
            <w:tcW w:w="4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3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0.83 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3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3.05 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auto" w:val="clear"/>
            <w:vAlign w:val="center"/>
          </w:tcPr>
          <w:p>
            <w:pPr>
              <w:pStyle w:val="TableContents"/>
              <w:spacing w:before="0" w:after="283"/>
              <w:rPr>
                <w:sz w:val="4"/>
                <w:szCs w:val="4"/>
              </w:rPr>
            </w:pPr>
            <w:r>
              <w:rPr>
                <w:sz w:val="4"/>
                <w:szCs w:val="4"/>
              </w:rPr>
            </w:r>
          </w:p>
        </w:tc>
        <w:tc>
          <w:tcPr>
            <w:tcW w:w="2077" w:type="dxa"/>
            <w:gridSpan w:val="3"/>
            <w:tcBorders/>
            <w:shd w:fill="auto" w:val="clear"/>
            <w:vAlign w:val="center"/>
          </w:tcPr>
          <w:p>
            <w:pPr>
              <w:pStyle w:val="TableContents"/>
              <w:spacing w:before="0" w:after="283"/>
              <w:rPr>
                <w:sz w:val="4"/>
                <w:szCs w:val="4"/>
              </w:rPr>
            </w:pPr>
            <w:r>
              <w:rPr>
                <w:sz w:val="4"/>
                <w:szCs w:val="4"/>
              </w:rPr>
            </w:r>
          </w:p>
        </w:tc>
        <w:tc>
          <w:tcPr>
            <w:tcW w:w="723" w:type="dxa"/>
            <w:gridSpan w:val="3"/>
            <w:tcBorders/>
            <w:shd w:fill="auto" w:val="clear"/>
            <w:vAlign w:val="center"/>
          </w:tcPr>
          <w:p>
            <w:pPr>
              <w:pStyle w:val="TableContents"/>
              <w:spacing w:before="0" w:after="283"/>
              <w:rPr>
                <w:sz w:val="4"/>
                <w:szCs w:val="4"/>
              </w:rPr>
            </w:pPr>
            <w:r>
              <w:rPr>
                <w:sz w:val="4"/>
                <w:szCs w:val="4"/>
              </w:rPr>
            </w:r>
          </w:p>
        </w:tc>
        <w:tc>
          <w:tcPr>
            <w:tcW w:w="20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auto" w:val="clear"/>
            <w:vAlign w:val="center"/>
          </w:tcPr>
          <w:p>
            <w:pPr>
              <w:pStyle w:val="TableContents"/>
              <w:spacing w:before="0" w:after="283"/>
              <w:rPr>
                <w:sz w:val="4"/>
                <w:szCs w:val="4"/>
              </w:rPr>
            </w:pPr>
            <w:r>
              <w:rPr>
                <w:sz w:val="4"/>
                <w:szCs w:val="4"/>
              </w:rPr>
            </w:r>
          </w:p>
        </w:tc>
        <w:tc>
          <w:tcPr>
            <w:tcW w:w="2077" w:type="dxa"/>
            <w:gridSpan w:val="3"/>
            <w:tcBorders/>
            <w:shd w:fill="auto" w:val="clear"/>
            <w:vAlign w:val="center"/>
          </w:tcPr>
          <w:p>
            <w:pPr>
              <w:pStyle w:val="TableContents"/>
              <w:spacing w:before="0" w:after="283"/>
              <w:rPr>
                <w:sz w:val="4"/>
                <w:szCs w:val="4"/>
              </w:rPr>
            </w:pPr>
            <w:r>
              <w:rPr>
                <w:sz w:val="4"/>
                <w:szCs w:val="4"/>
              </w:rPr>
            </w:r>
          </w:p>
        </w:tc>
        <w:tc>
          <w:tcPr>
            <w:tcW w:w="723" w:type="dxa"/>
            <w:gridSpan w:val="3"/>
            <w:tcBorders/>
            <w:shd w:fill="auto" w:val="clear"/>
            <w:vAlign w:val="center"/>
          </w:tcPr>
          <w:p>
            <w:pPr>
              <w:pStyle w:val="TableContents"/>
              <w:spacing w:before="0" w:after="283"/>
              <w:rPr>
                <w:sz w:val="4"/>
                <w:szCs w:val="4"/>
              </w:rPr>
            </w:pPr>
            <w:r>
              <w:rPr>
                <w:sz w:val="4"/>
                <w:szCs w:val="4"/>
              </w:rPr>
            </w:r>
          </w:p>
        </w:tc>
        <w:tc>
          <w:tcPr>
            <w:tcW w:w="20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auto" w:val="clear"/>
            <w:vAlign w:val="center"/>
          </w:tcPr>
          <w:p>
            <w:pPr>
              <w:pStyle w:val="TableContents"/>
              <w:spacing w:before="0" w:after="283"/>
              <w:rPr>
                <w:sz w:val="4"/>
                <w:szCs w:val="4"/>
              </w:rPr>
            </w:pPr>
            <w:r>
              <w:rPr>
                <w:sz w:val="4"/>
                <w:szCs w:val="4"/>
              </w:rPr>
            </w:r>
          </w:p>
        </w:tc>
        <w:tc>
          <w:tcPr>
            <w:tcW w:w="2077" w:type="dxa"/>
            <w:gridSpan w:val="3"/>
            <w:tcBorders/>
            <w:shd w:fill="auto" w:val="clear"/>
            <w:vAlign w:val="center"/>
          </w:tcPr>
          <w:p>
            <w:pPr>
              <w:pStyle w:val="TableContents"/>
              <w:spacing w:before="0" w:after="283"/>
              <w:rPr>
                <w:sz w:val="4"/>
                <w:szCs w:val="4"/>
              </w:rPr>
            </w:pPr>
            <w:r>
              <w:rPr>
                <w:sz w:val="4"/>
                <w:szCs w:val="4"/>
              </w:rPr>
            </w:r>
          </w:p>
        </w:tc>
        <w:tc>
          <w:tcPr>
            <w:tcW w:w="723" w:type="dxa"/>
            <w:gridSpan w:val="3"/>
            <w:tcBorders/>
            <w:shd w:fill="auto" w:val="clear"/>
            <w:vAlign w:val="center"/>
          </w:tcPr>
          <w:p>
            <w:pPr>
              <w:pStyle w:val="TableContents"/>
              <w:spacing w:before="0" w:after="283"/>
              <w:rPr>
                <w:sz w:val="4"/>
                <w:szCs w:val="4"/>
              </w:rPr>
            </w:pPr>
            <w:r>
              <w:rPr>
                <w:sz w:val="4"/>
                <w:szCs w:val="4"/>
              </w:rPr>
            </w:r>
          </w:p>
        </w:tc>
        <w:tc>
          <w:tcPr>
            <w:tcW w:w="20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auto" w:val="clear"/>
            <w:vAlign w:val="center"/>
          </w:tcPr>
          <w:p>
            <w:pPr>
              <w:pStyle w:val="TableContents"/>
              <w:spacing w:before="0" w:after="283"/>
              <w:rPr>
                <w:sz w:val="4"/>
                <w:szCs w:val="4"/>
              </w:rPr>
            </w:pPr>
            <w:r>
              <w:rPr>
                <w:sz w:val="4"/>
                <w:szCs w:val="4"/>
              </w:rPr>
            </w:r>
          </w:p>
        </w:tc>
        <w:tc>
          <w:tcPr>
            <w:tcW w:w="2077" w:type="dxa"/>
            <w:gridSpan w:val="3"/>
            <w:tcBorders/>
            <w:shd w:fill="auto" w:val="clear"/>
            <w:vAlign w:val="center"/>
          </w:tcPr>
          <w:p>
            <w:pPr>
              <w:pStyle w:val="TableContents"/>
              <w:spacing w:before="0" w:after="283"/>
              <w:rPr>
                <w:sz w:val="4"/>
                <w:szCs w:val="4"/>
              </w:rPr>
            </w:pPr>
            <w:r>
              <w:rPr>
                <w:sz w:val="4"/>
                <w:szCs w:val="4"/>
              </w:rPr>
            </w:r>
          </w:p>
        </w:tc>
        <w:tc>
          <w:tcPr>
            <w:tcW w:w="723" w:type="dxa"/>
            <w:gridSpan w:val="3"/>
            <w:tcBorders/>
            <w:shd w:fill="auto" w:val="clear"/>
            <w:vAlign w:val="center"/>
          </w:tcPr>
          <w:p>
            <w:pPr>
              <w:pStyle w:val="TableContents"/>
              <w:spacing w:before="0" w:after="283"/>
              <w:rPr>
                <w:sz w:val="4"/>
                <w:szCs w:val="4"/>
              </w:rPr>
            </w:pPr>
            <w:r>
              <w:rPr>
                <w:sz w:val="4"/>
                <w:szCs w:val="4"/>
              </w:rPr>
            </w:r>
          </w:p>
        </w:tc>
        <w:tc>
          <w:tcPr>
            <w:tcW w:w="20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auto" w:val="clear"/>
            <w:vAlign w:val="center"/>
          </w:tcPr>
          <w:p>
            <w:pPr>
              <w:pStyle w:val="TableContents"/>
              <w:spacing w:before="0" w:after="283"/>
              <w:rPr>
                <w:sz w:val="4"/>
                <w:szCs w:val="4"/>
              </w:rPr>
            </w:pPr>
            <w:r>
              <w:rPr>
                <w:sz w:val="4"/>
                <w:szCs w:val="4"/>
              </w:rPr>
            </w:r>
          </w:p>
        </w:tc>
        <w:tc>
          <w:tcPr>
            <w:tcW w:w="2077" w:type="dxa"/>
            <w:gridSpan w:val="3"/>
            <w:tcBorders/>
            <w:shd w:fill="auto" w:val="clear"/>
            <w:vAlign w:val="center"/>
          </w:tcPr>
          <w:p>
            <w:pPr>
              <w:pStyle w:val="TableContents"/>
              <w:spacing w:before="0" w:after="283"/>
              <w:rPr>
                <w:sz w:val="4"/>
                <w:szCs w:val="4"/>
              </w:rPr>
            </w:pPr>
            <w:r>
              <w:rPr>
                <w:sz w:val="4"/>
                <w:szCs w:val="4"/>
              </w:rPr>
            </w:r>
          </w:p>
        </w:tc>
        <w:tc>
          <w:tcPr>
            <w:tcW w:w="723" w:type="dxa"/>
            <w:gridSpan w:val="3"/>
            <w:tcBorders/>
            <w:shd w:fill="auto" w:val="clear"/>
            <w:vAlign w:val="center"/>
          </w:tcPr>
          <w:p>
            <w:pPr>
              <w:pStyle w:val="TableContents"/>
              <w:spacing w:before="0" w:after="283"/>
              <w:rPr>
                <w:sz w:val="4"/>
                <w:szCs w:val="4"/>
              </w:rPr>
            </w:pPr>
            <w:r>
              <w:rPr>
                <w:sz w:val="4"/>
                <w:szCs w:val="4"/>
              </w:rPr>
            </w:r>
          </w:p>
        </w:tc>
        <w:tc>
          <w:tcPr>
            <w:tcW w:w="20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auto" w:val="clear"/>
            <w:vAlign w:val="center"/>
          </w:tcPr>
          <w:p>
            <w:pPr>
              <w:pStyle w:val="TableContents"/>
              <w:spacing w:before="0" w:after="283"/>
              <w:rPr>
                <w:sz w:val="4"/>
                <w:szCs w:val="4"/>
              </w:rPr>
            </w:pPr>
            <w:r>
              <w:rPr>
                <w:sz w:val="4"/>
                <w:szCs w:val="4"/>
              </w:rPr>
            </w:r>
          </w:p>
        </w:tc>
        <w:tc>
          <w:tcPr>
            <w:tcW w:w="2077" w:type="dxa"/>
            <w:gridSpan w:val="3"/>
            <w:tcBorders/>
            <w:shd w:fill="auto" w:val="clear"/>
            <w:vAlign w:val="center"/>
          </w:tcPr>
          <w:p>
            <w:pPr>
              <w:pStyle w:val="TableContents"/>
              <w:spacing w:before="0" w:after="283"/>
              <w:rPr>
                <w:sz w:val="4"/>
                <w:szCs w:val="4"/>
              </w:rPr>
            </w:pPr>
            <w:r>
              <w:rPr>
                <w:sz w:val="4"/>
                <w:szCs w:val="4"/>
              </w:rPr>
            </w:r>
          </w:p>
        </w:tc>
        <w:tc>
          <w:tcPr>
            <w:tcW w:w="723" w:type="dxa"/>
            <w:gridSpan w:val="3"/>
            <w:tcBorders/>
            <w:shd w:fill="auto" w:val="clear"/>
            <w:vAlign w:val="center"/>
          </w:tcPr>
          <w:p>
            <w:pPr>
              <w:pStyle w:val="TableContents"/>
              <w:spacing w:before="0" w:after="283"/>
              <w:rPr>
                <w:sz w:val="4"/>
                <w:szCs w:val="4"/>
              </w:rPr>
            </w:pPr>
            <w:r>
              <w:rPr>
                <w:sz w:val="4"/>
                <w:szCs w:val="4"/>
              </w:rPr>
            </w:r>
          </w:p>
        </w:tc>
        <w:tc>
          <w:tcPr>
            <w:tcW w:w="20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331"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pPr>
      <w:hyperlink w:anchor="i7011061f248747c88de11895562af037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381" w:type="dxa"/>
        <w:jc w:val="left"/>
        <w:tblInd w:w="0" w:type="dxa"/>
        <w:tblCellMar>
          <w:top w:w="28" w:type="dxa"/>
          <w:left w:w="28" w:type="dxa"/>
          <w:bottom w:w="28" w:type="dxa"/>
          <w:right w:w="28" w:type="dxa"/>
        </w:tblCellMar>
      </w:tblPr>
      <w:tblGrid>
        <w:gridCol w:w="679"/>
        <w:gridCol w:w="268"/>
        <w:gridCol w:w="269"/>
        <w:gridCol w:w="368"/>
        <w:gridCol w:w="368"/>
        <w:gridCol w:w="196"/>
        <w:gridCol w:w="109"/>
        <w:gridCol w:w="109"/>
        <w:gridCol w:w="109"/>
        <w:gridCol w:w="248"/>
        <w:gridCol w:w="305"/>
        <w:gridCol w:w="138"/>
        <w:gridCol w:w="109"/>
        <w:gridCol w:w="109"/>
        <w:gridCol w:w="109"/>
        <w:gridCol w:w="196"/>
        <w:gridCol w:w="646"/>
        <w:gridCol w:w="109"/>
        <w:gridCol w:w="109"/>
        <w:gridCol w:w="109"/>
        <w:gridCol w:w="109"/>
        <w:gridCol w:w="299"/>
        <w:gridCol w:w="644"/>
        <w:gridCol w:w="168"/>
        <w:gridCol w:w="109"/>
        <w:gridCol w:w="109"/>
        <w:gridCol w:w="109"/>
        <w:gridCol w:w="424"/>
        <w:gridCol w:w="554"/>
        <w:gridCol w:w="238"/>
        <w:gridCol w:w="109"/>
        <w:gridCol w:w="109"/>
        <w:gridCol w:w="109"/>
        <w:gridCol w:w="352"/>
        <w:gridCol w:w="757"/>
        <w:gridCol w:w="197"/>
        <w:gridCol w:w="109"/>
        <w:gridCol w:w="109"/>
        <w:gridCol w:w="109"/>
        <w:gridCol w:w="196"/>
        <w:gridCol w:w="646"/>
        <w:gridCol w:w="154"/>
      </w:tblGrid>
      <w:tr>
        <w:trPr/>
        <w:tc>
          <w:tcPr>
            <w:tcW w:w="67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Retained Earnings (Accumulated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Accumulated</w:t>
              <w:br/>
              <w:t>Other</w:t>
              <w:br/>
              <w:t>Comprehensive</w:t>
              <w:br/>
              <w:t>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Non-Controlling 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r>
      <w:tr>
        <w:trPr/>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r>
        <w:trPr/>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5" w:type="dxa"/>
            <w:gridSpan w:val="3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in millions, shares in thousands)</w:t>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December 31, 2022</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179,841 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Unit-based compensation</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equivalent rights payments</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tax withholding on vested equity awards</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Repurchased shares under buyback program</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(2,531)</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Repurchased units under buyback programs</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shares issued for acquisition</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 paid</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 and issuance of restricted stock units and awards</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ownership of consolidated subsidiaries, net</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March 31, 2023</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181,605 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16,123 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866"/>
        <w:gridCol w:w="481"/>
        <w:gridCol w:w="483"/>
        <w:gridCol w:w="368"/>
        <w:gridCol w:w="368"/>
        <w:gridCol w:w="196"/>
        <w:gridCol w:w="109"/>
        <w:gridCol w:w="109"/>
        <w:gridCol w:w="109"/>
        <w:gridCol w:w="248"/>
        <w:gridCol w:w="305"/>
        <w:gridCol w:w="138"/>
        <w:gridCol w:w="109"/>
        <w:gridCol w:w="109"/>
        <w:gridCol w:w="109"/>
        <w:gridCol w:w="228"/>
        <w:gridCol w:w="753"/>
        <w:gridCol w:w="127"/>
        <w:gridCol w:w="109"/>
        <w:gridCol w:w="109"/>
        <w:gridCol w:w="109"/>
        <w:gridCol w:w="312"/>
        <w:gridCol w:w="912"/>
        <w:gridCol w:w="174"/>
        <w:gridCol w:w="109"/>
        <w:gridCol w:w="109"/>
        <w:gridCol w:w="109"/>
        <w:gridCol w:w="109"/>
        <w:gridCol w:w="109"/>
        <w:gridCol w:w="316"/>
        <w:gridCol w:w="899"/>
        <w:gridCol w:w="177"/>
        <w:gridCol w:w="109"/>
        <w:gridCol w:w="109"/>
        <w:gridCol w:w="109"/>
        <w:gridCol w:w="196"/>
        <w:gridCol w:w="646"/>
        <w:gridCol w:w="159"/>
      </w:tblGrid>
      <w:tr>
        <w:trPr/>
        <w:tc>
          <w:tcPr>
            <w:tcW w:w="866"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Retained Earnings (Accumulated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2"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Non-Controlling 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r>
      <w:tr>
        <w:trPr/>
        <w:tc>
          <w:tcPr>
            <w:tcW w:w="1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2"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0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r>
        <w:trPr/>
        <w:tc>
          <w:tcPr>
            <w:tcW w:w="1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7" w:type="dxa"/>
            <w:gridSpan w:val="2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in millions, shares in thousands)</w:t>
            </w:r>
          </w:p>
        </w:tc>
        <w:tc>
          <w:tcPr>
            <w:tcW w:w="1328" w:type="dxa"/>
            <w:gridSpan w:val="6"/>
            <w:tcBorders/>
            <w:shd w:fill="auto" w:val="clear"/>
          </w:tcPr>
          <w:p>
            <w:pPr>
              <w:pStyle w:val="TableContents"/>
              <w:spacing w:before="0" w:after="283"/>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December 31, 2021</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177,551 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14,084 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(1,998)</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1,157 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13,245 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Unit-based compensation</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equivalent rights payments</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tax withholding on vested equity awards</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Repurchased shares under buyback program</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Repurchased units under buyback programs</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 paid</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 and issuance of restricted stock units and awards</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ownership of consolidated subsidiaries, net</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3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March 31, 2022</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177,551 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14,067 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(1,326)</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1,109 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13,852 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83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r>
      <w:tr>
        <w:trPr/>
        <w:tc>
          <w:tcPr>
            <w:tcW w:w="183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r>
      <w:tr>
        <w:trPr/>
        <w:tc>
          <w:tcPr>
            <w:tcW w:w="183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r>
      <w:tr>
        <w:trPr/>
        <w:tc>
          <w:tcPr>
            <w:tcW w:w="183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r>
      <w:tr>
        <w:trPr/>
        <w:tc>
          <w:tcPr>
            <w:tcW w:w="183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r>
      <w:tr>
        <w:trPr/>
        <w:tc>
          <w:tcPr>
            <w:tcW w:w="183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r>
      <w:tr>
        <w:trPr/>
        <w:tc>
          <w:tcPr>
            <w:tcW w:w="183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r>
      <w:tr>
        <w:trPr/>
        <w:tc>
          <w:tcPr>
            <w:tcW w:w="183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r>
      <w:tr>
        <w:trPr/>
        <w:tc>
          <w:tcPr>
            <w:tcW w:w="183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r>
      <w:tr>
        <w:trPr/>
        <w:tc>
          <w:tcPr>
            <w:tcW w:w="183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r>
      <w:tr>
        <w:trPr/>
        <w:tc>
          <w:tcPr>
            <w:tcW w:w="183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r>
      <w:tr>
        <w:trPr/>
        <w:tc>
          <w:tcPr>
            <w:tcW w:w="183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r>
      <w:tr>
        <w:trPr/>
        <w:tc>
          <w:tcPr>
            <w:tcW w:w="183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r>
      <w:tr>
        <w:trPr/>
        <w:tc>
          <w:tcPr>
            <w:tcW w:w="183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r>
      <w:tr>
        <w:trPr/>
        <w:tc>
          <w:tcPr>
            <w:tcW w:w="183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r>
      <w:tr>
        <w:trPr/>
        <w:tc>
          <w:tcPr>
            <w:tcW w:w="183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r>
      <w:tr>
        <w:trPr/>
        <w:tc>
          <w:tcPr>
            <w:tcW w:w="183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r>
      <w:tr>
        <w:trPr/>
        <w:tc>
          <w:tcPr>
            <w:tcW w:w="183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r>
      <w:tr>
        <w:trPr/>
        <w:tc>
          <w:tcPr>
            <w:tcW w:w="183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r>
      <w:tr>
        <w:trPr/>
        <w:tc>
          <w:tcPr>
            <w:tcW w:w="183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r>
      <w:tr>
        <w:trPr/>
        <w:tc>
          <w:tcPr>
            <w:tcW w:w="183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r>
      <w:tr>
        <w:trPr/>
        <w:tc>
          <w:tcPr>
            <w:tcW w:w="183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r>
      <w:tr>
        <w:trPr/>
        <w:tc>
          <w:tcPr>
            <w:tcW w:w="183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r>
      <w:tr>
        <w:trPr/>
        <w:tc>
          <w:tcPr>
            <w:tcW w:w="183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r>
      <w:tr>
        <w:trPr/>
        <w:tc>
          <w:tcPr>
            <w:tcW w:w="183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r>
      <w:tr>
        <w:trPr/>
        <w:tc>
          <w:tcPr>
            <w:tcW w:w="183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r>
      <w:tr>
        <w:trPr/>
        <w:tc>
          <w:tcPr>
            <w:tcW w:w="183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r>
      <w:tr>
        <w:trPr/>
        <w:tc>
          <w:tcPr>
            <w:tcW w:w="183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7011061f248747c88de11895562af037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CellMar>
          <w:top w:w="28" w:type="dxa"/>
          <w:left w:w="28" w:type="dxa"/>
          <w:bottom w:w="28" w:type="dxa"/>
          <w:right w:w="28" w:type="dxa"/>
        </w:tblCellMar>
      </w:tblPr>
      <w:tblGrid>
        <w:gridCol w:w="2771"/>
        <w:gridCol w:w="2418"/>
        <w:gridCol w:w="2425"/>
        <w:gridCol w:w="281"/>
        <w:gridCol w:w="620"/>
        <w:gridCol w:w="145"/>
        <w:gridCol w:w="145"/>
        <w:gridCol w:w="145"/>
        <w:gridCol w:w="145"/>
        <w:gridCol w:w="281"/>
        <w:gridCol w:w="620"/>
        <w:gridCol w:w="209"/>
      </w:tblGrid>
      <w:tr>
        <w:trPr/>
        <w:tc>
          <w:tcPr>
            <w:tcW w:w="2771" w:type="dxa"/>
            <w:tcBorders/>
            <w:shd w:fill="auto" w:val="clear"/>
            <w:vAlign w:val="center"/>
          </w:tcPr>
          <w:p>
            <w:pPr>
              <w:pStyle w:val="TableContents"/>
              <w:spacing w:before="0" w:after="283"/>
              <w:rPr>
                <w:sz w:val="4"/>
                <w:szCs w:val="4"/>
              </w:rPr>
            </w:pPr>
            <w:r>
              <w:rPr>
                <w:sz w:val="4"/>
                <w:szCs w:val="4"/>
              </w:rPr>
            </w:r>
          </w:p>
        </w:tc>
        <w:tc>
          <w:tcPr>
            <w:tcW w:w="2418" w:type="dxa"/>
            <w:tcBorders/>
            <w:shd w:fill="auto" w:val="clear"/>
            <w:vAlign w:val="center"/>
          </w:tcPr>
          <w:p>
            <w:pPr>
              <w:pStyle w:val="TableContents"/>
              <w:spacing w:before="0" w:after="283"/>
              <w:rPr>
                <w:sz w:val="4"/>
                <w:szCs w:val="4"/>
              </w:rPr>
            </w:pPr>
            <w:r>
              <w:rPr>
                <w:sz w:val="4"/>
                <w:szCs w:val="4"/>
              </w:rPr>
            </w:r>
          </w:p>
        </w:tc>
        <w:tc>
          <w:tcPr>
            <w:tcW w:w="2425"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7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flows from operating activities:</w:t>
            </w:r>
          </w:p>
        </w:tc>
        <w:tc>
          <w:tcPr>
            <w:tcW w:w="10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Net income (loss) </w:t>
            </w:r>
          </w:p>
        </w:tc>
        <w:tc>
          <w:tcPr>
            <w:tcW w:w="2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746 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803 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Adjustments to reconcile net income (loss) to net cash provided by (used in) operating activities:</w:t>
            </w:r>
          </w:p>
        </w:tc>
        <w:tc>
          <w:tcPr>
            <w:tcW w:w="10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(benefit from) deferred income taxes</w:t>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97 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depletion, amortization and accretion</w:t>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403 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313 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 loss on extinguishment of debt</w:t>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54 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 loss on derivative instruments, net</w:t>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93 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552 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received (paid) on settlement of derivative instruments</w:t>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(420)</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loss from equity investment</w:t>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Equity-based compensation expense</w:t>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w:t>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Changes in operating assets and liabilities:</w:t>
            </w:r>
          </w:p>
        </w:tc>
        <w:tc>
          <w:tcPr>
            <w:tcW w:w="10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receivable</w:t>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(403)</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tax receivable</w:t>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95 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Prepaid expenses and other</w:t>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payable and accrued liabilities</w:t>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tax payable</w:t>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132 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Revenues and royalties payable</w:t>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125 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w:t>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provided by (used in) operating activities</w:t>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1,425 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1,252 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flows from investing activities:</w:t>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Drilling, completions and infrastructure additions to oil and natural gas properties</w:t>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(622)</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(418)</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Additions to midstream assets</w:t>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Property acquisitions</w:t>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(880)</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(284)</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sale of assets</w:t>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264 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w:t>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provided by (used in) investing activities</w:t>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(1,279)</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(716)</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flows from financing activities:</w:t>
            </w:r>
          </w:p>
        </w:tc>
        <w:tc>
          <w:tcPr>
            <w:tcW w:w="10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borrowings under credit facilities</w:t>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1,696 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Repayments under credit facilities</w:t>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(989)</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senior notes</w:t>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750 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Repayment of senior notes</w:t>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(1,500)</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(repayments to) joint venture</w:t>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Premium on extinguishment of debt</w:t>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Repurchased shares under buyback program</w:t>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(332)</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Repurchased units under buyback program</w:t>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Dividends paid to stockholders</w:t>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(542)</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(107)</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Distributions to non-controlling interest</w:t>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w:t>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provided by (used in) financing activities</w:t>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(257)</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(1,041)</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increase (decrease) in cash and cash equivalents</w:t>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(111)</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(505)</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cash equivalents and restricted cash at beginning of period</w:t>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164 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672 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cash equivalents and restricted cash at end of period</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167 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7011061f248747c88de11895562af037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0" w:after="0"/>
        <w:jc w:val="center"/>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    DESCRIPTION OF THE BUSINESS AND BASIS OF PRESENTATION</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Organization and Description of the Business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Diamondback Energy, Inc., together with its subsidiaries (collectively referred to as “Diamondback” or the “Company” unless the context otherwise requires), is an independent oil and natural gas company currently focused on the acquisition, development, exploration and exploitation of unconventional, onshore oil and natural gas reserves in the Permian Basin in West Texas.</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 wholly owned subsidiaries of Diamondback include Diamondback E&amp;P LLC (“Diamondback E&amp;P”), a Delaware limited liability company, Viper Energy Partners GP LLC, a Delaware limited liability company (“Viper’s General Partner”), Rattler Midstream GP LLC, a Delaware limited liability company (“Rattler’s GP”), Rattler Midstream LP, a Delaware limited partnership (“Rattler”), and QEP Resources, Inc. (“QEP”), a Delaware corporation.</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Rattler Merger</w:t>
      </w:r>
    </w:p>
    <w:p>
      <w:pPr>
        <w:pStyle w:val="TextBody"/>
        <w:spacing w:before="0" w:after="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24, 2022 (the “Effective Date”), the Company completed the merger with Rattler pursuant to which the Company acquired all of the approximately 38.51 million publicly held outstanding common units of Rattler in exchange for approximately 4.35 million shares of the Company’s common stock (the “Rattler Merger”). Rattler continued as the surviving entity. Following the Rattler Merger, the Company owns all of Rattler’s outstanding common units and Class B units, and Rattler GP remains the general partner of Rattler. Following the closing of the Rattler Merger, Rattler’s common units were delisted from the NASDAQ Global Select Market and Rattler filed a certification on Form 15 with the SEC requesting the deregistration of its common units and suspension of Rattler’s reporting obligations under the Exchange Act.</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Rattler Merger was accounted for as a non-cash equity transaction resulting in increases to common stock of $44 thousand, additional paid-in-capital of $344 million, and merger and integration expense of $11 million, and a decrease in noncontrolling interests in consolidated subsidiaries of $344 million. For periods prior to the Effective Date, the results of operations attributable to the non-controlling interest in Rattler are presented within equity and net income and are shown separately from the equity and net income attributable to the Company.</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accounts of the Company and its subsidiaries after all significant intercompany balances and transactions have been eliminated upon consolidation. The Company has one reportable segment, the upstream segment.</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Diamondback’s publicly traded subsidiary Viper Energy Partners LP (“Viper”) is consolidated in the Company’s financial statements. As of March 31, 2023, the Company owned approximately 56% of Viper’s total units outstanding. The Company’s wholly owned subsidiary, Viper Energy Partners GP LLC, is the general partner of Viper. The results of operations attributable to the non-controlling interest in Viper are presented within equity and net income and are shown separately from the equity and net income attributable to the Company.</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 xml:space="preserve">These condensed consolidated financial statements have been prepared by the Company without audit, pursuant to the rules and regulations of the SEC. They reflect all adjustments that are, in the opinion of management, necessary for a fair statement of the results for interim periods, on a basis consistent with the annual audited financial statements. All such adjustments are of a normal recurring nature. Certain information, accounting policies and footnote disclosures normally included in financial statements prepared in accordance with GAAP have been omitted pursuant to SEC rules and regulations, although the Company believes the disclosures are adequate to make the information presented not misleading. This Quarterly Report on Form 10–Q should be read in conjunction with the Company’s most recent </w:t>
      </w:r>
      <w:hyperlink r:id="rId2">
        <w:r>
          <w:rPr>
            <w:rStyle w:val="InternetLink"/>
            <w:rFonts w:ascii="Times New Roman;sans-serif" w:hAnsi="Times New Roman;sans-serif"/>
            <w:b w:val="false"/>
            <w:color w:val="0000FF"/>
            <w:sz w:val="20"/>
            <w:u w:val="single"/>
          </w:rPr>
          <w:t>Annual Report on Form 10–K</w:t>
        </w:r>
      </w:hyperlink>
      <w:r>
        <w:rPr>
          <w:color w:val="000000"/>
        </w:rPr>
        <w:t xml:space="preserve"> </w:t>
      </w:r>
      <w:r>
        <w:rPr>
          <w:rFonts w:ascii="Times New Roman;sans-serif" w:hAnsi="Times New Roman;sans-serif"/>
          <w:b w:val="false"/>
          <w:color w:val="000000"/>
          <w:sz w:val="20"/>
        </w:rPr>
        <w:t>for the fiscal year ended December 31, 2022, which contains a summary of the Company’s significant accounting policies and other disclosures.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Reclassifications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prior period amounts have been reclassified to conform to the current period financial statement presentation. These reclassifications had an immaterial effect on the previously reported total assets, total liabilities, stockholders’ equity, results of operations or cash flows.</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7011061f248747c88de11895562af037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Use of Estimates </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amounts included in or affecting the Company’s consolidated financial statements and related disclosures must be estimated by management, requiring certain assumptions to be made with respect to values or conditions that cannot be known with certainty at the time the consolidated financial statements are prepared. These estimates and assumptions affect the amounts the Company reports for assets and liabilities and the Company’s disclosure of contingent assets and liabilities as of the date of the consolidated financial statements. Actual results could differ from those estimates.</w:t>
      </w:r>
    </w:p>
    <w:p>
      <w:pPr>
        <w:pStyle w:val="TextBody"/>
        <w:spacing w:before="0" w:after="0"/>
        <w:ind w:left="0" w:right="0" w:firstLine="72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Making accurate estimates and assumptions is particularly difficult in the oil and natural gas industry given the challenges resulting from volatility in oil and natural gas prices. For instance, the war in Ukraine, the COVID-19 pandemic, rising interest rates, global supply chain disruptions, concerns about a potential economic downturn or recession, recent measures to combat persistent inflation, and instability in the financial sector have contributed to recent economic and pricing volatility. The financial results of companies in the oil and natural gas industry have been impacted materially as a result of these events and changing market conditions. Such circumstances generally increase uncertainty in the Company’s accounting estimates, particularly those involving financial forecasts. </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these estimates on an ongoing basis, using historical experience, consultation with experts and other methods the Company considers reasonable in the particular circumstances. Nevertheless, actual results may differ significantly from the Company’s estimates. Any effects on the Company’s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 properties, fair value estimates of derivative instruments, the fair value determination of acquired assets and liabilities assumed and estimates of income taxes, including deferred tax valuation allowances.</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Adopted Pronouncements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2021, the FASB issued ASU 2021-08, "Business Combinations (Topic 805) – Accounting for Contract Assets and Contract Liabilities from Contracts with Customers.” This update required the acquirer in a business combination to record contract asset and liabilities following Topic 606 – “Revenue from Contracts with Customers” at acquisition as if it had originated the contract, rather than at fair value. The Company adopted this update effective January 1, 2023. The adoption of this update did not have a material impact on its financial position, results of operations or liquidity.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Accounting Pronouncements Not Yet Adopted</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the FASB issued ASU 2023-01, “Leases (Topic 842) – Common Control Arrangements.” This update (i) requires all lessees that are a party to a lease between entities under common control in which there are leasehold improvements to record amortization utilizing the shorter period of the remaining lease term and the useful life of the improvements, and (ii) requires leasehold improvements to be accounted for as a transfer between entities under common control through an adjustment to equity if, and when, the lessee no longer controls the use of the underlying asset. This update is effective for public business entities beginning after December 15, 2023 with early adoption permitted. The Company may adopt this update (i) prospectively to all new leasehold improvements on or after the date of adoption, (ii) prospectively to all new and existing leasehold improvements on or after the date of adoption, or (iii) retrospectively to the beginning of the period in which the Company first applied Topic 842. The Company continues to evaluate the provisions of this update, but does not believe the adoption will have a material impact on its financial position, results of operations or liquidity.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the applicability and impact of all ASUs. ASUs not discussed above were assessed and determined to be either not applicable, the effects of adoption are not expected to be material or are clarifications of ASUs previously disclosed.</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7011061f248747c88de11895562af037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3.    REVENUE FROM CONTRACTS WITH CUSTOMERS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Revenue from Contracts with Customers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Company’s revenue from contracts with customers disaggregated by product type and basin:</w:t>
      </w:r>
    </w:p>
    <w:p>
      <w:pPr>
        <w:pStyle w:val="TextBody"/>
        <w:spacing w:before="0" w:after="0"/>
        <w:ind w:left="0" w:right="0" w:firstLine="720"/>
        <w:jc w:val="both"/>
        <w:rPr/>
      </w:pPr>
      <w:r>
        <w:rPr/>
      </w:r>
    </w:p>
    <w:tbl>
      <w:tblPr>
        <w:tblW w:w="10205" w:type="dxa"/>
        <w:jc w:val="left"/>
        <w:tblInd w:w="0" w:type="dxa"/>
        <w:tblCellMar>
          <w:top w:w="28" w:type="dxa"/>
          <w:left w:w="28" w:type="dxa"/>
          <w:bottom w:w="28" w:type="dxa"/>
          <w:right w:w="28" w:type="dxa"/>
        </w:tblCellMar>
      </w:tblPr>
      <w:tblGrid>
        <w:gridCol w:w="381"/>
        <w:gridCol w:w="334"/>
        <w:gridCol w:w="267"/>
        <w:gridCol w:w="225"/>
        <w:gridCol w:w="657"/>
        <w:gridCol w:w="116"/>
        <w:gridCol w:w="109"/>
        <w:gridCol w:w="109"/>
        <w:gridCol w:w="109"/>
        <w:gridCol w:w="249"/>
        <w:gridCol w:w="552"/>
        <w:gridCol w:w="130"/>
        <w:gridCol w:w="109"/>
        <w:gridCol w:w="109"/>
        <w:gridCol w:w="109"/>
        <w:gridCol w:w="211"/>
        <w:gridCol w:w="256"/>
        <w:gridCol w:w="109"/>
        <w:gridCol w:w="109"/>
        <w:gridCol w:w="109"/>
        <w:gridCol w:w="109"/>
        <w:gridCol w:w="211"/>
        <w:gridCol w:w="616"/>
        <w:gridCol w:w="109"/>
        <w:gridCol w:w="109"/>
        <w:gridCol w:w="109"/>
        <w:gridCol w:w="109"/>
        <w:gridCol w:w="225"/>
        <w:gridCol w:w="657"/>
        <w:gridCol w:w="116"/>
        <w:gridCol w:w="109"/>
        <w:gridCol w:w="109"/>
        <w:gridCol w:w="109"/>
        <w:gridCol w:w="249"/>
        <w:gridCol w:w="552"/>
        <w:gridCol w:w="130"/>
        <w:gridCol w:w="109"/>
        <w:gridCol w:w="109"/>
        <w:gridCol w:w="109"/>
        <w:gridCol w:w="211"/>
        <w:gridCol w:w="256"/>
        <w:gridCol w:w="109"/>
        <w:gridCol w:w="109"/>
        <w:gridCol w:w="109"/>
        <w:gridCol w:w="109"/>
        <w:gridCol w:w="211"/>
        <w:gridCol w:w="616"/>
        <w:gridCol w:w="161"/>
      </w:tblGrid>
      <w:tr>
        <w:trPr/>
        <w:tc>
          <w:tcPr>
            <w:tcW w:w="381"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9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2"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4"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2022</w:t>
            </w:r>
          </w:p>
        </w:tc>
      </w:tr>
      <w:tr>
        <w:trPr/>
        <w:tc>
          <w:tcPr>
            <w:tcW w:w="9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Delaware Basin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Delaware Basin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9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3" w:type="dxa"/>
            <w:gridSpan w:val="4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9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sales</w:t>
            </w:r>
          </w:p>
        </w:tc>
        <w:tc>
          <w:tcPr>
            <w:tcW w:w="2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sales</w:t>
            </w:r>
          </w:p>
        </w:tc>
        <w:tc>
          <w:tcPr>
            <w:tcW w:w="8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 sales</w:t>
            </w:r>
          </w:p>
        </w:tc>
        <w:tc>
          <w:tcPr>
            <w:tcW w:w="8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2" w:type="dxa"/>
            <w:gridSpan w:val="3"/>
            <w:tcBorders/>
            <w:shd w:fill="auto" w:val="clear"/>
            <w:vAlign w:val="center"/>
          </w:tcPr>
          <w:p>
            <w:pPr>
              <w:pStyle w:val="TableContents"/>
              <w:spacing w:before="0" w:after="283"/>
              <w:rPr>
                <w:sz w:val="4"/>
                <w:szCs w:val="4"/>
              </w:rPr>
            </w:pPr>
            <w:r>
              <w:rPr>
                <w:sz w:val="4"/>
                <w:szCs w:val="4"/>
              </w:rPr>
            </w:r>
          </w:p>
        </w:tc>
        <w:tc>
          <w:tcPr>
            <w:tcW w:w="9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r>
      <w:tr>
        <w:trPr/>
        <w:tc>
          <w:tcPr>
            <w:tcW w:w="9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982" w:type="dxa"/>
            <w:gridSpan w:val="3"/>
            <w:tcBorders/>
            <w:shd w:fill="auto" w:val="clear"/>
            <w:vAlign w:val="center"/>
          </w:tcPr>
          <w:p>
            <w:pPr>
              <w:pStyle w:val="TableContents"/>
              <w:spacing w:before="0" w:after="283"/>
              <w:rPr>
                <w:sz w:val="4"/>
                <w:szCs w:val="4"/>
              </w:rPr>
            </w:pPr>
            <w:r>
              <w:rPr>
                <w:sz w:val="4"/>
                <w:szCs w:val="4"/>
              </w:rPr>
            </w:r>
          </w:p>
        </w:tc>
        <w:tc>
          <w:tcPr>
            <w:tcW w:w="9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r>
      <w:tr>
        <w:trPr/>
        <w:tc>
          <w:tcPr>
            <w:tcW w:w="982" w:type="dxa"/>
            <w:gridSpan w:val="3"/>
            <w:tcBorders/>
            <w:shd w:fill="auto" w:val="clear"/>
            <w:vAlign w:val="center"/>
          </w:tcPr>
          <w:p>
            <w:pPr>
              <w:pStyle w:val="TableContents"/>
              <w:spacing w:before="0" w:after="283"/>
              <w:rPr>
                <w:sz w:val="4"/>
                <w:szCs w:val="4"/>
              </w:rPr>
            </w:pPr>
            <w:r>
              <w:rPr>
                <w:sz w:val="4"/>
                <w:szCs w:val="4"/>
              </w:rPr>
            </w:r>
          </w:p>
        </w:tc>
        <w:tc>
          <w:tcPr>
            <w:tcW w:w="9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6967" w:type="dxa"/>
            <w:gridSpan w:val="36"/>
            <w:tcBorders/>
            <w:shd w:fill="auto" w:val="clear"/>
          </w:tcPr>
          <w:p>
            <w:pPr>
              <w:pStyle w:val="TableContents"/>
              <w:spacing w:before="0" w:after="283"/>
              <w:rPr>
                <w:sz w:val="4"/>
                <w:szCs w:val="4"/>
              </w:rPr>
            </w:pPr>
            <w:r>
              <w:rPr>
                <w:sz w:val="4"/>
                <w:szCs w:val="4"/>
              </w:rPr>
            </w:r>
          </w:p>
        </w:tc>
      </w:tr>
      <w:tr>
        <w:trPr/>
        <w:tc>
          <w:tcPr>
            <w:tcW w:w="982" w:type="dxa"/>
            <w:gridSpan w:val="3"/>
            <w:tcBorders/>
            <w:shd w:fill="auto" w:val="clear"/>
            <w:vAlign w:val="center"/>
          </w:tcPr>
          <w:p>
            <w:pPr>
              <w:pStyle w:val="TableContents"/>
              <w:spacing w:before="0" w:after="283"/>
              <w:rPr>
                <w:sz w:val="4"/>
                <w:szCs w:val="4"/>
              </w:rPr>
            </w:pPr>
            <w:r>
              <w:rPr>
                <w:sz w:val="4"/>
                <w:szCs w:val="4"/>
              </w:rPr>
            </w:r>
          </w:p>
        </w:tc>
        <w:tc>
          <w:tcPr>
            <w:tcW w:w="9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r>
      <w:tr>
        <w:trPr/>
        <w:tc>
          <w:tcPr>
            <w:tcW w:w="982" w:type="dxa"/>
            <w:gridSpan w:val="3"/>
            <w:tcBorders/>
            <w:shd w:fill="auto" w:val="clear"/>
            <w:vAlign w:val="center"/>
          </w:tcPr>
          <w:p>
            <w:pPr>
              <w:pStyle w:val="TableContents"/>
              <w:spacing w:before="0" w:after="283"/>
              <w:rPr>
                <w:sz w:val="4"/>
                <w:szCs w:val="4"/>
              </w:rPr>
            </w:pPr>
            <w:r>
              <w:rPr>
                <w:sz w:val="4"/>
                <w:szCs w:val="4"/>
              </w:rPr>
            </w:r>
          </w:p>
        </w:tc>
        <w:tc>
          <w:tcPr>
            <w:tcW w:w="998" w:type="dxa"/>
            <w:gridSpan w:val="3"/>
            <w:tcBorders/>
            <w:shd w:fill="auto" w:val="clear"/>
            <w:vAlign w:val="center"/>
          </w:tcPr>
          <w:p>
            <w:pPr>
              <w:pStyle w:val="TableContents"/>
              <w:spacing w:before="0" w:after="283"/>
              <w:rPr>
                <w:sz w:val="4"/>
                <w:szCs w:val="4"/>
              </w:rPr>
            </w:pPr>
            <w:r>
              <w:rPr>
                <w:sz w:val="4"/>
                <w:szCs w:val="4"/>
              </w:rPr>
            </w:r>
          </w:p>
        </w:tc>
        <w:tc>
          <w:tcPr>
            <w:tcW w:w="8225" w:type="dxa"/>
            <w:gridSpan w:val="42"/>
            <w:tcBorders/>
            <w:shd w:fill="auto" w:val="clear"/>
          </w:tcPr>
          <w:p>
            <w:pPr>
              <w:pStyle w:val="TableContents"/>
              <w:spacing w:before="0" w:after="283"/>
              <w:rPr>
                <w:sz w:val="4"/>
                <w:szCs w:val="4"/>
              </w:rPr>
            </w:pPr>
            <w:r>
              <w:rPr>
                <w:sz w:val="4"/>
                <w:szCs w:val="4"/>
              </w:rPr>
            </w:r>
          </w:p>
        </w:tc>
      </w:tr>
      <w:tr>
        <w:trPr/>
        <w:tc>
          <w:tcPr>
            <w:tcW w:w="982" w:type="dxa"/>
            <w:gridSpan w:val="3"/>
            <w:tcBorders/>
            <w:shd w:fill="auto" w:val="clear"/>
            <w:vAlign w:val="center"/>
          </w:tcPr>
          <w:p>
            <w:pPr>
              <w:pStyle w:val="TableContents"/>
              <w:spacing w:before="0" w:after="283"/>
              <w:rPr>
                <w:sz w:val="4"/>
                <w:szCs w:val="4"/>
              </w:rPr>
            </w:pPr>
            <w:r>
              <w:rPr>
                <w:sz w:val="4"/>
                <w:szCs w:val="4"/>
              </w:rPr>
            </w:r>
          </w:p>
        </w:tc>
        <w:tc>
          <w:tcPr>
            <w:tcW w:w="9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r>
      <w:tr>
        <w:trPr/>
        <w:tc>
          <w:tcPr>
            <w:tcW w:w="982" w:type="dxa"/>
            <w:gridSpan w:val="3"/>
            <w:tcBorders/>
            <w:shd w:fill="auto" w:val="clear"/>
            <w:vAlign w:val="center"/>
          </w:tcPr>
          <w:p>
            <w:pPr>
              <w:pStyle w:val="TableContents"/>
              <w:spacing w:before="0" w:after="283"/>
              <w:rPr>
                <w:sz w:val="4"/>
                <w:szCs w:val="4"/>
              </w:rPr>
            </w:pPr>
            <w:r>
              <w:rPr>
                <w:sz w:val="4"/>
                <w:szCs w:val="4"/>
              </w:rPr>
            </w:r>
          </w:p>
        </w:tc>
        <w:tc>
          <w:tcPr>
            <w:tcW w:w="9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r>
      <w:tr>
        <w:trPr/>
        <w:tc>
          <w:tcPr>
            <w:tcW w:w="982" w:type="dxa"/>
            <w:gridSpan w:val="3"/>
            <w:tcBorders/>
            <w:shd w:fill="auto" w:val="clear"/>
            <w:vAlign w:val="center"/>
          </w:tcPr>
          <w:p>
            <w:pPr>
              <w:pStyle w:val="TableContents"/>
              <w:spacing w:before="0" w:after="283"/>
              <w:rPr>
                <w:sz w:val="4"/>
                <w:szCs w:val="4"/>
              </w:rPr>
            </w:pPr>
            <w:r>
              <w:rPr>
                <w:sz w:val="4"/>
                <w:szCs w:val="4"/>
              </w:rPr>
            </w:r>
          </w:p>
        </w:tc>
        <w:tc>
          <w:tcPr>
            <w:tcW w:w="9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r>
      <w:tr>
        <w:trPr/>
        <w:tc>
          <w:tcPr>
            <w:tcW w:w="982" w:type="dxa"/>
            <w:gridSpan w:val="3"/>
            <w:tcBorders/>
            <w:shd w:fill="auto" w:val="clear"/>
            <w:vAlign w:val="center"/>
          </w:tcPr>
          <w:p>
            <w:pPr>
              <w:pStyle w:val="TableContents"/>
              <w:spacing w:before="0" w:after="283"/>
              <w:rPr>
                <w:sz w:val="4"/>
                <w:szCs w:val="4"/>
              </w:rPr>
            </w:pPr>
            <w:r>
              <w:rPr>
                <w:sz w:val="4"/>
                <w:szCs w:val="4"/>
              </w:rPr>
            </w:r>
          </w:p>
        </w:tc>
        <w:tc>
          <w:tcPr>
            <w:tcW w:w="9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r>
      <w:tr>
        <w:trPr/>
        <w:tc>
          <w:tcPr>
            <w:tcW w:w="982" w:type="dxa"/>
            <w:gridSpan w:val="3"/>
            <w:tcBorders/>
            <w:shd w:fill="auto" w:val="clear"/>
            <w:vAlign w:val="center"/>
          </w:tcPr>
          <w:p>
            <w:pPr>
              <w:pStyle w:val="TableContents"/>
              <w:spacing w:before="0" w:after="283"/>
              <w:rPr>
                <w:sz w:val="4"/>
                <w:szCs w:val="4"/>
              </w:rPr>
            </w:pPr>
            <w:r>
              <w:rPr>
                <w:sz w:val="4"/>
                <w:szCs w:val="4"/>
              </w:rPr>
            </w:r>
          </w:p>
        </w:tc>
        <w:tc>
          <w:tcPr>
            <w:tcW w:w="9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4.    ACQUISITIONS AND DIVESTITURES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2023 Activity</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Lario Acquisition</w:t>
      </w:r>
    </w:p>
    <w:p>
      <w:pPr>
        <w:pStyle w:val="TextBody"/>
        <w:spacing w:before="0" w:after="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31, 2023, the Company closed on its acquisition of all leasehold interests and related assets of Lario Permian, LLC, a wholly owned subsidiary of Lario Oil and Gas Company, and certain associated sellers (collectively “Lario”). The acquisition included approximately 25,000 gross (16,000 net) acres in the Midland Basin and certain related oil and gas assets (the “Lario Acquisition”), in exchange for 4.33 million shares of the Company’s common stock and $814 million in cash, including certain customary post-closing adjustments. The cash portion of the consideration for the Lario Acquisition was funded through a combination of cash on hand, a portion of the net proceeds from the Company’s December 2022 senior notes offering and borrowings under the Company’s revolving credit facility. </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acquisition consideration paid in the Lario Acquisition (in millions, except per share data, shares in thousands):</w:t>
      </w:r>
    </w:p>
    <w:p>
      <w:pPr>
        <w:pStyle w:val="TextBody"/>
        <w:spacing w:before="0" w:after="0"/>
        <w:ind w:left="0" w:right="0" w:firstLine="720"/>
        <w:jc w:val="both"/>
        <w:rPr/>
      </w:pPr>
      <w:r>
        <w:rPr/>
      </w:r>
    </w:p>
    <w:tbl>
      <w:tblPr>
        <w:tblW w:w="7356" w:type="dxa"/>
        <w:jc w:val="left"/>
        <w:tblInd w:w="0" w:type="dxa"/>
        <w:tblCellMar>
          <w:top w:w="28" w:type="dxa"/>
          <w:left w:w="28" w:type="dxa"/>
          <w:bottom w:w="28" w:type="dxa"/>
          <w:right w:w="28" w:type="dxa"/>
        </w:tblCellMar>
      </w:tblPr>
      <w:tblGrid>
        <w:gridCol w:w="2267"/>
        <w:gridCol w:w="1996"/>
        <w:gridCol w:w="2007"/>
        <w:gridCol w:w="211"/>
        <w:gridCol w:w="721"/>
        <w:gridCol w:w="154"/>
      </w:tblGrid>
      <w:tr>
        <w:trPr/>
        <w:tc>
          <w:tcPr>
            <w:tcW w:w="2267" w:type="dxa"/>
            <w:tcBorders/>
            <w:shd w:fill="auto" w:val="clear"/>
            <w:vAlign w:val="center"/>
          </w:tcPr>
          <w:p>
            <w:pPr>
              <w:pStyle w:val="TableContents"/>
              <w:spacing w:before="0" w:after="283"/>
              <w:rPr>
                <w:sz w:val="4"/>
                <w:szCs w:val="4"/>
              </w:rPr>
            </w:pPr>
            <w:r>
              <w:rPr>
                <w:sz w:val="4"/>
                <w:szCs w:val="4"/>
              </w:rPr>
            </w:r>
          </w:p>
        </w:tc>
        <w:tc>
          <w:tcPr>
            <w:tcW w:w="1996" w:type="dxa"/>
            <w:tcBorders/>
            <w:shd w:fill="auto" w:val="clear"/>
            <w:vAlign w:val="center"/>
          </w:tcPr>
          <w:p>
            <w:pPr>
              <w:pStyle w:val="TableContents"/>
              <w:spacing w:before="0" w:after="283"/>
              <w:rPr>
                <w:sz w:val="4"/>
                <w:szCs w:val="4"/>
              </w:rPr>
            </w:pPr>
            <w:r>
              <w:rPr>
                <w:sz w:val="4"/>
                <w:szCs w:val="4"/>
              </w:rPr>
            </w:r>
          </w:p>
        </w:tc>
        <w:tc>
          <w:tcPr>
            <w:tcW w:w="200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Consideration:</w:t>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of Diamondback common stock issued at closing</w:t>
            </w:r>
          </w:p>
        </w:tc>
        <w:tc>
          <w:tcPr>
            <w:tcW w:w="10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4,330</w:t>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Closing price per share of Diamondback common stock on the closing date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Diamondback common stock issued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consideration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consideration (including fair value of Diamondback common stock issued)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 Price Allocation</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Lario Acquisition has been accounted for as a business combination using the acquisition method. The following table represents the allocation of the total purchase price paid in the Lario Acquisition to the identifiable assets acquired and the liabilities assumed based on the fair values at the acquisition date. Although the purchase price allocation is substantially complete as of the date of this filing, there may be further adjustments to the fair value of certain assets acquired and liabilities assumed, including but not limited to the Company’s oil and natural gas properties. The Company expects to complete the purchase price allocation during the 12-month period following the acquisition date and may revise the value of the assets and liabilities as appropriate within that time frame.</w:t>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7011061f248747c88de11895562af037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Company’s preliminary purchase price allocation (in millions):</w:t>
      </w:r>
    </w:p>
    <w:p>
      <w:pPr>
        <w:pStyle w:val="TextBody"/>
        <w:spacing w:before="0" w:after="0"/>
        <w:ind w:left="0" w:right="0" w:firstLine="720"/>
        <w:jc w:val="both"/>
        <w:rPr/>
      </w:pPr>
      <w:r>
        <w:rPr/>
      </w:r>
    </w:p>
    <w:tbl>
      <w:tblPr>
        <w:tblW w:w="4371" w:type="dxa"/>
        <w:jc w:val="left"/>
        <w:tblInd w:w="0" w:type="dxa"/>
        <w:tblCellMar>
          <w:top w:w="28" w:type="dxa"/>
          <w:left w:w="28" w:type="dxa"/>
          <w:bottom w:w="28" w:type="dxa"/>
          <w:right w:w="28" w:type="dxa"/>
        </w:tblCellMar>
      </w:tblPr>
      <w:tblGrid>
        <w:gridCol w:w="1229"/>
        <w:gridCol w:w="1079"/>
        <w:gridCol w:w="1082"/>
        <w:gridCol w:w="211"/>
        <w:gridCol w:w="616"/>
        <w:gridCol w:w="154"/>
      </w:tblGrid>
      <w:tr>
        <w:trPr/>
        <w:tc>
          <w:tcPr>
            <w:tcW w:w="1229" w:type="dxa"/>
            <w:tcBorders/>
            <w:shd w:fill="auto" w:val="clear"/>
            <w:vAlign w:val="center"/>
          </w:tcPr>
          <w:p>
            <w:pPr>
              <w:pStyle w:val="TableContents"/>
              <w:spacing w:before="0" w:after="283"/>
              <w:rPr>
                <w:sz w:val="4"/>
                <w:szCs w:val="4"/>
              </w:rPr>
            </w:pPr>
            <w:r>
              <w:rPr>
                <w:sz w:val="4"/>
                <w:szCs w:val="4"/>
              </w:rPr>
            </w:r>
          </w:p>
        </w:tc>
        <w:tc>
          <w:tcPr>
            <w:tcW w:w="1079"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consideration</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 of liabilities assumed:</w:t>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 of assets acquired:</w:t>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property, equipment and land</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attributable to assets acquired</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assets acquired and liabilities assumed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Oil and natural gas properties were valued using an income approach utilizing the discounted cash flow method, which takes into account production forecasts, projected commodity prices and pricing differentials, and estimates of future capital and operating costs which were then discounted utilizing an estimated weighted-average cost of capital for industry market participants. The fair value of acquired midstream assets, vehicles and a field office were based on the cost approach, which utilized asset listings and cost records with consideration for the reported age, condition, utilization and economic support of the assets and were included in the Company’s consolidated balance sheets under the caption “Other property, equipment and land.” The majority of the measurements of assets acquired and liabilities assumed are based on inputs that are not observable in the market and are therefore considered Level 3 inputs in the fair value hierarchy.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With the completion of the Lario Acquisition, the Company acquired proved properties of $924 million and unproved properties of $533 million. The results of operations attributable to the Lario Acquisition since the acquisition date have been included in the consolidated statements of operations and include $90 million of total revenue and $32 million of net income for the three months ended March 31, 2023.</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Divestitures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9, 2023, the Company divested its 10% non-operating equity investment in Gray Oak Pipeline, LLC (“Gray Oak”) for $172 million in cash proceeds and recorded a gain on the sale of equity method investments of approximately $53 million in the first quarter of 2023 that was included in “Other income (expense), net” on the condensed consolidated statement of operations.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31, 2023, the Company divested non-core assets consisting of approximately 4,900 net acres in Ward and Winkler counties to unrelated third-party buyers for $79 million in cash, including customary post-closing adjustments. </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2022 Activity</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FireBird Energy LLC</w:t>
      </w:r>
    </w:p>
    <w:p>
      <w:pPr>
        <w:pStyle w:val="TextBody"/>
        <w:spacing w:before="0" w:after="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30, 2022, the Company closed on its acquisition of all leasehold interests and related assets of FireBird Energy LLC, which included approximately 75,000 gross (68,000 net) acres in the Midland Basin and certain related oil and gas assets, in exchange for 5.92 million shares of the Company’s common stock and $787 million in cash, including certain customary post-closing adjustments. The cash portion of the consideration for the FireBird Acquisition was funded through a combination of cash on hand and borrowings under the Company’s revolving credit facility. As a result of the FireBird Acquisition, the Company added approximately 854 gross producing wells.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7011061f248747c88de11895562af037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acquisition consideration paid in the FireBird Acquisition (in millions, except per share data, shares in thousands):</w:t>
      </w:r>
    </w:p>
    <w:p>
      <w:pPr>
        <w:pStyle w:val="TextBody"/>
        <w:spacing w:before="0" w:after="0"/>
        <w:ind w:left="0" w:right="0" w:firstLine="720"/>
        <w:jc w:val="both"/>
        <w:rPr/>
      </w:pPr>
      <w:r>
        <w:rPr/>
      </w:r>
    </w:p>
    <w:tbl>
      <w:tblPr>
        <w:tblW w:w="7356" w:type="dxa"/>
        <w:jc w:val="left"/>
        <w:tblInd w:w="0" w:type="dxa"/>
        <w:tblCellMar>
          <w:top w:w="28" w:type="dxa"/>
          <w:left w:w="28" w:type="dxa"/>
          <w:bottom w:w="28" w:type="dxa"/>
          <w:right w:w="28" w:type="dxa"/>
        </w:tblCellMar>
      </w:tblPr>
      <w:tblGrid>
        <w:gridCol w:w="2267"/>
        <w:gridCol w:w="1996"/>
        <w:gridCol w:w="2007"/>
        <w:gridCol w:w="211"/>
        <w:gridCol w:w="721"/>
        <w:gridCol w:w="154"/>
      </w:tblGrid>
      <w:tr>
        <w:trPr/>
        <w:tc>
          <w:tcPr>
            <w:tcW w:w="2267" w:type="dxa"/>
            <w:tcBorders/>
            <w:shd w:fill="auto" w:val="clear"/>
            <w:vAlign w:val="center"/>
          </w:tcPr>
          <w:p>
            <w:pPr>
              <w:pStyle w:val="TableContents"/>
              <w:spacing w:before="0" w:after="283"/>
              <w:rPr>
                <w:sz w:val="4"/>
                <w:szCs w:val="4"/>
              </w:rPr>
            </w:pPr>
            <w:r>
              <w:rPr>
                <w:sz w:val="4"/>
                <w:szCs w:val="4"/>
              </w:rPr>
            </w:r>
          </w:p>
        </w:tc>
        <w:tc>
          <w:tcPr>
            <w:tcW w:w="1996" w:type="dxa"/>
            <w:tcBorders/>
            <w:shd w:fill="auto" w:val="clear"/>
            <w:vAlign w:val="center"/>
          </w:tcPr>
          <w:p>
            <w:pPr>
              <w:pStyle w:val="TableContents"/>
              <w:spacing w:before="0" w:after="283"/>
              <w:rPr>
                <w:sz w:val="4"/>
                <w:szCs w:val="4"/>
              </w:rPr>
            </w:pPr>
            <w:r>
              <w:rPr>
                <w:sz w:val="4"/>
                <w:szCs w:val="4"/>
              </w:rPr>
            </w:r>
          </w:p>
        </w:tc>
        <w:tc>
          <w:tcPr>
            <w:tcW w:w="200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Consideration:</w:t>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of Diamondback common stock issued at closing</w:t>
            </w:r>
          </w:p>
        </w:tc>
        <w:tc>
          <w:tcPr>
            <w:tcW w:w="10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5,921</w:t>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Closing price per share of Diamondback common stock on the closing date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Diamondback common stock issued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consideration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consideration (including fair value of Diamondback common stock issued)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 Price Allocation</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FireBird Acquisition has been accounted for as a business combination using the acquisition method. The following table represents the allocation of the total purchase price paid in the FireBird Acquisition to the identifiable assets acquired and the liabilities assumed based on the fair values at the acquisition date. Although the purchase price allocation is substantially complete as of the date of this filing, there may be further adjustments to the fair value of certain assets acquired and liabilities assumed, including but not limited to the Company’s oil and natural gas properties. The Company expects to complete the purchase price allocation during the 12-month period following the acquisition date and may revise the value of the assets and liabilities as appropriate within that time frame.</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Company’s preliminary purchase price allocation (in millions):</w:t>
      </w:r>
    </w:p>
    <w:p>
      <w:pPr>
        <w:pStyle w:val="TextBody"/>
        <w:spacing w:before="0" w:after="0"/>
        <w:ind w:left="0" w:right="0" w:firstLine="720"/>
        <w:jc w:val="both"/>
        <w:rPr/>
      </w:pPr>
      <w:r>
        <w:rPr/>
      </w:r>
    </w:p>
    <w:tbl>
      <w:tblPr>
        <w:tblW w:w="4371" w:type="dxa"/>
        <w:jc w:val="left"/>
        <w:tblInd w:w="0" w:type="dxa"/>
        <w:tblCellMar>
          <w:top w:w="28" w:type="dxa"/>
          <w:left w:w="28" w:type="dxa"/>
          <w:bottom w:w="28" w:type="dxa"/>
          <w:right w:w="28" w:type="dxa"/>
        </w:tblCellMar>
      </w:tblPr>
      <w:tblGrid>
        <w:gridCol w:w="1229"/>
        <w:gridCol w:w="1079"/>
        <w:gridCol w:w="1082"/>
        <w:gridCol w:w="211"/>
        <w:gridCol w:w="616"/>
        <w:gridCol w:w="154"/>
      </w:tblGrid>
      <w:tr>
        <w:trPr/>
        <w:tc>
          <w:tcPr>
            <w:tcW w:w="1229" w:type="dxa"/>
            <w:tcBorders/>
            <w:shd w:fill="auto" w:val="clear"/>
            <w:vAlign w:val="center"/>
          </w:tcPr>
          <w:p>
            <w:pPr>
              <w:pStyle w:val="TableContents"/>
              <w:spacing w:before="0" w:after="283"/>
              <w:rPr>
                <w:sz w:val="4"/>
                <w:szCs w:val="4"/>
              </w:rPr>
            </w:pPr>
            <w:r>
              <w:rPr>
                <w:sz w:val="4"/>
                <w:szCs w:val="4"/>
              </w:rPr>
            </w:r>
          </w:p>
        </w:tc>
        <w:tc>
          <w:tcPr>
            <w:tcW w:w="1079"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consideration</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 of liabilities assumed:</w:t>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 of assets acquired:</w:t>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property, equipment and land</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attributable to assets acquired</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assets acquired and liabilities assumed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Oil and natural gas properties were valued using an income approach utilizing the discounted cash flow method, which takes into account production forecasts, projected commodity prices and pricing differentials, and estimates of future capital and operating costs which were then discounted utilizing an estimated weighted-average cost of capital for industry market participants. The fair value of acquired midstream assets was based on the cost approach, which utilized asset listings and cost records with consideration for the reported age, condition, utilization and economic support of the assets and were included in the Company’s consolidated balance sheets under the caption “Other property, equipment and land.” The majority of the measurements of assets acquired and liabilities assumed are based on inputs that are not observable in the market and are therefore considered Level 3 inputs. </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the completion of the FireBird Acquisition, the Company acquired proved properties of $648 million and unproved properties of $910 million. </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Delaware Basin Acquisition</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18, 2022, the Company acquired, from an unrelated third-party seller, approximately 6,200 net acres in the Delaware Basin for $232 million in cash, including customary post-closing adjustments. The acquisition was funded through cash on hand.</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7011061f248747c88de11895562af037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Other 2022 Acquisitions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during the year ended December 31, 2022, the Company acquired, from unrelated third-party sellers, approximately 4,000 net acres and over 200 gross wells in the Permian Basin for an aggregate purchase price of approximately $220 million in cash, including customary post-closing adjustments. The acquisitions were funded through cash on hand.</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Divestitures of Certain Non-Core Assets</w:t>
      </w:r>
    </w:p>
    <w:p>
      <w:pPr>
        <w:pStyle w:val="TextBody"/>
        <w:spacing w:before="0" w:after="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2022, the Company completed the divestiture of non-core Delaware Basin acreage consisting of approximately 3,272 net acres, with net production of approximately 550 BO/d (800 BOE/d) for $155 million of net proceeds. The Company used the net proceeds from this transaction towards debt reduction.</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Pro Forma Financial Information</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unaudited summary pro forma financial information for the three months ended March 31, 2023 and 2022 has been prepared to give effect to the Firebird Acquisition and the Lario Acquisition as if they had occurred on January 1, 2022. The unaudited pro forma financial information does not purport to be indicative of what the combined company’s results of operations would have been if these transactions had occurred on the dates indicated, nor is it indicative of the future financial position or results of operations of the combined company.</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below information reflects pro forma adjustments for the issuance of the Company’s common stock as consideration for the Firebird Acquisition and the Lario Acquisition, as well as pro forma adjustments based on available information and certain assumptions that the Company believes are reasonable, including adjustments to depreciation, depletion and amortization based on the full cost method of accounting.</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pro forma earnings for the three months ended March 31, 2023 were adjusted to exclude acquisition-related costs incurred by the Company of $6 million for the Lario Acquisition and $2 million for the FireBird Acquisition, which consist primarily of legal and advisory fees. The pro forma results of operations do not include any cost savings or other synergies that may result from the Firebird Acquisition and the Lario Acquisition or any estimated costs that have been or will be incurred by the Company to integrate the acquired assets. The pro forma financial data does not include the results of operations for any other acquisitions made during the periods presented, as they were primarily acreage acquisitions and their results were not deemed material.</w:t>
      </w:r>
    </w:p>
    <w:p>
      <w:pPr>
        <w:pStyle w:val="TextBody"/>
        <w:spacing w:before="0" w:after="0"/>
        <w:ind w:left="0" w:right="0" w:firstLine="720"/>
        <w:jc w:val="both"/>
        <w:rPr/>
      </w:pPr>
      <w:r>
        <w:rPr/>
      </w:r>
    </w:p>
    <w:tbl>
      <w:tblPr>
        <w:tblW w:w="10205" w:type="dxa"/>
        <w:jc w:val="left"/>
        <w:tblInd w:w="0" w:type="dxa"/>
        <w:tblCellMar>
          <w:top w:w="28" w:type="dxa"/>
          <w:left w:w="28" w:type="dxa"/>
          <w:bottom w:w="28" w:type="dxa"/>
          <w:right w:w="28" w:type="dxa"/>
        </w:tblCellMar>
      </w:tblPr>
      <w:tblGrid>
        <w:gridCol w:w="1247"/>
        <w:gridCol w:w="1096"/>
        <w:gridCol w:w="1106"/>
        <w:gridCol w:w="670"/>
        <w:gridCol w:w="1957"/>
        <w:gridCol w:w="345"/>
        <w:gridCol w:w="109"/>
        <w:gridCol w:w="109"/>
        <w:gridCol w:w="109"/>
        <w:gridCol w:w="670"/>
        <w:gridCol w:w="1957"/>
        <w:gridCol w:w="345"/>
        <w:gridCol w:w="109"/>
        <w:gridCol w:w="109"/>
        <w:gridCol w:w="109"/>
        <w:gridCol w:w="158"/>
      </w:tblGrid>
      <w:tr>
        <w:trPr/>
        <w:tc>
          <w:tcPr>
            <w:tcW w:w="1247"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1957"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1957"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 share amounts)</w:t>
            </w:r>
          </w:p>
        </w:tc>
        <w:tc>
          <w:tcPr>
            <w:tcW w:w="485" w:type="dxa"/>
            <w:gridSpan w:val="4"/>
            <w:tcBorders/>
            <w:shd w:fill="auto" w:val="clea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6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1,970 </w:t>
            </w:r>
          </w:p>
        </w:tc>
        <w:tc>
          <w:tcPr>
            <w:tcW w:w="3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2,604 </w:t>
            </w:r>
          </w:p>
        </w:tc>
        <w:tc>
          <w:tcPr>
            <w:tcW w:w="3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67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3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1,777 </w:t>
            </w:r>
          </w:p>
        </w:tc>
        <w:tc>
          <w:tcPr>
            <w:tcW w:w="3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6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740 </w:t>
            </w:r>
          </w:p>
        </w:tc>
        <w:tc>
          <w:tcPr>
            <w:tcW w:w="3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3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(loss) per common share</w:t>
            </w:r>
          </w:p>
        </w:tc>
        <w:tc>
          <w:tcPr>
            <w:tcW w:w="67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3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3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(loss) per common share</w:t>
            </w:r>
          </w:p>
        </w:tc>
        <w:tc>
          <w:tcPr>
            <w:tcW w:w="6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3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3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7011061f248747c88de11895562af037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5.    PROPERTY AND EQUIPMENT</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includes the following as of the dates indicated:</w:t>
      </w:r>
    </w:p>
    <w:p>
      <w:pPr>
        <w:pStyle w:val="TextBody"/>
        <w:spacing w:before="0" w:after="0"/>
        <w:ind w:left="0" w:right="0" w:firstLine="720"/>
        <w:jc w:val="both"/>
        <w:rPr/>
      </w:pPr>
      <w:r>
        <w:rPr/>
      </w:r>
    </w:p>
    <w:tbl>
      <w:tblPr>
        <w:tblW w:w="8103" w:type="dxa"/>
        <w:jc w:val="left"/>
        <w:tblInd w:w="0" w:type="dxa"/>
        <w:tblCellMar>
          <w:top w:w="28" w:type="dxa"/>
          <w:left w:w="28" w:type="dxa"/>
          <w:bottom w:w="28" w:type="dxa"/>
          <w:right w:w="28" w:type="dxa"/>
        </w:tblCellMar>
      </w:tblPr>
      <w:tblGrid>
        <w:gridCol w:w="2009"/>
        <w:gridCol w:w="1764"/>
        <w:gridCol w:w="1777"/>
        <w:gridCol w:w="211"/>
        <w:gridCol w:w="721"/>
        <w:gridCol w:w="109"/>
        <w:gridCol w:w="109"/>
        <w:gridCol w:w="109"/>
        <w:gridCol w:w="109"/>
        <w:gridCol w:w="230"/>
        <w:gridCol w:w="787"/>
        <w:gridCol w:w="168"/>
      </w:tblGrid>
      <w:tr>
        <w:trPr/>
        <w:tc>
          <w:tcPr>
            <w:tcW w:w="2009" w:type="dxa"/>
            <w:tcBorders/>
            <w:shd w:fill="auto" w:val="clear"/>
            <w:vAlign w:val="center"/>
          </w:tcPr>
          <w:p>
            <w:pPr>
              <w:pStyle w:val="TableContents"/>
              <w:spacing w:before="0" w:after="283"/>
              <w:rPr>
                <w:sz w:val="4"/>
                <w:szCs w:val="4"/>
              </w:rPr>
            </w:pPr>
            <w:r>
              <w:rPr>
                <w:sz w:val="4"/>
                <w:szCs w:val="4"/>
              </w:rPr>
            </w:r>
          </w:p>
        </w:tc>
        <w:tc>
          <w:tcPr>
            <w:tcW w:w="1764" w:type="dxa"/>
            <w:tcBorders/>
            <w:shd w:fill="auto" w:val="clear"/>
            <w:vAlign w:val="center"/>
          </w:tcPr>
          <w:p>
            <w:pPr>
              <w:pStyle w:val="TableContents"/>
              <w:spacing w:before="0" w:after="283"/>
              <w:rPr>
                <w:sz w:val="4"/>
                <w:szCs w:val="4"/>
              </w:rPr>
            </w:pPr>
            <w:r>
              <w:rPr>
                <w:sz w:val="4"/>
                <w:szCs w:val="4"/>
              </w:rPr>
            </w:r>
          </w:p>
        </w:tc>
        <w:tc>
          <w:tcPr>
            <w:tcW w:w="177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5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5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Subject to depletion</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28,767 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subject to depletion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8,355 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oil and natural gas properties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37,122 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depletion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(6,671)</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impairment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(7,954)</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property, equipment and land</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 amortization, accretion and impairment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property and equipment, net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23,759 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full cost method of accounting, the Company is required to perform a ceiling test each quarter which determines a limit, or ceiling, on the book value of proved oil and natural gas properties. No impairment expense was recorded for the three months ended March 31, 2023 or 2022 based on the results of the respective quarterly ceiling tests.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commodity prices, the Company’s production rates, levels of proved reserves, future development costs, transfers of unevaluated properties and other factors will determine its actual ceiling test calculation and impairment analysis in future periods. If the future trailing 12-month commodity prices decline as compared to the commodity prices used in prior quarters, the Company may have material write downs in subsequent quarters. It is possible that circumstances requiring additional impairment testing will occur in future interim periods, which could result in potentially material impairment charges being recorded.</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6.    ASSET RETIREMENT OBLIGATIONS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describes the changes to the Company’s asset retirement obligations liability for the following periods:</w:t>
      </w:r>
    </w:p>
    <w:tbl>
      <w:tblPr>
        <w:tblW w:w="6734" w:type="dxa"/>
        <w:jc w:val="left"/>
        <w:tblInd w:w="0" w:type="dxa"/>
        <w:tblCellMar>
          <w:top w:w="28" w:type="dxa"/>
          <w:left w:w="28" w:type="dxa"/>
          <w:bottom w:w="28" w:type="dxa"/>
          <w:right w:w="28" w:type="dxa"/>
        </w:tblCellMar>
      </w:tblPr>
      <w:tblGrid>
        <w:gridCol w:w="1489"/>
        <w:gridCol w:w="1309"/>
        <w:gridCol w:w="1312"/>
        <w:gridCol w:w="285"/>
        <w:gridCol w:w="629"/>
        <w:gridCol w:w="147"/>
        <w:gridCol w:w="147"/>
        <w:gridCol w:w="147"/>
        <w:gridCol w:w="147"/>
        <w:gridCol w:w="285"/>
        <w:gridCol w:w="629"/>
        <w:gridCol w:w="208"/>
      </w:tblGrid>
      <w:tr>
        <w:trPr/>
        <w:tc>
          <w:tcPr>
            <w:tcW w:w="1489" w:type="dxa"/>
            <w:tcBorders/>
            <w:shd w:fill="auto" w:val="clear"/>
            <w:vAlign w:val="center"/>
          </w:tcPr>
          <w:p>
            <w:pPr>
              <w:pStyle w:val="TableContents"/>
              <w:spacing w:before="0" w:after="283"/>
              <w:rPr>
                <w:sz w:val="4"/>
                <w:szCs w:val="4"/>
              </w:rPr>
            </w:pPr>
            <w:r>
              <w:rPr>
                <w:sz w:val="4"/>
                <w:szCs w:val="4"/>
              </w:rPr>
            </w:r>
          </w:p>
        </w:tc>
        <w:tc>
          <w:tcPr>
            <w:tcW w:w="1309" w:type="dxa"/>
            <w:tcBorders/>
            <w:shd w:fill="auto" w:val="clear"/>
            <w:vAlign w:val="center"/>
          </w:tcPr>
          <w:p>
            <w:pPr>
              <w:pStyle w:val="TableContents"/>
              <w:spacing w:before="0" w:after="283"/>
              <w:rPr>
                <w:sz w:val="4"/>
                <w:szCs w:val="4"/>
              </w:rPr>
            </w:pPr>
            <w:r>
              <w:rPr>
                <w:sz w:val="4"/>
                <w:szCs w:val="4"/>
              </w:rPr>
            </w:r>
          </w:p>
        </w:tc>
        <w:tc>
          <w:tcPr>
            <w:tcW w:w="1312"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r>
      <w:tr>
        <w:trPr/>
        <w:tc>
          <w:tcPr>
            <w:tcW w:w="4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4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Asset retirement obligations, beginning of period</w:t>
            </w:r>
          </w:p>
        </w:tc>
        <w:tc>
          <w:tcPr>
            <w:tcW w:w="28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347 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171 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Additional liabilities incurred</w:t>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Liabilities acquired</w:t>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Liabilities settled and divested</w:t>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Accretion expense</w:t>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Revisions in estimated liabilities</w:t>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Asset retirement obligations, end of period</w:t>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267 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9"/>
              </w:rPr>
              <w:t>Less current portion</w:t>
            </w:r>
            <w:r>
              <w:rPr>
                <w:rFonts w:ascii="Times New Roman;sans-serif" w:hAnsi="Times New Roman;sans-serif"/>
                <w:b w:val="false"/>
                <w:color w:val="000000"/>
                <w:sz w:val="13"/>
              </w:rPr>
              <w:t>(1)</w:t>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Asset retirement obligations - long-term</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306 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254 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The current portion of the asset retirement obligation is included in other accrued liabilities in the Company’s condensed consolidated balance sheets.</w:t>
      </w:r>
    </w:p>
    <w:p>
      <w:pPr>
        <w:pStyle w:val="TextBody"/>
        <w:spacing w:before="0" w:after="0"/>
        <w:ind w:left="0" w:right="0" w:hanging="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7011061f248747c88de11895562af037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7.    DEBT</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Long-term debt consisted of the following as of the dates indicated:</w:t>
      </w:r>
    </w:p>
    <w:p>
      <w:pPr>
        <w:pStyle w:val="TextBody"/>
        <w:spacing w:before="0" w:after="0"/>
        <w:ind w:left="0" w:right="0" w:firstLine="720"/>
        <w:jc w:val="both"/>
        <w:rPr/>
      </w:pPr>
      <w:r>
        <w:rPr/>
      </w:r>
    </w:p>
    <w:tbl>
      <w:tblPr>
        <w:tblW w:w="8912" w:type="dxa"/>
        <w:jc w:val="left"/>
        <w:tblInd w:w="0" w:type="dxa"/>
        <w:tblCellMar>
          <w:top w:w="28" w:type="dxa"/>
          <w:left w:w="28" w:type="dxa"/>
          <w:bottom w:w="28" w:type="dxa"/>
          <w:right w:w="28" w:type="dxa"/>
        </w:tblCellMar>
      </w:tblPr>
      <w:tblGrid>
        <w:gridCol w:w="2342"/>
        <w:gridCol w:w="2057"/>
        <w:gridCol w:w="2065"/>
        <w:gridCol w:w="211"/>
        <w:gridCol w:w="616"/>
        <w:gridCol w:w="109"/>
        <w:gridCol w:w="109"/>
        <w:gridCol w:w="109"/>
        <w:gridCol w:w="109"/>
        <w:gridCol w:w="255"/>
        <w:gridCol w:w="744"/>
        <w:gridCol w:w="186"/>
      </w:tblGrid>
      <w:tr>
        <w:trPr/>
        <w:tc>
          <w:tcPr>
            <w:tcW w:w="2342" w:type="dxa"/>
            <w:tcBorders/>
            <w:shd w:fill="auto" w:val="clear"/>
            <w:vAlign w:val="center"/>
          </w:tcPr>
          <w:p>
            <w:pPr>
              <w:pStyle w:val="TableContents"/>
              <w:spacing w:before="0" w:after="283"/>
              <w:rPr>
                <w:sz w:val="4"/>
                <w:szCs w:val="4"/>
              </w:rPr>
            </w:pPr>
            <w:r>
              <w:rPr>
                <w:sz w:val="4"/>
                <w:szCs w:val="4"/>
              </w:rPr>
            </w:r>
          </w:p>
        </w:tc>
        <w:tc>
          <w:tcPr>
            <w:tcW w:w="2057" w:type="dxa"/>
            <w:tcBorders/>
            <w:shd w:fill="auto" w:val="clear"/>
            <w:vAlign w:val="center"/>
          </w:tcPr>
          <w:p>
            <w:pPr>
              <w:pStyle w:val="TableContents"/>
              <w:spacing w:before="0" w:after="283"/>
              <w:rPr>
                <w:sz w:val="4"/>
                <w:szCs w:val="4"/>
              </w:rPr>
            </w:pPr>
            <w:r>
              <w:rPr>
                <w:sz w:val="4"/>
                <w:szCs w:val="4"/>
              </w:rPr>
            </w:r>
          </w:p>
        </w:tc>
        <w:tc>
          <w:tcPr>
            <w:tcW w:w="206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6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6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4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5.250% Senior Notes due 2023</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3.250% Senior Notes due 2026</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5.625% Senior Notes due 2026</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7.125% Medium-term Notes, Series B, due 2028</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3.500% Senior Notes due 2029</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3.125% Senior Notes due 2031</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6.250% Senior Notes due 2033</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4.400% Senior Notes due 2051</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4.250% Senior Notes due 2052</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6.250% Senior Notes due 2053</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 costs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premium costs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Unamortized basis adjustment of dedesignated interest rate swap agreements</w:t>
            </w:r>
            <w:r>
              <w:rPr>
                <w:rFonts w:ascii="Times New Roman;sans-serif" w:hAnsi="Times New Roman;sans-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Viper revolving credit facility</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Viper 5.375% Senior Notes due 2027</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net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6,248 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maturities of long-term debt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6,238 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pPr>
      <w:r>
        <w:rPr>
          <w:rFonts w:ascii="Times New Roman;sans-serif" w:hAnsi="Times New Roman;sans-serif"/>
          <w:b w:val="false"/>
          <w:color w:val="000000"/>
          <w:sz w:val="20"/>
        </w:rPr>
        <w:t>(1)    Represents the unamortized basis adjustment related to two receive-fixed, pay variable interest rate swap agreements which were previously designated as fair value hedges of the Company’s $1.2 billion 3.500% fixed rate senior notes due 2029. These swaps were dedesignated in the second quarter of 2022 as discussed further in Note 11—</w:t>
      </w:r>
      <w:hyperlink w:anchor="i7011061f248747c88de11895562af037_70">
        <w:r>
          <w:rPr>
            <w:rStyle w:val="InternetLink"/>
            <w:rFonts w:ascii="Times New Roman;sans-serif" w:hAnsi="Times New Roman;sans-serif"/>
            <w:b w:val="false"/>
            <w:color w:val="0000FF"/>
            <w:sz w:val="20"/>
            <w:u w:val="single"/>
          </w:rPr>
          <w:t>Derivatives</w:t>
        </w:r>
      </w:hyperlink>
      <w:r>
        <w:rPr>
          <w:rFonts w:ascii="Times New Roman;sans-serif" w:hAnsi="Times New Roman;sans-serif"/>
          <w:b w:val="false"/>
          <w:color w:val="000000"/>
          <w:sz w:val="20"/>
        </w:rPr>
        <w:t>.</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References in this section to the Company shall mean Diamondback Energy, Inc. and Diamondback E&amp;P, collectively, unless otherwise specified.</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Credit Agreement</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Diamondback E&amp;P, as borrower, and Diamondback Energy, Inc., as parent guarantor, have a credit agreement, as amended, which provides for a maximum credit amount of $1.6 billion. As of March 31, 2023, the Company had $589 million in outstanding borrowings under the credit agreement and $1.0 billion available for future borrowings. There were no borrowings under the credit agreement during the three months ended March 31, 2022. During the three months ended March 31, 2023 the weighted average interest rate on borrowings under the credit agreement was 6.02%.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was in compliance with all financial maintenance covenants under the credit agreement.</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Viper’s Credit Agreement </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Viper LLC’s credit agreement, as amended, provides for a revolving credit facility in the maximum credit amount of $2.0 billion with a borrowing base of $580 million based on Viper LLC’s oil and natural gas reserves and other factors. As of March 31, 2023, the elected commitment amount was $500 million with $270 million of outstanding borrowings and $230 million available for future borrowings. During the three months ended March 31, 2023 and 2022, the weighted average interest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7011061f248747c88de11895562af037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rates on borrowings under the Viper credit agreement were 6.10% and 2.58%, respectively. The Viper credit agreement will mature on June 2, 2025. As of March 31, 2023, Viper LLC was in compliance with all financial maintenance covenants under the Viper credit agreement.</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8.    STOCKHOLDERS’ EQUITY AND EARNINGS (LOSS) PER SHARE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Stock Repurchase Program</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2021, the Company’s board of directors approved a stock repurchase program to acquire up to $2.0 billion of the Company’s outstanding common stock. On July 28, 2022, the Company’s board of directors approved an increase in the Company’s common stock repurchase program from $2.0 billion to $4.0 billion. Purchases under the repurchase program may be made from time to time in open market or privately negotiated transactions, and are subject to market conditions, applicable legal requirements, contractual obligations and other factors. The repurchase program does not require the Company to acquire any specific number of shares. This repurchase program may be suspended from time to time, modified, extended or discontinued by the board of directors at any time. During the three months ended March 31, 2023, the Company repurchased approximately $332 million of common stock under this repurchase program. As of March 31, 2023, approximately $2.1 billion remained available for use to repurchase shares under the Company’s common stock repurchase program.</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Change in Ownership of Consolidated Subsidiaries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Non-controlling interests in the accompanying condensed consolidated financial statements represent minority interest ownership in Viper and Rattler through the Effective Date and are presented as a component of equity. When the Company’s relative ownership interests in Viper and Rattler change, adjustments to non-controlling interest and additional paid-in-capital, tax effected, will occur. The following table summarizes changes in the ownership interest in consolidated subsidiaries during the periods presented:</w:t>
      </w:r>
    </w:p>
    <w:p>
      <w:pPr>
        <w:pStyle w:val="TextBody"/>
        <w:spacing w:before="0" w:after="0"/>
        <w:ind w:left="0" w:right="0" w:firstLine="720"/>
        <w:jc w:val="both"/>
        <w:rPr/>
      </w:pPr>
      <w:r>
        <w:rPr/>
      </w:r>
    </w:p>
    <w:tbl>
      <w:tblPr>
        <w:tblW w:w="10205" w:type="dxa"/>
        <w:jc w:val="left"/>
        <w:tblInd w:w="0" w:type="dxa"/>
        <w:tblCellMar>
          <w:top w:w="28" w:type="dxa"/>
          <w:left w:w="28" w:type="dxa"/>
          <w:bottom w:w="28" w:type="dxa"/>
          <w:right w:w="28" w:type="dxa"/>
        </w:tblCellMar>
      </w:tblPr>
      <w:tblGrid>
        <w:gridCol w:w="2735"/>
        <w:gridCol w:w="2284"/>
        <w:gridCol w:w="2301"/>
        <w:gridCol w:w="266"/>
        <w:gridCol w:w="589"/>
        <w:gridCol w:w="137"/>
        <w:gridCol w:w="137"/>
        <w:gridCol w:w="137"/>
        <w:gridCol w:w="137"/>
        <w:gridCol w:w="266"/>
        <w:gridCol w:w="589"/>
        <w:gridCol w:w="137"/>
        <w:gridCol w:w="109"/>
        <w:gridCol w:w="109"/>
        <w:gridCol w:w="109"/>
        <w:gridCol w:w="163"/>
      </w:tblGrid>
      <w:tr>
        <w:trPr/>
        <w:tc>
          <w:tcPr>
            <w:tcW w:w="2735" w:type="dxa"/>
            <w:tcBorders/>
            <w:shd w:fill="auto" w:val="clear"/>
            <w:vAlign w:val="center"/>
          </w:tcPr>
          <w:p>
            <w:pPr>
              <w:pStyle w:val="TableContents"/>
              <w:spacing w:before="0" w:after="283"/>
              <w:rPr>
                <w:sz w:val="4"/>
                <w:szCs w:val="4"/>
              </w:rPr>
            </w:pPr>
            <w:r>
              <w:rPr>
                <w:sz w:val="4"/>
                <w:szCs w:val="4"/>
              </w:rPr>
            </w:r>
          </w:p>
        </w:tc>
        <w:tc>
          <w:tcPr>
            <w:tcW w:w="2284" w:type="dxa"/>
            <w:tcBorders/>
            <w:shd w:fill="auto" w:val="clear"/>
            <w:vAlign w:val="center"/>
          </w:tcPr>
          <w:p>
            <w:pPr>
              <w:pStyle w:val="TableContents"/>
              <w:spacing w:before="0" w:after="283"/>
              <w:rPr>
                <w:sz w:val="4"/>
                <w:szCs w:val="4"/>
              </w:rPr>
            </w:pPr>
            <w:r>
              <w:rPr>
                <w:sz w:val="4"/>
                <w:szCs w:val="4"/>
              </w:rPr>
            </w:r>
          </w:p>
        </w:tc>
        <w:tc>
          <w:tcPr>
            <w:tcW w:w="2301"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gridSpan w:val="2"/>
            <w:tcBorders/>
            <w:shd w:fill="auto" w:val="clear"/>
          </w:tcPr>
          <w:p>
            <w:pPr>
              <w:pStyle w:val="TableContents"/>
              <w:spacing w:before="0" w:after="283"/>
              <w:rPr>
                <w:sz w:val="4"/>
                <w:szCs w:val="4"/>
              </w:rPr>
            </w:pPr>
            <w:r>
              <w:rPr>
                <w:sz w:val="4"/>
                <w:szCs w:val="4"/>
              </w:rPr>
            </w:r>
          </w:p>
        </w:tc>
      </w:tr>
      <w:tr>
        <w:trPr/>
        <w:tc>
          <w:tcPr>
            <w:tcW w:w="7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490" w:type="dxa"/>
            <w:gridSpan w:val="4"/>
            <w:tcBorders/>
            <w:shd w:fill="auto" w:val="clear"/>
          </w:tcPr>
          <w:p>
            <w:pPr>
              <w:pStyle w:val="TableContents"/>
              <w:spacing w:before="0" w:after="283"/>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the Company</w:t>
            </w:r>
          </w:p>
        </w:tc>
        <w:tc>
          <w:tcPr>
            <w:tcW w:w="2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ownership of consolidated subsidiaries</w:t>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from net income (loss) attributable to the Company's stockholders and transfers to non-controlling interest</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Earnings (Loss) Per Share</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earnings (loss) per share amounts have been computed using the two-class method. The two-class method is an earnings allocation proportional to the respective ownership among holders of common stock and participating securities. Basic earnings (loss) per share amounts have been computed based on the weighted-average number of shares of common stock outstanding for the period. Diluted earnings per share include the effect of potentially dilutive non-participating securities outstanding for the period. Additionally, the per share earnings of Viper are included in the consolidated earnings per share computation based on the consolidated group’s holdings of the subsidiaries.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7011061f248747c88de11895562af037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components of basic and diluted earnings per common share is presented in the table below:</w:t>
      </w:r>
    </w:p>
    <w:p>
      <w:pPr>
        <w:pStyle w:val="TextBody"/>
        <w:spacing w:before="0" w:after="0"/>
        <w:ind w:left="0" w:right="0" w:firstLine="720"/>
        <w:jc w:val="both"/>
        <w:rPr/>
      </w:pPr>
      <w:r>
        <w:rPr/>
      </w:r>
    </w:p>
    <w:tbl>
      <w:tblPr>
        <w:tblW w:w="10205" w:type="dxa"/>
        <w:jc w:val="left"/>
        <w:tblInd w:w="0" w:type="dxa"/>
        <w:tblCellMar>
          <w:top w:w="28" w:type="dxa"/>
          <w:left w:w="28" w:type="dxa"/>
          <w:bottom w:w="28" w:type="dxa"/>
          <w:right w:w="28" w:type="dxa"/>
        </w:tblCellMar>
      </w:tblPr>
      <w:tblGrid>
        <w:gridCol w:w="2118"/>
        <w:gridCol w:w="1698"/>
        <w:gridCol w:w="1703"/>
        <w:gridCol w:w="465"/>
        <w:gridCol w:w="1068"/>
        <w:gridCol w:w="227"/>
        <w:gridCol w:w="227"/>
        <w:gridCol w:w="227"/>
        <w:gridCol w:w="227"/>
        <w:gridCol w:w="465"/>
        <w:gridCol w:w="1068"/>
        <w:gridCol w:w="227"/>
        <w:gridCol w:w="109"/>
        <w:gridCol w:w="109"/>
        <w:gridCol w:w="109"/>
        <w:gridCol w:w="158"/>
      </w:tblGrid>
      <w:tr>
        <w:trPr/>
        <w:tc>
          <w:tcPr>
            <w:tcW w:w="2118" w:type="dxa"/>
            <w:tcBorders/>
            <w:shd w:fill="auto" w:val="clear"/>
            <w:vAlign w:val="center"/>
          </w:tcPr>
          <w:p>
            <w:pPr>
              <w:pStyle w:val="TableContents"/>
              <w:spacing w:before="0" w:after="283"/>
              <w:rPr>
                <w:sz w:val="4"/>
                <w:szCs w:val="4"/>
              </w:rPr>
            </w:pPr>
            <w:r>
              <w:rPr>
                <w:sz w:val="4"/>
                <w:szCs w:val="4"/>
              </w:rPr>
            </w:r>
          </w:p>
        </w:tc>
        <w:tc>
          <w:tcPr>
            <w:tcW w:w="1698" w:type="dxa"/>
            <w:tcBorders/>
            <w:shd w:fill="auto" w:val="clear"/>
            <w:vAlign w:val="center"/>
          </w:tcPr>
          <w:p>
            <w:pPr>
              <w:pStyle w:val="TableContents"/>
              <w:spacing w:before="0" w:after="283"/>
              <w:rPr>
                <w:sz w:val="4"/>
                <w:szCs w:val="4"/>
              </w:rPr>
            </w:pPr>
            <w:r>
              <w:rPr>
                <w:sz w:val="4"/>
                <w:szCs w:val="4"/>
              </w:rPr>
            </w:r>
          </w:p>
        </w:tc>
        <w:tc>
          <w:tcPr>
            <w:tcW w:w="1703"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1068"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1068"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gridSpan w:val="2"/>
            <w:tcBorders/>
            <w:shd w:fill="auto" w:val="clear"/>
          </w:tcPr>
          <w:p>
            <w:pPr>
              <w:pStyle w:val="TableContents"/>
              <w:spacing w:before="0" w:after="283"/>
              <w:rPr>
                <w:sz w:val="4"/>
                <w:szCs w:val="4"/>
              </w:rPr>
            </w:pPr>
            <w:r>
              <w:rPr>
                <w:sz w:val="4"/>
                <w:szCs w:val="4"/>
              </w:rPr>
            </w:r>
          </w:p>
        </w:tc>
      </w:tr>
      <w:tr>
        <w:trPr/>
        <w:tc>
          <w:tcPr>
            <w:tcW w:w="5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6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6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in millions, except per share amounts, shares in thousands)</w:t>
            </w:r>
          </w:p>
        </w:tc>
        <w:tc>
          <w:tcPr>
            <w:tcW w:w="485" w:type="dxa"/>
            <w:gridSpan w:val="4"/>
            <w:tcBorders/>
            <w:shd w:fill="auto" w:val="clear"/>
          </w:tcPr>
          <w:p>
            <w:pPr>
              <w:pStyle w:val="TableContents"/>
              <w:spacing w:before="0" w:after="283"/>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stock</w:t>
            </w:r>
          </w:p>
        </w:tc>
        <w:tc>
          <w:tcPr>
            <w:tcW w:w="4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Less: distributed and undistributed earnings allocated to participating securities</w:t>
            </w:r>
            <w:r>
              <w:rPr>
                <w:rFonts w:ascii="Times New Roman;sans-serif" w:hAnsi="Times New Roman;sans-serif"/>
                <w:b w:val="false"/>
                <w:color w:val="000000"/>
                <w:sz w:val="13"/>
              </w:rPr>
              <w:t>(1)</w:t>
            </w:r>
          </w:p>
        </w:tc>
        <w:tc>
          <w:tcPr>
            <w:tcW w:w="15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stockholders</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76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common shares outstanding</w:t>
            </w:r>
          </w:p>
        </w:tc>
        <w:tc>
          <w:tcPr>
            <w:tcW w:w="15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181,988 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177,565 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7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potential common shares issuable</w:t>
            </w:r>
          </w:p>
        </w:tc>
        <w:tc>
          <w:tcPr>
            <w:tcW w:w="15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common shares outstanding</w:t>
            </w:r>
          </w:p>
        </w:tc>
        <w:tc>
          <w:tcPr>
            <w:tcW w:w="153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181,988 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177,567 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(loss) attributable to common stock</w:t>
            </w:r>
          </w:p>
        </w:tc>
        <w:tc>
          <w:tcPr>
            <w:tcW w:w="465"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227"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227"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(loss) attributable to common stock</w:t>
            </w:r>
          </w:p>
        </w:tc>
        <w:tc>
          <w:tcPr>
            <w:tcW w:w="46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Unvested restricted stock awards and performance stock awards that contain non-forfeitable distribution equivalent rights are considered participating securities and therefore are included in the earnings per share calculation pursuant to the two-class method.</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9.    EQUITY-BASED COMPENSATION</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3, 2021, the Company’s stockholders approved and adopted the Company’s 2021 amended and restated equity incentive plan (the “Equity Plan”), which, among other things, increased total shares authorized for issuance from 8.3 million to 11.8 million. At March 31, 2023, the Company had 5.1 million shares of common stock available for future grants.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Equity Plan approved by the Board of Directors, the Company is authorized to issue incentive and non-statutory stock options, restricted stock awards and restricted stock units, performance awards and stock appreciation rights to eligible employees. At March 31, 2023, the Company had outstanding restricted stock units and performance-based restricted stock units under the Equity Plan. The Company also has immaterial amounts of restricted share awards and stock appreciation rights outstanding which were issued under plans assumed in connection with previously completed mergers. The Company classifies all of its awards, other than its stock appreciation rights, as equity-based awards and estimates the fair values of restricted stock awards and units as the closing price of the Company’s common stock on the grant date of the award, which is expensed over the applicable vesting period. The Company values its stock appreciation rights using a Black-Scholes option valuation model. Stock appreciation rights are considered liability-classified awards.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Equity Plan, Viper maintains its own long-term incentive plan, which is not significant to the Company.</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financial statement impacts of equity compensation plans and related costs on the Company’s financial statements:</w:t>
      </w:r>
    </w:p>
    <w:tbl>
      <w:tblPr>
        <w:tblW w:w="10205" w:type="dxa"/>
        <w:jc w:val="left"/>
        <w:tblInd w:w="0" w:type="dxa"/>
        <w:tblCellMar>
          <w:top w:w="28" w:type="dxa"/>
          <w:left w:w="28" w:type="dxa"/>
          <w:bottom w:w="28" w:type="dxa"/>
          <w:right w:w="28" w:type="dxa"/>
        </w:tblCellMar>
      </w:tblPr>
      <w:tblGrid>
        <w:gridCol w:w="2673"/>
        <w:gridCol w:w="2348"/>
        <w:gridCol w:w="2354"/>
        <w:gridCol w:w="293"/>
        <w:gridCol w:w="501"/>
        <w:gridCol w:w="151"/>
        <w:gridCol w:w="151"/>
        <w:gridCol w:w="151"/>
        <w:gridCol w:w="151"/>
        <w:gridCol w:w="293"/>
        <w:gridCol w:w="501"/>
        <w:gridCol w:w="151"/>
        <w:gridCol w:w="109"/>
        <w:gridCol w:w="109"/>
        <w:gridCol w:w="109"/>
        <w:gridCol w:w="160"/>
      </w:tblGrid>
      <w:tr>
        <w:trPr/>
        <w:tc>
          <w:tcPr>
            <w:tcW w:w="2673" w:type="dxa"/>
            <w:tcBorders/>
            <w:shd w:fill="auto" w:val="clear"/>
            <w:vAlign w:val="center"/>
          </w:tcPr>
          <w:p>
            <w:pPr>
              <w:pStyle w:val="TableContents"/>
              <w:spacing w:before="0" w:after="283"/>
              <w:rPr>
                <w:sz w:val="4"/>
                <w:szCs w:val="4"/>
              </w:rPr>
            </w:pPr>
            <w:r>
              <w:rPr>
                <w:sz w:val="4"/>
                <w:szCs w:val="4"/>
              </w:rPr>
            </w:r>
          </w:p>
        </w:tc>
        <w:tc>
          <w:tcPr>
            <w:tcW w:w="2348" w:type="dxa"/>
            <w:tcBorders/>
            <w:shd w:fill="auto" w:val="clear"/>
            <w:vAlign w:val="center"/>
          </w:tcPr>
          <w:p>
            <w:pPr>
              <w:pStyle w:val="TableContents"/>
              <w:spacing w:before="0" w:after="283"/>
              <w:rPr>
                <w:sz w:val="4"/>
                <w:szCs w:val="4"/>
              </w:rPr>
            </w:pPr>
            <w:r>
              <w:rPr>
                <w:sz w:val="4"/>
                <w:szCs w:val="4"/>
              </w:rPr>
            </w:r>
          </w:p>
        </w:tc>
        <w:tc>
          <w:tcPr>
            <w:tcW w:w="2354"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gridSpan w:val="2"/>
            <w:tcBorders/>
            <w:shd w:fill="auto" w:val="clear"/>
          </w:tcPr>
          <w:p>
            <w:pPr>
              <w:pStyle w:val="TableContents"/>
              <w:spacing w:before="0" w:after="283"/>
              <w:rPr>
                <w:sz w:val="4"/>
                <w:szCs w:val="4"/>
              </w:rPr>
            </w:pPr>
            <w:r>
              <w:rPr>
                <w:sz w:val="4"/>
                <w:szCs w:val="4"/>
              </w:rPr>
            </w:r>
          </w:p>
        </w:tc>
      </w:tr>
      <w:tr>
        <w:trPr/>
        <w:tc>
          <w:tcPr>
            <w:tcW w:w="7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5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487" w:type="dxa"/>
            <w:gridSpan w:val="4"/>
            <w:tcBorders/>
            <w:shd w:fill="auto" w:val="clear"/>
          </w:tcPr>
          <w:p>
            <w:pPr>
              <w:pStyle w:val="TableContents"/>
              <w:spacing w:before="0" w:after="283"/>
              <w:rPr>
                <w:sz w:val="4"/>
                <w:szCs w:val="4"/>
              </w:rPr>
            </w:pPr>
            <w:r>
              <w:rPr>
                <w:sz w:val="4"/>
                <w:szCs w:val="4"/>
              </w:rPr>
            </w:r>
          </w:p>
        </w:tc>
      </w:tr>
      <w:tr>
        <w:trPr/>
        <w:tc>
          <w:tcPr>
            <w:tcW w:w="7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9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 capitalized pursuant to full cost method of accounting for oil and natural gas properties</w:t>
            </w:r>
          </w:p>
        </w:tc>
        <w:tc>
          <w:tcPr>
            <w:tcW w:w="29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75" w:type="dxa"/>
            <w:gridSpan w:val="3"/>
            <w:tcBorders/>
            <w:shd w:fill="auto" w:val="clear"/>
            <w:vAlign w:val="center"/>
          </w:tcPr>
          <w:p>
            <w:pPr>
              <w:pStyle w:val="TableContents"/>
              <w:spacing w:before="0" w:after="283"/>
              <w:rPr>
                <w:sz w:val="4"/>
                <w:szCs w:val="4"/>
              </w:rPr>
            </w:pPr>
            <w:r>
              <w:rPr>
                <w:sz w:val="4"/>
                <w:szCs w:val="4"/>
              </w:rPr>
            </w:r>
          </w:p>
        </w:tc>
        <w:tc>
          <w:tcPr>
            <w:tcW w:w="945" w:type="dxa"/>
            <w:gridSpan w:val="3"/>
            <w:tcBorders/>
            <w:shd w:fill="auto" w:val="clear"/>
            <w:vAlign w:val="center"/>
          </w:tcPr>
          <w:p>
            <w:pPr>
              <w:pStyle w:val="TableContents"/>
              <w:spacing w:before="0" w:after="283"/>
              <w:rPr>
                <w:sz w:val="4"/>
                <w:szCs w:val="4"/>
              </w:rPr>
            </w:pPr>
            <w:r>
              <w:rPr>
                <w:sz w:val="4"/>
                <w:szCs w:val="4"/>
              </w:rPr>
            </w:r>
          </w:p>
        </w:tc>
        <w:tc>
          <w:tcPr>
            <w:tcW w:w="453" w:type="dxa"/>
            <w:gridSpan w:val="3"/>
            <w:tcBorders/>
            <w:shd w:fill="auto" w:val="clear"/>
            <w:vAlign w:val="center"/>
          </w:tcPr>
          <w:p>
            <w:pPr>
              <w:pStyle w:val="TableContents"/>
              <w:spacing w:before="0" w:after="283"/>
              <w:rPr>
                <w:sz w:val="4"/>
                <w:szCs w:val="4"/>
              </w:rPr>
            </w:pPr>
            <w:r>
              <w:rPr>
                <w:sz w:val="4"/>
                <w:szCs w:val="4"/>
              </w:rPr>
            </w:r>
          </w:p>
        </w:tc>
        <w:tc>
          <w:tcPr>
            <w:tcW w:w="9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7011061f248747c88de11895562af037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restricted stock unit activity during the three months ended March 31, 2023 under the Equity Plan:</w:t>
      </w:r>
    </w:p>
    <w:tbl>
      <w:tblPr>
        <w:tblW w:w="6962" w:type="dxa"/>
        <w:jc w:val="left"/>
        <w:tblInd w:w="0" w:type="dxa"/>
        <w:tblCellMar>
          <w:top w:w="28" w:type="dxa"/>
          <w:left w:w="28" w:type="dxa"/>
          <w:bottom w:w="28" w:type="dxa"/>
          <w:right w:w="28" w:type="dxa"/>
        </w:tblCellMar>
      </w:tblPr>
      <w:tblGrid>
        <w:gridCol w:w="978"/>
        <w:gridCol w:w="860"/>
        <w:gridCol w:w="862"/>
        <w:gridCol w:w="536"/>
        <w:gridCol w:w="454"/>
        <w:gridCol w:w="456"/>
        <w:gridCol w:w="109"/>
        <w:gridCol w:w="109"/>
        <w:gridCol w:w="109"/>
        <w:gridCol w:w="483"/>
        <w:gridCol w:w="1653"/>
        <w:gridCol w:w="353"/>
      </w:tblGrid>
      <w:tr>
        <w:trPr/>
        <w:tc>
          <w:tcPr>
            <w:tcW w:w="978"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6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Restricted Stock</w:t>
              <w:br/>
              <w:t>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Grant-Date</w:t>
              <w:br/>
              <w:t>Fair Value</w:t>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2022</w:t>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918,902 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95.74 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376,724 </w:t>
            </w:r>
          </w:p>
        </w:tc>
        <w:tc>
          <w:tcPr>
            <w:tcW w:w="4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144.13 </w:t>
            </w:r>
          </w:p>
        </w:tc>
        <w:tc>
          <w:tcPr>
            <w:tcW w:w="3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(92,697)</w:t>
            </w:r>
          </w:p>
        </w:tc>
        <w:tc>
          <w:tcPr>
            <w:tcW w:w="4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113.89 </w:t>
            </w:r>
          </w:p>
        </w:tc>
        <w:tc>
          <w:tcPr>
            <w:tcW w:w="3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(22,639)</w:t>
            </w:r>
          </w:p>
        </w:tc>
        <w:tc>
          <w:tcPr>
            <w:tcW w:w="4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99.80 </w:t>
            </w:r>
          </w:p>
        </w:tc>
        <w:tc>
          <w:tcPr>
            <w:tcW w:w="3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March 31, 2023</w:t>
            </w:r>
          </w:p>
        </w:tc>
        <w:tc>
          <w:tcPr>
            <w:tcW w:w="9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1,180,290 </w:t>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109.52 </w:t>
            </w:r>
          </w:p>
        </w:tc>
        <w:tc>
          <w:tcPr>
            <w:tcW w:w="3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grant date fair value of restricted stock units that vested during the three months ended March 31, 2023 was $11 million. As of March 31, 2023, the Company’s unrecognized compensation cost related to unvested restricted stock units was $109 million, which is expected to be recognized over a weighted-average period of 2.0 years.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Performance Based Restricted Stock Units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performance restricted stock units activity under the Equity Plan for the three months ended March 31, 2023:</w:t>
      </w:r>
    </w:p>
    <w:p>
      <w:pPr>
        <w:pStyle w:val="TextBody"/>
        <w:spacing w:before="0" w:after="0"/>
        <w:ind w:left="0" w:right="0" w:firstLine="720"/>
        <w:jc w:val="both"/>
        <w:rPr/>
      </w:pPr>
      <w:r>
        <w:rPr/>
      </w:r>
    </w:p>
    <w:tbl>
      <w:tblPr>
        <w:tblW w:w="9222" w:type="dxa"/>
        <w:jc w:val="left"/>
        <w:tblInd w:w="0" w:type="dxa"/>
        <w:tblCellMar>
          <w:top w:w="28" w:type="dxa"/>
          <w:left w:w="28" w:type="dxa"/>
          <w:bottom w:w="28" w:type="dxa"/>
          <w:right w:w="28" w:type="dxa"/>
        </w:tblCellMar>
      </w:tblPr>
      <w:tblGrid>
        <w:gridCol w:w="978"/>
        <w:gridCol w:w="860"/>
        <w:gridCol w:w="862"/>
        <w:gridCol w:w="949"/>
        <w:gridCol w:w="949"/>
        <w:gridCol w:w="952"/>
        <w:gridCol w:w="109"/>
        <w:gridCol w:w="109"/>
        <w:gridCol w:w="109"/>
        <w:gridCol w:w="650"/>
        <w:gridCol w:w="2221"/>
        <w:gridCol w:w="474"/>
      </w:tblGrid>
      <w:tr>
        <w:trPr/>
        <w:tc>
          <w:tcPr>
            <w:tcW w:w="978"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2221"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Performance Restricted Stock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Grant-Date Fair Value</w:t>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2022</w:t>
            </w:r>
          </w:p>
        </w:tc>
        <w:tc>
          <w:tcPr>
            <w:tcW w:w="18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347,881 </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168.48 </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126,347 </w:t>
            </w:r>
          </w:p>
        </w:tc>
        <w:tc>
          <w:tcPr>
            <w:tcW w:w="9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259.52 </w:t>
            </w:r>
          </w:p>
        </w:tc>
        <w:tc>
          <w:tcPr>
            <w:tcW w:w="4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auto" w:val="clear"/>
            <w:vAlign w:val="center"/>
          </w:tcPr>
          <w:p>
            <w:pPr>
              <w:pStyle w:val="TableContents"/>
              <w:spacing w:before="0" w:after="283"/>
              <w:rPr>
                <w:sz w:val="4"/>
                <w:szCs w:val="4"/>
              </w:rPr>
            </w:pPr>
            <w:r>
              <w:rPr>
                <w:sz w:val="4"/>
                <w:szCs w:val="4"/>
              </w:rPr>
            </w:r>
          </w:p>
        </w:tc>
        <w:tc>
          <w:tcPr>
            <w:tcW w:w="28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45" w:type="dxa"/>
            <w:gridSpan w:val="3"/>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(27,168)</w:t>
            </w:r>
          </w:p>
        </w:tc>
        <w:tc>
          <w:tcPr>
            <w:tcW w:w="9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71.03 </w:t>
            </w:r>
          </w:p>
        </w:tc>
        <w:tc>
          <w:tcPr>
            <w:tcW w:w="4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Unvested at March 31, 2023</w:t>
            </w:r>
            <w:r>
              <w:rPr>
                <w:rFonts w:ascii="Times New Roman;sans-serif" w:hAnsi="Times New Roman;sans-serif"/>
                <w:b w:val="false"/>
                <w:color w:val="000000"/>
                <w:sz w:val="13"/>
              </w:rPr>
              <w:t>(1)</w:t>
            </w:r>
          </w:p>
        </w:tc>
        <w:tc>
          <w:tcPr>
            <w:tcW w:w="18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447,060 </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196.48 </w:t>
            </w:r>
          </w:p>
        </w:tc>
        <w:tc>
          <w:tcPr>
            <w:tcW w:w="4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(1)A maximum of 1,068,213 units could be awarded based upon the Company’s final TSR ranking.</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Company’s unrecognized compensation cost related to unvested performance based restricted stock awards and units was $58 million, which is expected to be recognized over a weighted-average period of 2.0 years.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2023, eligible employees received performance restricted stock unit awards totaling 126,347 units from which a minimum of 0% and a maximum of 200% of the units could be awarded based upon the measurement of total stockholder return of the Company’s common stock as compared to a designated peer group during the 3-year performance period of January 1, 2023 to December 31, 2025 and cliff vest at December 31, 2025 subject to continued employment. The initial payout of the March 2023 awards will be further adjusted by a TSR modifier that may reduce the payout or increase the payout up to a maximum of 250%.</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each performance restricted stock unit issuance is estimated at the date of grant using a Monte Carlo simulation, which results in an expected percentage of units to be earned during the performance period.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the grant-date fair values of performance restricted stock units granted and the related assumptions for the awards granted during the period presented:</w:t>
      </w:r>
    </w:p>
    <w:p>
      <w:pPr>
        <w:pStyle w:val="TextBody"/>
        <w:spacing w:before="0" w:after="0"/>
        <w:ind w:left="0" w:right="0" w:firstLine="720"/>
        <w:jc w:val="both"/>
        <w:rPr/>
      </w:pPr>
      <w:r>
        <w:rPr/>
      </w:r>
    </w:p>
    <w:tbl>
      <w:tblPr>
        <w:tblW w:w="3468" w:type="dxa"/>
        <w:jc w:val="center"/>
        <w:tblInd w:w="0" w:type="dxa"/>
        <w:tblCellMar>
          <w:top w:w="28" w:type="dxa"/>
          <w:left w:w="28" w:type="dxa"/>
          <w:bottom w:w="28" w:type="dxa"/>
          <w:right w:w="28" w:type="dxa"/>
        </w:tblCellMar>
      </w:tblPr>
      <w:tblGrid>
        <w:gridCol w:w="645"/>
        <w:gridCol w:w="569"/>
        <w:gridCol w:w="570"/>
        <w:gridCol w:w="211"/>
        <w:gridCol w:w="721"/>
        <w:gridCol w:w="271"/>
        <w:gridCol w:w="109"/>
        <w:gridCol w:w="109"/>
        <w:gridCol w:w="109"/>
        <w:gridCol w:w="154"/>
      </w:tblGrid>
      <w:tr>
        <w:trPr/>
        <w:tc>
          <w:tcPr>
            <w:tcW w:w="645"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Grant-date fair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rate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volatility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7011061f248747c88de11895562af037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10.    INCOME TAXES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Company’s provision for (benefit from) income taxes and the effective income tax rate for the periods indicated:</w:t>
      </w:r>
    </w:p>
    <w:tbl>
      <w:tblPr>
        <w:tblW w:w="6492" w:type="dxa"/>
        <w:jc w:val="left"/>
        <w:tblInd w:w="0" w:type="dxa"/>
        <w:tblCellMar>
          <w:top w:w="28" w:type="dxa"/>
          <w:left w:w="28" w:type="dxa"/>
          <w:bottom w:w="28" w:type="dxa"/>
          <w:right w:w="28" w:type="dxa"/>
        </w:tblCellMar>
      </w:tblPr>
      <w:tblGrid>
        <w:gridCol w:w="1243"/>
        <w:gridCol w:w="1094"/>
        <w:gridCol w:w="1098"/>
        <w:gridCol w:w="244"/>
        <w:gridCol w:w="541"/>
        <w:gridCol w:w="314"/>
        <w:gridCol w:w="126"/>
        <w:gridCol w:w="126"/>
        <w:gridCol w:w="126"/>
        <w:gridCol w:w="244"/>
        <w:gridCol w:w="541"/>
        <w:gridCol w:w="314"/>
        <w:gridCol w:w="109"/>
        <w:gridCol w:w="109"/>
        <w:gridCol w:w="109"/>
        <w:gridCol w:w="154"/>
      </w:tblGrid>
      <w:tr>
        <w:trPr/>
        <w:tc>
          <w:tcPr>
            <w:tcW w:w="1243"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for tax rate)</w:t>
            </w:r>
          </w:p>
        </w:tc>
        <w:tc>
          <w:tcPr>
            <w:tcW w:w="481" w:type="dxa"/>
            <w:gridSpan w:val="4"/>
            <w:tcBorders/>
            <w:shd w:fill="auto" w:val="clear"/>
          </w:tcPr>
          <w:p>
            <w:pPr>
              <w:pStyle w:val="TableContents"/>
              <w:spacing w:before="0" w:after="283"/>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3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3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income tax rate</w:t>
            </w:r>
          </w:p>
        </w:tc>
        <w:tc>
          <w:tcPr>
            <w:tcW w:w="7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3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3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income tax expense from continuing operations for the three months ended March 31, 2023 and 2022 differed from amounts computed by applying the United States federal statutory tax rate to pre-tax income primarily due to (i) state income taxes, net of federal benefit, and (ii) the impact of permanent differences between book and taxable income, partially offset by (iii) tax benefit resulting from a reduction in the valuation allowance on Viper’s deferred tax assets for the three months ended March 31, 2022 due to Viper’s pre-tax income for the period. </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Viper maintained a partial valuation allowance against its deferred tax assets, based on its assessment of all available evidence, both positive and negative, supporting realizability of Viper’s deferred tax assets.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and 2022, the Company’s items of discrete income tax expense or benefit were not material. </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Inflation Reduction Act of 2022 (“IRA”) was enacted on August 16, 2022, which created a 15% corporate alternative minimum tax (“CAMT”) on the “adjusted financial statement income” of certain large corporations (generally, corporations reporting at least $1 billion of average adjusted pre-tax net income on their consolidated financial statements) as well as an excise tax of 1% on the fair market value of certain public company stock/unit repurchases for tax years beginning after December 31, 2022. Based on application of currently available guidance, the Company’s income tax expense for the three months ended March 31, 2023 was not impacted by the CAMT. The Company did not accrue excise tax for the three months ended March 31, 2023 since its share issuances exceeded share repurchases.</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11.    DERIVATIVES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2023, the Company has commodity derivative contracts and interest rate swaps outstanding. All derivative financial instruments are recorded at fair value.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Commodity Contracts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multiple crude oil and natural gas derivatives, indexed to the respective indices as noted in the table below, to reduce price volatility associated with certain of its oil and natural gas sales. The Company has not designated its commodity derivative instruments as hedges for accounting purposes and, as a result, marks its commodity derivative instruments to fair value and recognizes the cash and non-cash changes in fair value in the condensed consolidated statements of operations under the caption “Gain (loss) on derivative instruments, net.”</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By using derivative instruments to economically hedge exposure to changes in commodity prices, the Company exposes itself to credit risk and market risk. Credit risk is the failure of the counterparty to perform under the terms of the derivative contract. When the fair value of a derivative contract is positive, the counterparty owes the Company, which creates credit risk. The Company has entered into commodity derivative instruments only with counterparties that are also lenders under its credit facility and have been deemed an acceptable credit risk. As such, collateral is not required from either the counterparties or the Company on its outstanding commodity derivative contracts.</w:t>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7011061f248747c88de11895562af037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had the following outstanding commodity derivative contracts. When aggregating multiple contracts, the weighted average contract price is disclosed.</w:t>
      </w:r>
    </w:p>
    <w:tbl>
      <w:tblPr>
        <w:tblW w:w="10205" w:type="dxa"/>
        <w:jc w:val="left"/>
        <w:tblInd w:w="0" w:type="dxa"/>
        <w:tblCellMar>
          <w:top w:w="28" w:type="dxa"/>
          <w:left w:w="28" w:type="dxa"/>
          <w:bottom w:w="28" w:type="dxa"/>
          <w:right w:w="28" w:type="dxa"/>
        </w:tblCellMar>
      </w:tblPr>
      <w:tblGrid>
        <w:gridCol w:w="398"/>
        <w:gridCol w:w="350"/>
        <w:gridCol w:w="351"/>
        <w:gridCol w:w="344"/>
        <w:gridCol w:w="344"/>
        <w:gridCol w:w="346"/>
        <w:gridCol w:w="345"/>
        <w:gridCol w:w="336"/>
        <w:gridCol w:w="338"/>
        <w:gridCol w:w="425"/>
        <w:gridCol w:w="354"/>
        <w:gridCol w:w="356"/>
        <w:gridCol w:w="393"/>
        <w:gridCol w:w="393"/>
        <w:gridCol w:w="404"/>
        <w:gridCol w:w="503"/>
        <w:gridCol w:w="503"/>
        <w:gridCol w:w="510"/>
        <w:gridCol w:w="109"/>
        <w:gridCol w:w="157"/>
        <w:gridCol w:w="470"/>
        <w:gridCol w:w="470"/>
        <w:gridCol w:w="482"/>
        <w:gridCol w:w="442"/>
        <w:gridCol w:w="442"/>
        <w:gridCol w:w="640"/>
      </w:tblGrid>
      <w:tr>
        <w:trPr/>
        <w:tc>
          <w:tcPr>
            <w:tcW w:w="398"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Swaps</w:t>
            </w:r>
          </w:p>
        </w:tc>
        <w:tc>
          <w:tcPr>
            <w:tcW w:w="109" w:type="dxa"/>
            <w:tcBorders/>
            <w:shd w:fill="auto" w:val="clear"/>
            <w:vAlign w:val="center"/>
          </w:tcPr>
          <w:p>
            <w:pPr>
              <w:pStyle w:val="TableContents"/>
              <w:spacing w:before="0" w:after="283"/>
              <w:rPr>
                <w:sz w:val="4"/>
                <w:szCs w:val="4"/>
              </w:rPr>
            </w:pPr>
            <w:r>
              <w:rPr>
                <w:sz w:val="4"/>
                <w:szCs w:val="4"/>
              </w:rPr>
            </w:r>
          </w:p>
        </w:tc>
        <w:tc>
          <w:tcPr>
            <w:tcW w:w="1579" w:type="dxa"/>
            <w:gridSpan w:val="4"/>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Collars</w:t>
            </w:r>
          </w:p>
        </w:tc>
        <w:tc>
          <w:tcPr>
            <w:tcW w:w="1524" w:type="dxa"/>
            <w:gridSpan w:val="3"/>
            <w:tcBorders/>
            <w:shd w:fill="auto" w:val="clear"/>
          </w:tcPr>
          <w:p>
            <w:pPr>
              <w:pStyle w:val="TableContents"/>
              <w:spacing w:before="0" w:after="283"/>
              <w:rPr>
                <w:sz w:val="4"/>
                <w:szCs w:val="4"/>
              </w:rPr>
            </w:pPr>
            <w:r>
              <w:rPr>
                <w:sz w:val="4"/>
                <w:szCs w:val="4"/>
              </w:rPr>
            </w:r>
          </w:p>
        </w:tc>
      </w:tr>
      <w:tr>
        <w:trPr/>
        <w:tc>
          <w:tcPr>
            <w:tcW w:w="10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Settlement Month</w:t>
            </w:r>
          </w:p>
        </w:tc>
        <w:tc>
          <w:tcPr>
            <w:tcW w:w="10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Settlement Year</w:t>
            </w:r>
          </w:p>
        </w:tc>
        <w:tc>
          <w:tcPr>
            <w:tcW w:w="10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Type of Contract</w:t>
            </w:r>
          </w:p>
        </w:tc>
        <w:tc>
          <w:tcPr>
            <w:tcW w:w="11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Bbls/MMBtu Per Day</w:t>
            </w:r>
          </w:p>
        </w:tc>
        <w:tc>
          <w:tcPr>
            <w:tcW w:w="11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Index</w:t>
            </w:r>
          </w:p>
        </w:tc>
        <w:tc>
          <w:tcPr>
            <w:tcW w:w="15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Weighted Average Differential</w:t>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4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Weighted Average Floor Price</w:t>
            </w:r>
          </w:p>
        </w:tc>
        <w:tc>
          <w:tcPr>
            <w:tcW w:w="15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Weighted Average Ceiling Price</w:t>
            </w:r>
          </w:p>
        </w:tc>
      </w:tr>
      <w:tr>
        <w:trPr/>
        <w:tc>
          <w:tcPr>
            <w:tcW w:w="10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OIL</w:t>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42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5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 - June</w:t>
            </w:r>
          </w:p>
        </w:tc>
        <w:tc>
          <w:tcPr>
            <w:tcW w:w="103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Costless Collar</w:t>
            </w:r>
          </w:p>
        </w:tc>
        <w:tc>
          <w:tcPr>
            <w:tcW w:w="113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6,000</w:t>
            </w:r>
          </w:p>
        </w:tc>
        <w:tc>
          <w:tcPr>
            <w:tcW w:w="11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Brent</w:t>
            </w:r>
          </w:p>
        </w:tc>
        <w:tc>
          <w:tcPr>
            <w:tcW w:w="15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$60.00</w:t>
            </w:r>
          </w:p>
        </w:tc>
        <w:tc>
          <w:tcPr>
            <w:tcW w:w="15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$114.57</w:t>
            </w:r>
          </w:p>
        </w:tc>
      </w:tr>
      <w:tr>
        <w:trPr/>
        <w:tc>
          <w:tcPr>
            <w:tcW w:w="10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 - Dec.</w:t>
            </w:r>
          </w:p>
        </w:tc>
        <w:tc>
          <w:tcPr>
            <w:tcW w:w="103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19"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Basis Swap</w:t>
            </w:r>
            <w:r>
              <w:rPr>
                <w:rFonts w:ascii="Times New Roman;sans-serif" w:hAnsi="Times New Roman;sans-serif"/>
                <w:b w:val="false"/>
                <w:color w:val="000000"/>
                <w:sz w:val="13"/>
              </w:rPr>
              <w:t>(1)</w:t>
            </w:r>
          </w:p>
        </w:tc>
        <w:tc>
          <w:tcPr>
            <w:tcW w:w="113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24,000</w:t>
            </w:r>
          </w:p>
        </w:tc>
        <w:tc>
          <w:tcPr>
            <w:tcW w:w="119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Argus WTI Midland</w:t>
            </w:r>
          </w:p>
        </w:tc>
        <w:tc>
          <w:tcPr>
            <w:tcW w:w="15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$0.90</w:t>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2"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NATURAL GAS</w:t>
            </w:r>
          </w:p>
        </w:tc>
        <w:tc>
          <w:tcPr>
            <w:tcW w:w="11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 - June</w:t>
            </w:r>
          </w:p>
        </w:tc>
        <w:tc>
          <w:tcPr>
            <w:tcW w:w="103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Costless Collar</w:t>
            </w:r>
          </w:p>
        </w:tc>
        <w:tc>
          <w:tcPr>
            <w:tcW w:w="113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330,000</w:t>
            </w:r>
          </w:p>
        </w:tc>
        <w:tc>
          <w:tcPr>
            <w:tcW w:w="119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Henry Hub</w:t>
            </w:r>
          </w:p>
        </w:tc>
        <w:tc>
          <w:tcPr>
            <w:tcW w:w="15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15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$9.13</w:t>
            </w:r>
          </w:p>
        </w:tc>
      </w:tr>
      <w:tr>
        <w:trPr/>
        <w:tc>
          <w:tcPr>
            <w:tcW w:w="10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 Dec.</w:t>
            </w:r>
          </w:p>
        </w:tc>
        <w:tc>
          <w:tcPr>
            <w:tcW w:w="103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Costless Collar</w:t>
            </w:r>
          </w:p>
        </w:tc>
        <w:tc>
          <w:tcPr>
            <w:tcW w:w="113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310,000</w:t>
            </w:r>
          </w:p>
        </w:tc>
        <w:tc>
          <w:tcPr>
            <w:tcW w:w="11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Henry Hub</w:t>
            </w:r>
          </w:p>
        </w:tc>
        <w:tc>
          <w:tcPr>
            <w:tcW w:w="15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$3.18</w:t>
            </w:r>
          </w:p>
        </w:tc>
        <w:tc>
          <w:tcPr>
            <w:tcW w:w="15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$9.22</w:t>
            </w:r>
          </w:p>
        </w:tc>
      </w:tr>
      <w:tr>
        <w:trPr/>
        <w:tc>
          <w:tcPr>
            <w:tcW w:w="10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 - Dec.</w:t>
            </w:r>
          </w:p>
        </w:tc>
        <w:tc>
          <w:tcPr>
            <w:tcW w:w="103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Costless Collar</w:t>
            </w:r>
          </w:p>
        </w:tc>
        <w:tc>
          <w:tcPr>
            <w:tcW w:w="113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200,000</w:t>
            </w:r>
          </w:p>
        </w:tc>
        <w:tc>
          <w:tcPr>
            <w:tcW w:w="119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Henry Hub</w:t>
            </w:r>
          </w:p>
        </w:tc>
        <w:tc>
          <w:tcPr>
            <w:tcW w:w="15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15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$8.42</w:t>
            </w:r>
          </w:p>
        </w:tc>
      </w:tr>
      <w:tr>
        <w:trPr/>
        <w:tc>
          <w:tcPr>
            <w:tcW w:w="10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 - June</w:t>
            </w:r>
          </w:p>
        </w:tc>
        <w:tc>
          <w:tcPr>
            <w:tcW w:w="103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19"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Basis Swap</w:t>
            </w:r>
            <w:r>
              <w:rPr>
                <w:rFonts w:ascii="Times New Roman;sans-serif" w:hAnsi="Times New Roman;sans-serif"/>
                <w:b w:val="false"/>
                <w:color w:val="000000"/>
                <w:sz w:val="13"/>
              </w:rPr>
              <w:t>(1)</w:t>
            </w:r>
          </w:p>
        </w:tc>
        <w:tc>
          <w:tcPr>
            <w:tcW w:w="113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350,000</w:t>
            </w:r>
          </w:p>
        </w:tc>
        <w:tc>
          <w:tcPr>
            <w:tcW w:w="11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Waha Hub</w:t>
            </w:r>
          </w:p>
        </w:tc>
        <w:tc>
          <w:tcPr>
            <w:tcW w:w="15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 Dec.</w:t>
            </w:r>
          </w:p>
        </w:tc>
        <w:tc>
          <w:tcPr>
            <w:tcW w:w="103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19"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Basis Swap</w:t>
            </w:r>
            <w:r>
              <w:rPr>
                <w:rFonts w:ascii="Times New Roman;sans-serif" w:hAnsi="Times New Roman;sans-serif"/>
                <w:b w:val="false"/>
                <w:color w:val="000000"/>
                <w:sz w:val="13"/>
              </w:rPr>
              <w:t>(1)</w:t>
            </w:r>
          </w:p>
        </w:tc>
        <w:tc>
          <w:tcPr>
            <w:tcW w:w="113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330,000</w:t>
            </w:r>
          </w:p>
        </w:tc>
        <w:tc>
          <w:tcPr>
            <w:tcW w:w="119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Waha Hub</w:t>
            </w:r>
          </w:p>
        </w:tc>
        <w:tc>
          <w:tcPr>
            <w:tcW w:w="15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 - Dec.</w:t>
            </w:r>
          </w:p>
        </w:tc>
        <w:tc>
          <w:tcPr>
            <w:tcW w:w="103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19"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Basis Swap</w:t>
            </w:r>
            <w:r>
              <w:rPr>
                <w:rFonts w:ascii="Times New Roman;sans-serif" w:hAnsi="Times New Roman;sans-serif"/>
                <w:b w:val="false"/>
                <w:color w:val="000000"/>
                <w:sz w:val="13"/>
              </w:rPr>
              <w:t>(1)</w:t>
            </w:r>
          </w:p>
        </w:tc>
        <w:tc>
          <w:tcPr>
            <w:tcW w:w="113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380,000</w:t>
            </w:r>
          </w:p>
        </w:tc>
        <w:tc>
          <w:tcPr>
            <w:tcW w:w="11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Waha Hub</w:t>
            </w:r>
          </w:p>
        </w:tc>
        <w:tc>
          <w:tcPr>
            <w:tcW w:w="15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The Company has fixed price basis swaps for the spread between the Cushing crude oil price and the Midland WTI crude oil price as well as the spread between the Henry Hub natural gas price and the Waha Hub natural gas price. The weighted average differential represents the amount of reduction to the Cushing, Oklahoma oil price and the Waha Hub natural gas price for the notional volumes covered by the basis swap contracts.</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459"/>
        <w:gridCol w:w="403"/>
        <w:gridCol w:w="404"/>
        <w:gridCol w:w="387"/>
        <w:gridCol w:w="387"/>
        <w:gridCol w:w="389"/>
        <w:gridCol w:w="399"/>
        <w:gridCol w:w="399"/>
        <w:gridCol w:w="401"/>
        <w:gridCol w:w="349"/>
        <w:gridCol w:w="305"/>
        <w:gridCol w:w="293"/>
        <w:gridCol w:w="486"/>
        <w:gridCol w:w="486"/>
        <w:gridCol w:w="499"/>
        <w:gridCol w:w="317"/>
        <w:gridCol w:w="281"/>
        <w:gridCol w:w="282"/>
        <w:gridCol w:w="652"/>
        <w:gridCol w:w="652"/>
        <w:gridCol w:w="654"/>
        <w:gridCol w:w="383"/>
        <w:gridCol w:w="383"/>
        <w:gridCol w:w="555"/>
      </w:tblGrid>
      <w:tr>
        <w:trPr/>
        <w:tc>
          <w:tcPr>
            <w:tcW w:w="459"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rPr>
                <w:sz w:val="4"/>
                <w:szCs w:val="4"/>
              </w:rPr>
            </w:pPr>
            <w:r>
              <w:rPr>
                <w:sz w:val="4"/>
                <w:szCs w:val="4"/>
              </w:rPr>
            </w:r>
          </w:p>
        </w:tc>
      </w:tr>
      <w:tr>
        <w:trPr/>
        <w:tc>
          <w:tcPr>
            <w:tcW w:w="12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Settlement Month</w:t>
            </w:r>
          </w:p>
        </w:tc>
        <w:tc>
          <w:tcPr>
            <w:tcW w:w="116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Settlement Year</w:t>
            </w:r>
          </w:p>
        </w:tc>
        <w:tc>
          <w:tcPr>
            <w:tcW w:w="11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Type of Contract</w:t>
            </w:r>
          </w:p>
        </w:tc>
        <w:tc>
          <w:tcPr>
            <w:tcW w:w="9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Bbls Per Day</w:t>
            </w:r>
          </w:p>
        </w:tc>
        <w:tc>
          <w:tcPr>
            <w:tcW w:w="14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Index</w:t>
            </w:r>
          </w:p>
        </w:tc>
        <w:tc>
          <w:tcPr>
            <w:tcW w:w="8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Strike Price</w:t>
            </w:r>
          </w:p>
        </w:tc>
        <w:tc>
          <w:tcPr>
            <w:tcW w:w="19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Weighted Average Differential</w:t>
            </w:r>
          </w:p>
        </w:tc>
        <w:tc>
          <w:tcPr>
            <w:tcW w:w="13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Deferred Premium</w:t>
            </w:r>
          </w:p>
        </w:tc>
      </w:tr>
      <w:tr>
        <w:trPr/>
        <w:tc>
          <w:tcPr>
            <w:tcW w:w="12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OIL</w:t>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 - June</w:t>
            </w:r>
          </w:p>
        </w:tc>
        <w:tc>
          <w:tcPr>
            <w:tcW w:w="116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1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94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99,000</w:t>
            </w:r>
          </w:p>
        </w:tc>
        <w:tc>
          <w:tcPr>
            <w:tcW w:w="14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Brent</w:t>
            </w:r>
          </w:p>
        </w:tc>
        <w:tc>
          <w:tcPr>
            <w:tcW w:w="88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$54.04</w:t>
            </w:r>
          </w:p>
        </w:tc>
        <w:tc>
          <w:tcPr>
            <w:tcW w:w="195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$1.68</w:t>
            </w:r>
          </w:p>
        </w:tc>
      </w:tr>
      <w:tr>
        <w:trPr/>
        <w:tc>
          <w:tcPr>
            <w:tcW w:w="12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 - June</w:t>
            </w:r>
          </w:p>
        </w:tc>
        <w:tc>
          <w:tcPr>
            <w:tcW w:w="116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1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94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36,000</w:t>
            </w:r>
          </w:p>
        </w:tc>
        <w:tc>
          <w:tcPr>
            <w:tcW w:w="14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Argus WTI Houston</w:t>
            </w:r>
          </w:p>
        </w:tc>
        <w:tc>
          <w:tcPr>
            <w:tcW w:w="8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$54.17</w:t>
            </w:r>
          </w:p>
        </w:tc>
        <w:tc>
          <w:tcPr>
            <w:tcW w:w="195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$1.71</w:t>
            </w:r>
          </w:p>
        </w:tc>
      </w:tr>
      <w:tr>
        <w:trPr/>
        <w:tc>
          <w:tcPr>
            <w:tcW w:w="12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 - June</w:t>
            </w:r>
          </w:p>
        </w:tc>
        <w:tc>
          <w:tcPr>
            <w:tcW w:w="116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1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94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12,000</w:t>
            </w:r>
          </w:p>
        </w:tc>
        <w:tc>
          <w:tcPr>
            <w:tcW w:w="14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WTI</w:t>
            </w:r>
          </w:p>
        </w:tc>
        <w:tc>
          <w:tcPr>
            <w:tcW w:w="88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195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$1.82</w:t>
            </w:r>
          </w:p>
        </w:tc>
      </w:tr>
      <w:tr>
        <w:trPr/>
        <w:tc>
          <w:tcPr>
            <w:tcW w:w="12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 Sep.</w:t>
            </w:r>
          </w:p>
        </w:tc>
        <w:tc>
          <w:tcPr>
            <w:tcW w:w="116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1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94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77,000</w:t>
            </w:r>
          </w:p>
        </w:tc>
        <w:tc>
          <w:tcPr>
            <w:tcW w:w="14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Brent</w:t>
            </w:r>
          </w:p>
        </w:tc>
        <w:tc>
          <w:tcPr>
            <w:tcW w:w="8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$54.55</w:t>
            </w:r>
          </w:p>
        </w:tc>
        <w:tc>
          <w:tcPr>
            <w:tcW w:w="195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$1.66</w:t>
            </w:r>
          </w:p>
        </w:tc>
      </w:tr>
      <w:tr>
        <w:trPr/>
        <w:tc>
          <w:tcPr>
            <w:tcW w:w="12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 Sep.</w:t>
            </w:r>
          </w:p>
        </w:tc>
        <w:tc>
          <w:tcPr>
            <w:tcW w:w="116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1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94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22,000</w:t>
            </w:r>
          </w:p>
        </w:tc>
        <w:tc>
          <w:tcPr>
            <w:tcW w:w="14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Argus WTI Houston</w:t>
            </w:r>
          </w:p>
        </w:tc>
        <w:tc>
          <w:tcPr>
            <w:tcW w:w="88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195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$1.71</w:t>
            </w:r>
          </w:p>
        </w:tc>
      </w:tr>
      <w:tr>
        <w:trPr/>
        <w:tc>
          <w:tcPr>
            <w:tcW w:w="12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 Sep.</w:t>
            </w:r>
          </w:p>
        </w:tc>
        <w:tc>
          <w:tcPr>
            <w:tcW w:w="116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1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94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12,000</w:t>
            </w:r>
          </w:p>
        </w:tc>
        <w:tc>
          <w:tcPr>
            <w:tcW w:w="14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WTI</w:t>
            </w:r>
          </w:p>
        </w:tc>
        <w:tc>
          <w:tcPr>
            <w:tcW w:w="8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195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$1.80</w:t>
            </w:r>
          </w:p>
        </w:tc>
      </w:tr>
      <w:tr>
        <w:trPr/>
        <w:tc>
          <w:tcPr>
            <w:tcW w:w="12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 - Dec.</w:t>
            </w:r>
          </w:p>
        </w:tc>
        <w:tc>
          <w:tcPr>
            <w:tcW w:w="116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1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94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48,000</w:t>
            </w:r>
          </w:p>
        </w:tc>
        <w:tc>
          <w:tcPr>
            <w:tcW w:w="14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Brent</w:t>
            </w:r>
          </w:p>
        </w:tc>
        <w:tc>
          <w:tcPr>
            <w:tcW w:w="88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195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$1.54</w:t>
            </w:r>
          </w:p>
        </w:tc>
      </w:tr>
      <w:tr>
        <w:trPr/>
        <w:tc>
          <w:tcPr>
            <w:tcW w:w="12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 - Dec.</w:t>
            </w:r>
          </w:p>
        </w:tc>
        <w:tc>
          <w:tcPr>
            <w:tcW w:w="116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1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94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14,000</w:t>
            </w:r>
          </w:p>
        </w:tc>
        <w:tc>
          <w:tcPr>
            <w:tcW w:w="14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Argus WTI Houston</w:t>
            </w:r>
          </w:p>
        </w:tc>
        <w:tc>
          <w:tcPr>
            <w:tcW w:w="8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195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$1.70</w:t>
            </w:r>
          </w:p>
        </w:tc>
      </w:tr>
      <w:tr>
        <w:trPr/>
        <w:tc>
          <w:tcPr>
            <w:tcW w:w="12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 - Dec.</w:t>
            </w:r>
          </w:p>
        </w:tc>
        <w:tc>
          <w:tcPr>
            <w:tcW w:w="116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1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94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4,000</w:t>
            </w:r>
          </w:p>
        </w:tc>
        <w:tc>
          <w:tcPr>
            <w:tcW w:w="14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WTI</w:t>
            </w:r>
          </w:p>
        </w:tc>
        <w:tc>
          <w:tcPr>
            <w:tcW w:w="88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195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$1.86</w:t>
            </w:r>
          </w:p>
        </w:tc>
      </w:tr>
    </w:tbl>
    <w:p>
      <w:pPr>
        <w:pStyle w:val="TextBody"/>
        <w:spacing w:before="0" w:after="0"/>
        <w:ind w:left="0" w:right="0" w:hanging="36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Interest Rate Swaps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second quarter of 2021, the Company entered into two interest rate swap agreements for notional amounts of $600 million, which were designated as fair value hedges of the Company’s $1.2 billion 3.50% fixed rate senior notes due 2029 (the “2029 Notes”) at inception. The Company receives a fixed 3.50% rate of interest on these swaps and pays an average variable rate of interest based on three month LIBOR plus 2.1865%, thereby limiting its exposure to changes in the fair value of debt due to movements in LIBOR interest rates. Under hedge accounting, these interest rate swaps were considered perfectly effective and gains and losses due to changes in the fair value of the interest rate swaps were completely offset by changes in the fair value of the hedged portion of the 2029 Notes in the condensed consolidated statements of operations.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second quarter of 2022, the Company elected to fully dedesignate these interest rate swaps and hedge accounting was discontinued. The cumulative fair value basis adjustment recorded on the 2029 Notes at the time of dedesignation totaled $135 million. This basis adjustment is being amortized to interest expense over the remaining term of the 2029 Notes utilizing the effective interest method. The dedesignated interest rate swaps are considered economic hedges of the Company’s fixed-rate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7011061f248747c88de11895562af037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debt. As such, changes in the fair value of the interest rate swaps after the date of dedesignation have been recorded in earnings under the caption “Gain (loss) on derivative instruments, net” in the condensed consolidated statements of operations.</w:t>
      </w:r>
    </w:p>
    <w:p>
      <w:pPr>
        <w:pStyle w:val="TextBody"/>
        <w:spacing w:before="0" w:after="0"/>
        <w:ind w:left="0" w:right="0" w:firstLine="72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Balance Sheet Offsetting of Derivative Assets and Liabilities</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The fair value of derivative instruments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See Note 12—</w:t>
      </w:r>
      <w:hyperlink w:anchor="i7011061f248747c88de11895562af037_73">
        <w:r>
          <w:rPr>
            <w:rStyle w:val="InternetLink"/>
            <w:rFonts w:ascii="Times New Roman;sans-serif" w:hAnsi="Times New Roman;sans-serif"/>
            <w:b w:val="false"/>
            <w:color w:val="0000FF"/>
            <w:sz w:val="20"/>
            <w:u w:val="single"/>
          </w:rPr>
          <w:t>Fair Value Measurements</w:t>
        </w:r>
      </w:hyperlink>
      <w:r>
        <w:rPr>
          <w:color w:val="000000"/>
        </w:rPr>
        <w:t xml:space="preserve"> </w:t>
      </w:r>
      <w:r>
        <w:rPr>
          <w:rFonts w:ascii="Times New Roman;sans-serif" w:hAnsi="Times New Roman;sans-serif"/>
          <w:b w:val="false"/>
          <w:color w:val="000000"/>
          <w:sz w:val="20"/>
        </w:rPr>
        <w:t>for further details.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Gains and Losses on Derivative Instruments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gains and losses on derivative instruments not designated as hedging instruments included in the condensed consolidated statements of operations: </w:t>
      </w:r>
    </w:p>
    <w:tbl>
      <w:tblPr>
        <w:tblW w:w="6567" w:type="dxa"/>
        <w:jc w:val="left"/>
        <w:tblInd w:w="0" w:type="dxa"/>
        <w:tblCellMar>
          <w:top w:w="28" w:type="dxa"/>
          <w:left w:w="28" w:type="dxa"/>
          <w:bottom w:w="28" w:type="dxa"/>
          <w:right w:w="28" w:type="dxa"/>
        </w:tblCellMar>
      </w:tblPr>
      <w:tblGrid>
        <w:gridCol w:w="1270"/>
        <w:gridCol w:w="1118"/>
        <w:gridCol w:w="1121"/>
        <w:gridCol w:w="265"/>
        <w:gridCol w:w="681"/>
        <w:gridCol w:w="137"/>
        <w:gridCol w:w="137"/>
        <w:gridCol w:w="137"/>
        <w:gridCol w:w="137"/>
        <w:gridCol w:w="265"/>
        <w:gridCol w:w="681"/>
        <w:gridCol w:w="137"/>
        <w:gridCol w:w="109"/>
        <w:gridCol w:w="109"/>
        <w:gridCol w:w="109"/>
        <w:gridCol w:w="154"/>
      </w:tblGrid>
      <w:tr>
        <w:trPr/>
        <w:tc>
          <w:tcPr>
            <w:tcW w:w="1270"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121"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5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481" w:type="dxa"/>
            <w:gridSpan w:val="4"/>
            <w:tcBorders/>
            <w:shd w:fill="auto" w:val="clear"/>
          </w:tcPr>
          <w:p>
            <w:pPr>
              <w:pStyle w:val="TableContents"/>
              <w:spacing w:before="0" w:after="283"/>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 instruments, net:</w:t>
            </w:r>
          </w:p>
        </w:tc>
        <w:tc>
          <w:tcPr>
            <w:tcW w:w="10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contracts</w:t>
            </w:r>
          </w:p>
        </w:tc>
        <w:tc>
          <w:tcPr>
            <w:tcW w:w="26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received (paid) on settlements:</w:t>
            </w:r>
          </w:p>
        </w:tc>
        <w:tc>
          <w:tcPr>
            <w:tcW w:w="10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Commodity contracts</w:t>
            </w:r>
            <w:r>
              <w:rPr>
                <w:rFonts w:ascii="Times New Roman;sans-serif" w:hAnsi="Times New Roman;sans-serif"/>
                <w:b w:val="false"/>
                <w:color w:val="000000"/>
                <w:sz w:val="13"/>
              </w:rPr>
              <w:t>(1)</w:t>
            </w:r>
          </w:p>
        </w:tc>
        <w:tc>
          <w:tcPr>
            <w:tcW w:w="2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09"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c>
          <w:tcPr>
            <w:tcW w:w="411"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three months ended March 31, 2022 includes cash paid on commodity contracts terminated prior to their contractual maturity of $135 million.</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7011061f248747c88de11895562af037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12.    FAIR VALUE MEASUREMENTS</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Assets and Liabilities Measured at Fair Value on a Recurring Basis</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 xml:space="preserve">As discussed in </w:t>
      </w:r>
      <w:r>
        <w:fldChar w:fldCharType="begin"/>
      </w:r>
      <w:r>
        <w:rPr>
          <w:rStyle w:val="InternetLink"/>
        </w:rPr>
        <w:instrText> HYPERLINK "http://www.sec.gov/ix?doc=/Archives/edgar/data/1539838/000153983823000022/fang-20221231.htm" \l "ia595866015b4400388c840bd76dbe1a1_127"</w:instrText>
      </w:r>
      <w:r>
        <w:rPr>
          <w:rStyle w:val="InternetLink"/>
        </w:rPr>
        <w:fldChar w:fldCharType="separate"/>
      </w:r>
      <w:r>
        <w:rPr>
          <w:rStyle w:val="InternetLink"/>
        </w:rPr>
        <w:t>Note</w:t>
      </w:r>
      <w:r>
        <w:rPr>
          <w:rStyle w:val="InternetLink"/>
        </w:rPr>
        <w:fldChar w:fldCharType="end"/>
      </w:r>
      <w:r>
        <w:fldChar w:fldCharType="begin"/>
      </w:r>
      <w:r>
        <w:rPr>
          <w:rStyle w:val="InternetLink"/>
        </w:rPr>
        <w:instrText> HYPERLINK "http://www.sec.gov/ix?doc=/Archives/edgar/data/1539838/000153983823000022/fang-20221231.htm" \l "ia595866015b4400388c840bd76dbe1a1_127"</w:instrText>
      </w:r>
      <w:r>
        <w:rPr>
          <w:rStyle w:val="InternetLink"/>
        </w:rPr>
        <w:fldChar w:fldCharType="separate"/>
      </w:r>
      <w:r>
        <w:rPr>
          <w:rStyle w:val="InternetLink"/>
        </w:rPr>
        <w:t xml:space="preserve"> 13</w:t>
      </w:r>
      <w:r>
        <w:rPr>
          <w:rStyle w:val="InternetLink"/>
        </w:rPr>
        <w:fldChar w:fldCharType="end"/>
      </w:r>
      <w:r>
        <w:fldChar w:fldCharType="begin"/>
      </w:r>
      <w:r>
        <w:rPr>
          <w:rStyle w:val="InternetLink"/>
        </w:rPr>
        <w:instrText> HYPERLINK "http://www.sec.gov/ix?doc=/Archives/edgar/data/1539838/000153983823000022/fang-20221231.htm" \l "ia595866015b4400388c840bd76dbe1a1_127"</w:instrText>
      </w:r>
      <w:r>
        <w:rPr>
          <w:rStyle w:val="InternetLink"/>
        </w:rPr>
        <w:fldChar w:fldCharType="separate"/>
      </w:r>
      <w:r>
        <w:rPr>
          <w:rStyle w:val="InternetLink"/>
        </w:rPr>
        <w:t>—</w:t>
      </w:r>
      <w:r>
        <w:rPr>
          <w:rStyle w:val="InternetLink"/>
        </w:rPr>
        <w:fldChar w:fldCharType="end"/>
      </w:r>
      <w:r>
        <w:fldChar w:fldCharType="begin"/>
      </w:r>
      <w:r>
        <w:rPr>
          <w:rStyle w:val="InternetLink"/>
        </w:rPr>
        <w:instrText> HYPERLINK "http://www.sec.gov/ix?doc=/Archives/edgar/data/1539838/000153983823000022/fang-20221231.htm" \l "ia595866015b4400388c840bd76dbe1a1_127"</w:instrText>
      </w:r>
      <w:r>
        <w:rPr>
          <w:rStyle w:val="InternetLink"/>
        </w:rPr>
        <w:fldChar w:fldCharType="separate"/>
      </w:r>
      <w:r>
        <w:rPr>
          <w:rStyle w:val="InternetLink"/>
        </w:rPr>
        <w:t>Fair Value Measurements</w:t>
      </w:r>
      <w:r>
        <w:rPr>
          <w:rStyle w:val="InternetLink"/>
        </w:rPr>
        <w:fldChar w:fldCharType="end"/>
      </w:r>
      <w:r>
        <w:rPr>
          <w:color w:val="000000"/>
        </w:rPr>
        <w:t xml:space="preserve"> </w:t>
      </w:r>
      <w:r>
        <w:rPr>
          <w:rFonts w:ascii="Times New Roman;sans-serif" w:hAnsi="Times New Roman;sans-serif"/>
          <w:b w:val="false"/>
          <w:color w:val="000000"/>
          <w:sz w:val="20"/>
        </w:rPr>
        <w:t xml:space="preserve">in the Company’s </w:t>
      </w:r>
      <w:r>
        <w:fldChar w:fldCharType="begin"/>
      </w:r>
      <w:r>
        <w:rPr>
          <w:rStyle w:val="InternetLink"/>
        </w:rPr>
        <w:instrText> HYPERLINK "http://www.sec.gov/ix?doc=/Archives/edgar/data/1539838/000153983823000022/fang-20221231.htm" \l "ia595866015b4400388c840bd76dbe1a1_67"</w:instrText>
      </w:r>
      <w:r>
        <w:rPr>
          <w:rStyle w:val="InternetLink"/>
        </w:rPr>
        <w:fldChar w:fldCharType="separate"/>
      </w:r>
      <w:r>
        <w:rPr>
          <w:rStyle w:val="InternetLink"/>
        </w:rPr>
        <w:t xml:space="preserve">Annual Report on Form </w:t>
      </w:r>
      <w:r>
        <w:rPr>
          <w:rStyle w:val="InternetLink"/>
        </w:rPr>
        <w:fldChar w:fldCharType="end"/>
      </w:r>
      <w:r>
        <w:fldChar w:fldCharType="begin"/>
      </w:r>
      <w:r>
        <w:rPr>
          <w:rStyle w:val="InternetLink"/>
        </w:rPr>
        <w:instrText> HYPERLINK "http://www.sec.gov/ix?doc=/Archives/edgar/data/1539838/000153983823000022/fang-20221231.htm" \l "ia595866015b4400388c840bd76dbe1a1_67"</w:instrText>
      </w:r>
      <w:r>
        <w:rPr>
          <w:rStyle w:val="InternetLink"/>
        </w:rPr>
        <w:fldChar w:fldCharType="separate"/>
      </w:r>
      <w:r>
        <w:rPr>
          <w:rStyle w:val="InternetLink"/>
        </w:rPr>
        <w:t>10-K</w:t>
      </w:r>
      <w:r>
        <w:rPr>
          <w:rStyle w:val="InternetLink"/>
        </w:rPr>
        <w:fldChar w:fldCharType="end"/>
      </w:r>
      <w:r>
        <w:rPr>
          <w:color w:val="000000"/>
        </w:rPr>
        <w:t xml:space="preserve"> </w:t>
      </w:r>
      <w:r>
        <w:rPr>
          <w:rFonts w:ascii="Times New Roman;sans-serif" w:hAnsi="Times New Roman;sans-serif"/>
          <w:b w:val="false"/>
          <w:color w:val="000000"/>
          <w:sz w:val="20"/>
        </w:rPr>
        <w:t>for the year ended December 31, 2022, certain financial instruments of the Company are reported at fair value on the Company’s condensed consolidated balance sheets</w:t>
      </w:r>
      <w:r>
        <w:rPr>
          <w:rFonts w:ascii="Times New Roman;sans-serif" w:hAnsi="Times New Roman;sans-serif"/>
          <w:b w:val="false"/>
          <w:color w:val="000000"/>
          <w:sz w:val="20"/>
          <w:highlight w:val="white"/>
        </w:rPr>
        <w:t xml:space="preserve">. </w:t>
      </w:r>
      <w:r>
        <w:rPr>
          <w:rFonts w:ascii="Times New Roman;sans-serif" w:hAnsi="Times New Roman;sans-serif"/>
          <w:b w:val="false"/>
          <w:color w:val="000000"/>
          <w:sz w:val="20"/>
        </w:rPr>
        <w:t xml:space="preserve">The net amounts of derivative instruments are classified as current or noncurrent based on their anticipated settlement dates. The following table provides the fair value of financial instruments that are recorded at fair value in the condensed consolidated balance sheets </w:t>
      </w:r>
      <w:r>
        <w:rPr>
          <w:rFonts w:ascii="Times New Roman;sans-serif" w:hAnsi="Times New Roman;sans-serif"/>
          <w:b w:val="false"/>
          <w:color w:val="000000"/>
          <w:sz w:val="20"/>
          <w:highlight w:val="white"/>
        </w:rPr>
        <w:t xml:space="preserve">as of </w:t>
      </w:r>
      <w:r>
        <w:rPr>
          <w:rFonts w:ascii="Times New Roman;sans-serif" w:hAnsi="Times New Roman;sans-serif"/>
          <w:b w:val="false"/>
          <w:color w:val="000000"/>
          <w:sz w:val="20"/>
        </w:rPr>
        <w:t>March 31, 2023 and December 31, 2022:</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918"/>
        <w:gridCol w:w="795"/>
        <w:gridCol w:w="802"/>
        <w:gridCol w:w="211"/>
        <w:gridCol w:w="406"/>
        <w:gridCol w:w="109"/>
        <w:gridCol w:w="211"/>
        <w:gridCol w:w="466"/>
        <w:gridCol w:w="109"/>
        <w:gridCol w:w="211"/>
        <w:gridCol w:w="406"/>
        <w:gridCol w:w="109"/>
        <w:gridCol w:w="355"/>
        <w:gridCol w:w="785"/>
        <w:gridCol w:w="183"/>
        <w:gridCol w:w="576"/>
        <w:gridCol w:w="1107"/>
        <w:gridCol w:w="300"/>
        <w:gridCol w:w="541"/>
        <w:gridCol w:w="1200"/>
        <w:gridCol w:w="405"/>
      </w:tblGrid>
      <w:tr>
        <w:trPr/>
        <w:tc>
          <w:tcPr>
            <w:tcW w:w="918"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200"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r>
      <w:tr>
        <w:trPr/>
        <w:tc>
          <w:tcPr>
            <w:tcW w:w="2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0" w:type="dxa"/>
            <w:gridSpan w:val="18"/>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2023</w:t>
            </w:r>
          </w:p>
        </w:tc>
      </w:tr>
      <w:tr>
        <w:trPr/>
        <w:tc>
          <w:tcPr>
            <w:tcW w:w="2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7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7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132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Gross Fair Value</w:t>
            </w:r>
          </w:p>
        </w:tc>
        <w:tc>
          <w:tcPr>
            <w:tcW w:w="198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 Offset in Balance Sheet</w:t>
            </w:r>
          </w:p>
        </w:tc>
        <w:tc>
          <w:tcPr>
            <w:tcW w:w="2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Fair Value Presented in Balance Sheet</w:t>
            </w:r>
          </w:p>
        </w:tc>
      </w:tr>
      <w:tr>
        <w:trPr/>
        <w:tc>
          <w:tcPr>
            <w:tcW w:w="2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0" w:type="dxa"/>
            <w:gridSpan w:val="18"/>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assets- Derivative instruments:</w:t>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5"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c>
          <w:tcPr>
            <w:tcW w:w="1983" w:type="dxa"/>
            <w:gridSpan w:val="3"/>
            <w:tcBorders/>
            <w:shd w:fill="auto" w:val="clear"/>
            <w:vAlign w:val="center"/>
          </w:tcPr>
          <w:p>
            <w:pPr>
              <w:pStyle w:val="TableContents"/>
              <w:spacing w:before="0" w:after="283"/>
              <w:rPr>
                <w:sz w:val="4"/>
                <w:szCs w:val="4"/>
              </w:rPr>
            </w:pPr>
            <w:r>
              <w:rPr>
                <w:sz w:val="4"/>
                <w:szCs w:val="4"/>
              </w:rPr>
            </w:r>
          </w:p>
        </w:tc>
        <w:tc>
          <w:tcPr>
            <w:tcW w:w="2146" w:type="dxa"/>
            <w:gridSpan w:val="3"/>
            <w:tcBorders/>
            <w:shd w:fill="auto" w:val="clear"/>
            <w:vAlign w:val="center"/>
          </w:tcPr>
          <w:p>
            <w:pPr>
              <w:pStyle w:val="TableContents"/>
              <w:spacing w:before="0" w:after="283"/>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122 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w:t>
            </w:r>
          </w:p>
        </w:tc>
        <w:tc>
          <w:tcPr>
            <w:tcW w:w="3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60 </w:t>
            </w:r>
          </w:p>
        </w:tc>
        <w:tc>
          <w:tcPr>
            <w:tcW w:w="4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5"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c>
          <w:tcPr>
            <w:tcW w:w="1983" w:type="dxa"/>
            <w:gridSpan w:val="3"/>
            <w:tcBorders/>
            <w:shd w:fill="auto" w:val="clear"/>
            <w:vAlign w:val="center"/>
          </w:tcPr>
          <w:p>
            <w:pPr>
              <w:pStyle w:val="TableContents"/>
              <w:spacing w:before="0" w:after="283"/>
              <w:rPr>
                <w:sz w:val="4"/>
                <w:szCs w:val="4"/>
              </w:rPr>
            </w:pPr>
            <w:r>
              <w:rPr>
                <w:sz w:val="4"/>
                <w:szCs w:val="4"/>
              </w:rPr>
            </w:r>
          </w:p>
        </w:tc>
        <w:tc>
          <w:tcPr>
            <w:tcW w:w="2146" w:type="dxa"/>
            <w:gridSpan w:val="3"/>
            <w:tcBorders/>
            <w:shd w:fill="auto" w:val="clear"/>
            <w:vAlign w:val="center"/>
          </w:tcPr>
          <w:p>
            <w:pPr>
              <w:pStyle w:val="TableContents"/>
              <w:spacing w:before="0" w:after="283"/>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Non-current assets- Derivative instruments:</w:t>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5"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c>
          <w:tcPr>
            <w:tcW w:w="1983" w:type="dxa"/>
            <w:gridSpan w:val="3"/>
            <w:tcBorders/>
            <w:shd w:fill="auto" w:val="clear"/>
            <w:vAlign w:val="center"/>
          </w:tcPr>
          <w:p>
            <w:pPr>
              <w:pStyle w:val="TableContents"/>
              <w:spacing w:before="0" w:after="283"/>
              <w:rPr>
                <w:sz w:val="4"/>
                <w:szCs w:val="4"/>
              </w:rPr>
            </w:pPr>
            <w:r>
              <w:rPr>
                <w:sz w:val="4"/>
                <w:szCs w:val="4"/>
              </w:rPr>
            </w:r>
          </w:p>
        </w:tc>
        <w:tc>
          <w:tcPr>
            <w:tcW w:w="2146" w:type="dxa"/>
            <w:gridSpan w:val="3"/>
            <w:tcBorders/>
            <w:shd w:fill="auto" w:val="clear"/>
            <w:vAlign w:val="center"/>
          </w:tcPr>
          <w:p>
            <w:pPr>
              <w:pStyle w:val="TableContents"/>
              <w:spacing w:before="0" w:after="283"/>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w:t>
            </w:r>
          </w:p>
        </w:tc>
        <w:tc>
          <w:tcPr>
            <w:tcW w:w="3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8 </w:t>
            </w:r>
          </w:p>
        </w:tc>
        <w:tc>
          <w:tcPr>
            <w:tcW w:w="4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5"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c>
          <w:tcPr>
            <w:tcW w:w="1983" w:type="dxa"/>
            <w:gridSpan w:val="3"/>
            <w:tcBorders/>
            <w:shd w:fill="auto" w:val="clear"/>
            <w:vAlign w:val="center"/>
          </w:tcPr>
          <w:p>
            <w:pPr>
              <w:pStyle w:val="TableContents"/>
              <w:spacing w:before="0" w:after="283"/>
              <w:rPr>
                <w:sz w:val="4"/>
                <w:szCs w:val="4"/>
              </w:rPr>
            </w:pPr>
            <w:r>
              <w:rPr>
                <w:sz w:val="4"/>
                <w:szCs w:val="4"/>
              </w:rPr>
            </w:r>
          </w:p>
        </w:tc>
        <w:tc>
          <w:tcPr>
            <w:tcW w:w="2146" w:type="dxa"/>
            <w:gridSpan w:val="3"/>
            <w:tcBorders/>
            <w:shd w:fill="auto" w:val="clear"/>
            <w:vAlign w:val="center"/>
          </w:tcPr>
          <w:p>
            <w:pPr>
              <w:pStyle w:val="TableContents"/>
              <w:spacing w:before="0" w:after="283"/>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Liabilities:</w:t>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liabilities- Derivative instruments:</w:t>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w:t>
            </w:r>
          </w:p>
        </w:tc>
        <w:tc>
          <w:tcPr>
            <w:tcW w:w="3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7 </w:t>
            </w:r>
          </w:p>
        </w:tc>
        <w:tc>
          <w:tcPr>
            <w:tcW w:w="4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rate swaps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45 </w:t>
            </w:r>
          </w:p>
        </w:tc>
        <w:tc>
          <w:tcPr>
            <w:tcW w:w="4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Non-current liabilities- Derivative instruments:</w:t>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w:t>
            </w:r>
          </w:p>
        </w:tc>
        <w:tc>
          <w:tcPr>
            <w:tcW w:w="3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19 </w:t>
            </w:r>
          </w:p>
        </w:tc>
        <w:tc>
          <w:tcPr>
            <w:tcW w:w="4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rate swaps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131 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131 </w:t>
            </w:r>
          </w:p>
        </w:tc>
        <w:tc>
          <w:tcPr>
            <w:tcW w:w="4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918"/>
        <w:gridCol w:w="795"/>
        <w:gridCol w:w="802"/>
        <w:gridCol w:w="211"/>
        <w:gridCol w:w="406"/>
        <w:gridCol w:w="109"/>
        <w:gridCol w:w="211"/>
        <w:gridCol w:w="466"/>
        <w:gridCol w:w="109"/>
        <w:gridCol w:w="211"/>
        <w:gridCol w:w="406"/>
        <w:gridCol w:w="109"/>
        <w:gridCol w:w="355"/>
        <w:gridCol w:w="785"/>
        <w:gridCol w:w="183"/>
        <w:gridCol w:w="576"/>
        <w:gridCol w:w="1107"/>
        <w:gridCol w:w="300"/>
        <w:gridCol w:w="541"/>
        <w:gridCol w:w="1200"/>
        <w:gridCol w:w="405"/>
      </w:tblGrid>
      <w:tr>
        <w:trPr/>
        <w:tc>
          <w:tcPr>
            <w:tcW w:w="918"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200"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r>
      <w:tr>
        <w:trPr/>
        <w:tc>
          <w:tcPr>
            <w:tcW w:w="2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0" w:type="dxa"/>
            <w:gridSpan w:val="18"/>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2022</w:t>
            </w:r>
          </w:p>
        </w:tc>
      </w:tr>
      <w:tr>
        <w:trPr/>
        <w:tc>
          <w:tcPr>
            <w:tcW w:w="2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7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7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132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Gross Fair Value</w:t>
            </w:r>
          </w:p>
        </w:tc>
        <w:tc>
          <w:tcPr>
            <w:tcW w:w="198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 Offset in Balance Sheet</w:t>
            </w:r>
          </w:p>
        </w:tc>
        <w:tc>
          <w:tcPr>
            <w:tcW w:w="2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Fair Value Presented in Balance Sheet</w:t>
            </w:r>
          </w:p>
        </w:tc>
      </w:tr>
      <w:tr>
        <w:trPr/>
        <w:tc>
          <w:tcPr>
            <w:tcW w:w="2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0" w:type="dxa"/>
            <w:gridSpan w:val="18"/>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Assets:</w:t>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assets- Derivative instruments:</w:t>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5"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c>
          <w:tcPr>
            <w:tcW w:w="1983" w:type="dxa"/>
            <w:gridSpan w:val="3"/>
            <w:tcBorders/>
            <w:shd w:fill="auto" w:val="clear"/>
            <w:vAlign w:val="center"/>
          </w:tcPr>
          <w:p>
            <w:pPr>
              <w:pStyle w:val="TableContents"/>
              <w:spacing w:before="0" w:after="283"/>
              <w:rPr>
                <w:sz w:val="4"/>
                <w:szCs w:val="4"/>
              </w:rPr>
            </w:pPr>
            <w:r>
              <w:rPr>
                <w:sz w:val="4"/>
                <w:szCs w:val="4"/>
              </w:rPr>
            </w:r>
          </w:p>
        </w:tc>
        <w:tc>
          <w:tcPr>
            <w:tcW w:w="2146" w:type="dxa"/>
            <w:gridSpan w:val="3"/>
            <w:tcBorders/>
            <w:shd w:fill="auto" w:val="clear"/>
            <w:vAlign w:val="center"/>
          </w:tcPr>
          <w:p>
            <w:pPr>
              <w:pStyle w:val="TableContents"/>
              <w:spacing w:before="0" w:after="283"/>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197 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w:t>
            </w:r>
          </w:p>
        </w:tc>
        <w:tc>
          <w:tcPr>
            <w:tcW w:w="3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132 </w:t>
            </w:r>
          </w:p>
        </w:tc>
        <w:tc>
          <w:tcPr>
            <w:tcW w:w="4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5"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c>
          <w:tcPr>
            <w:tcW w:w="1983" w:type="dxa"/>
            <w:gridSpan w:val="3"/>
            <w:tcBorders/>
            <w:shd w:fill="auto" w:val="clear"/>
            <w:vAlign w:val="center"/>
          </w:tcPr>
          <w:p>
            <w:pPr>
              <w:pStyle w:val="TableContents"/>
              <w:spacing w:before="0" w:after="283"/>
              <w:rPr>
                <w:sz w:val="4"/>
                <w:szCs w:val="4"/>
              </w:rPr>
            </w:pPr>
            <w:r>
              <w:rPr>
                <w:sz w:val="4"/>
                <w:szCs w:val="4"/>
              </w:rPr>
            </w:r>
          </w:p>
        </w:tc>
        <w:tc>
          <w:tcPr>
            <w:tcW w:w="2146" w:type="dxa"/>
            <w:gridSpan w:val="3"/>
            <w:tcBorders/>
            <w:shd w:fill="auto" w:val="clear"/>
            <w:vAlign w:val="center"/>
          </w:tcPr>
          <w:p>
            <w:pPr>
              <w:pStyle w:val="TableContents"/>
              <w:spacing w:before="0" w:after="283"/>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Non-current assets- Derivative instruments:</w:t>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5"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c>
          <w:tcPr>
            <w:tcW w:w="1983" w:type="dxa"/>
            <w:gridSpan w:val="3"/>
            <w:tcBorders/>
            <w:shd w:fill="auto" w:val="clear"/>
            <w:vAlign w:val="center"/>
          </w:tcPr>
          <w:p>
            <w:pPr>
              <w:pStyle w:val="TableContents"/>
              <w:spacing w:before="0" w:after="283"/>
              <w:rPr>
                <w:sz w:val="4"/>
                <w:szCs w:val="4"/>
              </w:rPr>
            </w:pPr>
            <w:r>
              <w:rPr>
                <w:sz w:val="4"/>
                <w:szCs w:val="4"/>
              </w:rPr>
            </w:r>
          </w:p>
        </w:tc>
        <w:tc>
          <w:tcPr>
            <w:tcW w:w="2146" w:type="dxa"/>
            <w:gridSpan w:val="3"/>
            <w:tcBorders/>
            <w:shd w:fill="auto" w:val="clear"/>
            <w:vAlign w:val="center"/>
          </w:tcPr>
          <w:p>
            <w:pPr>
              <w:pStyle w:val="TableContents"/>
              <w:spacing w:before="0" w:after="283"/>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w:t>
            </w:r>
          </w:p>
        </w:tc>
        <w:tc>
          <w:tcPr>
            <w:tcW w:w="3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23 </w:t>
            </w:r>
          </w:p>
        </w:tc>
        <w:tc>
          <w:tcPr>
            <w:tcW w:w="4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5"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c>
          <w:tcPr>
            <w:tcW w:w="1983" w:type="dxa"/>
            <w:gridSpan w:val="3"/>
            <w:tcBorders/>
            <w:shd w:fill="auto" w:val="clear"/>
            <w:vAlign w:val="center"/>
          </w:tcPr>
          <w:p>
            <w:pPr>
              <w:pStyle w:val="TableContents"/>
              <w:spacing w:before="0" w:after="283"/>
              <w:rPr>
                <w:sz w:val="4"/>
                <w:szCs w:val="4"/>
              </w:rPr>
            </w:pPr>
            <w:r>
              <w:rPr>
                <w:sz w:val="4"/>
                <w:szCs w:val="4"/>
              </w:rPr>
            </w:r>
          </w:p>
        </w:tc>
        <w:tc>
          <w:tcPr>
            <w:tcW w:w="2146" w:type="dxa"/>
            <w:gridSpan w:val="3"/>
            <w:tcBorders/>
            <w:shd w:fill="auto" w:val="clear"/>
            <w:vAlign w:val="center"/>
          </w:tcPr>
          <w:p>
            <w:pPr>
              <w:pStyle w:val="TableContents"/>
              <w:spacing w:before="0" w:after="283"/>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Liabilities:</w:t>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liabilities- Derivative instruments:</w:t>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w:t>
            </w:r>
          </w:p>
        </w:tc>
        <w:tc>
          <w:tcPr>
            <w:tcW w:w="3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2 </w:t>
            </w:r>
          </w:p>
        </w:tc>
        <w:tc>
          <w:tcPr>
            <w:tcW w:w="4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rate swaps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45 </w:t>
            </w:r>
          </w:p>
        </w:tc>
        <w:tc>
          <w:tcPr>
            <w:tcW w:w="4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Non-current liabilities- Derivative instruments:</w:t>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w:t>
            </w:r>
          </w:p>
        </w:tc>
        <w:tc>
          <w:tcPr>
            <w:tcW w:w="3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rate swaps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148 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148 </w:t>
            </w:r>
          </w:p>
        </w:tc>
        <w:tc>
          <w:tcPr>
            <w:tcW w:w="4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7011061f248747c88de11895562af037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Assets and Liabilities Not Recorded at Fair Value </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fair value of financial instruments that are not recorded at fair value in the condensed consolidated balance sheets:</w:t>
      </w:r>
    </w:p>
    <w:tbl>
      <w:tblPr>
        <w:tblW w:w="5281" w:type="dxa"/>
        <w:jc w:val="left"/>
        <w:tblInd w:w="0" w:type="dxa"/>
        <w:tblCellMar>
          <w:top w:w="28" w:type="dxa"/>
          <w:left w:w="28" w:type="dxa"/>
          <w:bottom w:w="28" w:type="dxa"/>
          <w:right w:w="28" w:type="dxa"/>
        </w:tblCellMar>
      </w:tblPr>
      <w:tblGrid>
        <w:gridCol w:w="185"/>
        <w:gridCol w:w="162"/>
        <w:gridCol w:w="164"/>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85"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the Company’s credit agreement and the Viper credit agreement and prior to the Rattler Merger, the Rattler credit agreement approximate their carrying values based on borrowing rates available to the Company for bank loans with similar terms and maturities and is classified as Level 2 in the fair value hierarchy. The fair values of the outstanding notes were determined using the quoted market price at each period end, a Level 1 classification in the fair value hierarchy.</w:t>
      </w:r>
    </w:p>
    <w:p>
      <w:pPr>
        <w:pStyle w:val="TextBody"/>
        <w:spacing w:before="0" w:after="0"/>
        <w:ind w:left="0" w:right="0" w:firstLine="720"/>
        <w:jc w:val="both"/>
        <w:rPr/>
      </w:pPr>
      <w:r>
        <w:rPr/>
      </w:r>
    </w:p>
    <w:p>
      <w:pPr>
        <w:pStyle w:val="TextBody"/>
        <w:spacing w:lineRule="auto" w:line="288" w:before="0" w:after="0"/>
        <w:jc w:val="both"/>
        <w:rPr/>
      </w:pPr>
      <w:r>
        <w:rPr>
          <w:rFonts w:ascii="Times New Roman;sans-serif" w:hAnsi="Times New Roman;sans-serif"/>
          <w:b/>
          <w:i/>
          <w:color w:val="000000"/>
          <w:sz w:val="20"/>
        </w:rPr>
        <w:t>Assets and Liabilities Measured at Fair Value on a Nonrecurring Basis</w:t>
      </w:r>
      <w:r>
        <w:rPr>
          <w:color w:val="000000"/>
        </w:rPr>
        <w:t xml:space="preserve"> </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Certain assets and liabilities are measured at fair value on a nonrecurring basis in certain circumstances. These assets and liabilities can include those acquired in a business combination, inventory, proved and unproved oil and gas properties and other long-lived assets that are written down to fair value when they are impaired or held for sale. Refer to Note 4—</w:t>
      </w:r>
      <w:hyperlink w:anchor="i7011061f248747c88de11895562af037_49">
        <w:r>
          <w:rPr>
            <w:rStyle w:val="InternetLink"/>
            <w:rFonts w:ascii="Times New Roman;sans-serif" w:hAnsi="Times New Roman;sans-serif"/>
            <w:b w:val="false"/>
            <w:color w:val="0000FF"/>
            <w:sz w:val="20"/>
            <w:u w:val="single"/>
          </w:rPr>
          <w:t>Acquisitions and Divestitures</w:t>
        </w:r>
      </w:hyperlink>
      <w:r>
        <w:rPr>
          <w:color w:val="000000"/>
        </w:rPr>
        <w:t xml:space="preserve"> </w:t>
      </w:r>
      <w:r>
        <w:rPr>
          <w:rFonts w:ascii="Times New Roman;sans-serif" w:hAnsi="Times New Roman;sans-serif"/>
          <w:b w:val="false"/>
          <w:color w:val="000000"/>
          <w:sz w:val="20"/>
        </w:rPr>
        <w:t>and Note 5—</w:t>
      </w:r>
      <w:hyperlink w:anchor="i7011061f248747c88de11895562af037_52">
        <w:r>
          <w:rPr>
            <w:rStyle w:val="InternetLink"/>
            <w:rFonts w:ascii="Times New Roman;sans-serif" w:hAnsi="Times New Roman;sans-serif"/>
            <w:b w:val="false"/>
            <w:color w:val="0000FF"/>
            <w:sz w:val="20"/>
            <w:u w:val="single"/>
          </w:rPr>
          <w:t>Property and Equipment</w:t>
        </w:r>
      </w:hyperlink>
      <w:r>
        <w:rPr>
          <w:color w:val="000000"/>
        </w:rPr>
        <w:t xml:space="preserve"> </w:t>
      </w:r>
      <w:r>
        <w:rPr>
          <w:rFonts w:ascii="Times New Roman;sans-serif" w:hAnsi="Times New Roman;sans-serif"/>
          <w:b w:val="false"/>
          <w:color w:val="000000"/>
          <w:sz w:val="20"/>
        </w:rPr>
        <w:t>for additional discussion of nonrecurring fair value adjustments.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Fair Value of Financial Assets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 of cash and cash equivalents, receivables, funds held in escrow, prepaid expenses and other current assets, payables and other accrued liabilities approximate their fair value because of the short-term nature of the instruments.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13.    SUPPLEMENTAL INFORMATION TO STATEMENTS OF CASH FLOWS</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2303"/>
        <w:gridCol w:w="2019"/>
        <w:gridCol w:w="2031"/>
        <w:gridCol w:w="109"/>
        <w:gridCol w:w="109"/>
        <w:gridCol w:w="268"/>
        <w:gridCol w:w="268"/>
        <w:gridCol w:w="520"/>
        <w:gridCol w:w="1148"/>
        <w:gridCol w:w="268"/>
        <w:gridCol w:w="109"/>
        <w:gridCol w:w="109"/>
        <w:gridCol w:w="109"/>
        <w:gridCol w:w="211"/>
        <w:gridCol w:w="466"/>
        <w:gridCol w:w="158"/>
      </w:tblGrid>
      <w:tr>
        <w:trPr/>
        <w:tc>
          <w:tcPr>
            <w:tcW w:w="2303" w:type="dxa"/>
            <w:tcBorders/>
            <w:shd w:fill="auto" w:val="clear"/>
            <w:vAlign w:val="center"/>
          </w:tcPr>
          <w:p>
            <w:pPr>
              <w:pStyle w:val="TableContents"/>
              <w:spacing w:before="0" w:after="283"/>
              <w:rPr>
                <w:sz w:val="4"/>
                <w:szCs w:val="4"/>
              </w:rPr>
            </w:pPr>
            <w:r>
              <w:rPr>
                <w:sz w:val="4"/>
                <w:szCs w:val="4"/>
              </w:rPr>
            </w:r>
          </w:p>
        </w:tc>
        <w:tc>
          <w:tcPr>
            <w:tcW w:w="2019" w:type="dxa"/>
            <w:tcBorders/>
            <w:shd w:fill="auto" w:val="clear"/>
            <w:vAlign w:val="center"/>
          </w:tcPr>
          <w:p>
            <w:pPr>
              <w:pStyle w:val="TableContents"/>
              <w:spacing w:before="0" w:after="283"/>
              <w:rPr>
                <w:sz w:val="4"/>
                <w:szCs w:val="4"/>
              </w:rPr>
            </w:pPr>
            <w:r>
              <w:rPr>
                <w:sz w:val="4"/>
                <w:szCs w:val="4"/>
              </w:rPr>
            </w:r>
          </w:p>
        </w:tc>
        <w:tc>
          <w:tcPr>
            <w:tcW w:w="20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2"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162" w:type="dxa"/>
            <w:gridSpan w:val="6"/>
            <w:tcBorders/>
            <w:shd w:fill="auto" w:val="clear"/>
          </w:tcPr>
          <w:p>
            <w:pPr>
              <w:pStyle w:val="TableContents"/>
              <w:spacing w:before="0" w:after="283"/>
              <w:rPr>
                <w:sz w:val="4"/>
                <w:szCs w:val="4"/>
              </w:rPr>
            </w:pPr>
            <w:r>
              <w:rPr>
                <w:sz w:val="4"/>
                <w:szCs w:val="4"/>
              </w:rPr>
            </w:r>
          </w:p>
        </w:tc>
      </w:tr>
      <w:tr>
        <w:trPr/>
        <w:tc>
          <w:tcPr>
            <w:tcW w:w="63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3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309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35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5" w:type="dxa"/>
            <w:gridSpan w:val="3"/>
            <w:tcBorders/>
            <w:shd w:fill="auto" w:val="clear"/>
            <w:vAlign w:val="center"/>
          </w:tcPr>
          <w:p>
            <w:pPr>
              <w:pStyle w:val="TableContents"/>
              <w:spacing w:before="0" w:after="283"/>
              <w:rPr>
                <w:sz w:val="4"/>
                <w:szCs w:val="4"/>
              </w:rPr>
            </w:pPr>
            <w:r>
              <w:rPr>
                <w:sz w:val="4"/>
                <w:szCs w:val="4"/>
              </w:rPr>
            </w:r>
          </w:p>
        </w:tc>
      </w:tr>
      <w:tr>
        <w:trPr/>
        <w:tc>
          <w:tcPr>
            <w:tcW w:w="635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5" w:type="dxa"/>
            <w:gridSpan w:val="3"/>
            <w:tcBorders/>
            <w:shd w:fill="auto" w:val="clear"/>
            <w:vAlign w:val="center"/>
          </w:tcPr>
          <w:p>
            <w:pPr>
              <w:pStyle w:val="TableContents"/>
              <w:spacing w:before="0" w:after="283"/>
              <w:rPr>
                <w:sz w:val="4"/>
                <w:szCs w:val="4"/>
              </w:rPr>
            </w:pPr>
            <w:r>
              <w:rPr>
                <w:sz w:val="4"/>
                <w:szCs w:val="4"/>
              </w:rPr>
            </w:r>
          </w:p>
        </w:tc>
      </w:tr>
      <w:tr>
        <w:trPr/>
        <w:tc>
          <w:tcPr>
            <w:tcW w:w="635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5" w:type="dxa"/>
            <w:gridSpan w:val="3"/>
            <w:tcBorders/>
            <w:shd w:fill="auto" w:val="clear"/>
            <w:vAlign w:val="center"/>
          </w:tcPr>
          <w:p>
            <w:pPr>
              <w:pStyle w:val="TableContents"/>
              <w:spacing w:before="0" w:after="283"/>
              <w:rPr>
                <w:sz w:val="4"/>
                <w:szCs w:val="4"/>
              </w:rPr>
            </w:pPr>
            <w:r>
              <w:rPr>
                <w:sz w:val="4"/>
                <w:szCs w:val="4"/>
              </w:rPr>
            </w:r>
          </w:p>
        </w:tc>
      </w:tr>
      <w:tr>
        <w:trPr/>
        <w:tc>
          <w:tcPr>
            <w:tcW w:w="63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non-cash transactions: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capital expenditures included in accounts payable and accrued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5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2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5" w:type="dxa"/>
            <w:gridSpan w:val="3"/>
            <w:tcBorders/>
            <w:shd w:fill="auto" w:val="clear"/>
            <w:vAlign w:val="center"/>
          </w:tcPr>
          <w:p>
            <w:pPr>
              <w:pStyle w:val="TableContents"/>
              <w:spacing w:before="0" w:after="283"/>
              <w:rPr>
                <w:sz w:val="4"/>
                <w:szCs w:val="4"/>
              </w:rPr>
            </w:pPr>
            <w:r>
              <w:rPr>
                <w:sz w:val="4"/>
                <w:szCs w:val="4"/>
              </w:rPr>
            </w:r>
          </w:p>
        </w:tc>
      </w:tr>
      <w:tr>
        <w:trPr/>
        <w:tc>
          <w:tcPr>
            <w:tcW w:w="63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for business combination and acquisitions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5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2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14.    COMMITMENTS AND CONTINGENCIES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 party to various routine legal proceedings, disputes and claims arising in the ordinary course of its business, including those that arise from interpretation of federal and state laws and regulations affecting the crude oil and natural gas industry, personal injury claims, title disputes, royalty disputes, contract claims, contamination claims relating to oil and natural gas exploration and development and environmental claims, including claims involving assets previously sold to third parties and no longer part of the Company’s current operations. While the ultimate outcome of the pending proceedings, disputes or claims, and any resulting impact on the Company, cannot be predicted with certainty, the Company’s management believes that none of these matters, if ultimately decided adversely, will have a material adverse effect on the Company’s financial condition, results of operations or cash flows. The Company’s assessment is based on information known about the pending matters and its experience in contesting, litigating and settling similar matters. Actual outcomes could differ materially from the Company’s assessment. The Company records reserves for contingencies related to outstanding legal proceedings, disputes or claims when information available indicates that a loss is probable and the amount of the loss can be reasonably estimated.</w:t>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7011061f248747c88de11895562af037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Environmental Matters</w:t>
      </w:r>
    </w:p>
    <w:p>
      <w:pPr>
        <w:pStyle w:val="TextBody"/>
        <w:spacing w:before="0" w:after="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United States Department of the Interior, Bureau of Safety and Environmental Enforcement, ordered several oil and gas operators, including a corporate predecessor of Energen Corporation, to perform decommissioning and reclamation activities related to a Louisiana offshore oil and gas production platform and related facilities. In response to the insolvency of the operator of record, the government ordered the former operators and/or alleged former lease record title owners to decommission the platform and related facilities. The Company has agreed to an arrangement with other operators to contribute to a trust to fund the decommissioning costs, however, the Company’s portion of such costs are not expected to be material.</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Beginning in 2013 and continuing through 2022, several coastal Louisiana parishes and the State of Louisiana have filed 43 lawsuits under Louisiana’s State and Local Coastal Resources Management Act (“SLCRMA”) against numerous oil and gas producers seeking damages for coastal erosion in or near oil fields located within Louisiana’s coastal zone. The Company is a defendant in three of these cases, and Plaintiffs’ claims against the Company relate to the prior operations of entities previously acquired by Energen Corporation. The Company has exercised contractual indemnification rights where applicable. Plaintiffs’ SLCRMA theories are unprecedented, and there remains significant uncertainty about the claims (both as to scope and damages). Although we cannot predict the ultimate outcome of these matters, the Company believes the claims lack merit and intends to continue vigorously defending these lawsuits.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15.    SUBSEQUENT EVENTS</w:t>
      </w:r>
    </w:p>
    <w:p>
      <w:pPr>
        <w:pStyle w:val="TextBody"/>
        <w:spacing w:before="0" w:after="0"/>
        <w:jc w:val="both"/>
        <w:rPr/>
      </w:pPr>
      <w:r>
        <w:rPr/>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First Quarter 2023 Dividend Declaration</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25, 2023, the board of directors of the Company declared a cash dividend for the first quarter of 2023 of $0.83 per share of common stock, payable on May 18, 2023 to its stockholders of record at the close of business on May 11, 2023. The dividend consists of a base quarterly dividend of $0.80 per share of common stock and a variable quarterly dividend of $0.03 per share of common stock. Future base and variable dividends are at the discretion of the board of directors of the Company. </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Divestiture</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28, 2023, the Company closed on a divestiture of non-core assets with an unrelated third-party buyer consisting of approximately 19,000 net acres in Glasscock County, TX for net cash proceeds of $275 million, including certain customary post-closing adjustments.</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7011061f248747c88de11895562af037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16.    SEGMENT INFORMATION</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 Company has one reportable segment, the upstream segment, which is engaged in the acquisition, development, exploration and exploitation of unconventional, onshore oil and natural gas reserves primarily in the Permian Basin in West Texas. Other operations are included in the “All Other” category in the table below.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results of the Company’s operating segments during the periods presented:</w:t>
      </w:r>
    </w:p>
    <w:p>
      <w:pPr>
        <w:pStyle w:val="TextBody"/>
        <w:spacing w:before="0" w:after="0"/>
        <w:ind w:left="0" w:right="0" w:firstLine="720"/>
        <w:jc w:val="both"/>
        <w:rPr/>
      </w:pPr>
      <w:r>
        <w:rPr/>
      </w:r>
    </w:p>
    <w:tbl>
      <w:tblPr>
        <w:tblW w:w="10059" w:type="dxa"/>
        <w:jc w:val="left"/>
        <w:tblInd w:w="0" w:type="dxa"/>
        <w:tblCellMar>
          <w:top w:w="28" w:type="dxa"/>
          <w:left w:w="28" w:type="dxa"/>
          <w:bottom w:w="28" w:type="dxa"/>
          <w:right w:w="28" w:type="dxa"/>
        </w:tblCellMar>
      </w:tblPr>
      <w:tblGrid>
        <w:gridCol w:w="1787"/>
        <w:gridCol w:w="1566"/>
        <w:gridCol w:w="1581"/>
        <w:gridCol w:w="211"/>
        <w:gridCol w:w="721"/>
        <w:gridCol w:w="109"/>
        <w:gridCol w:w="109"/>
        <w:gridCol w:w="109"/>
        <w:gridCol w:w="109"/>
        <w:gridCol w:w="211"/>
        <w:gridCol w:w="616"/>
        <w:gridCol w:w="109"/>
        <w:gridCol w:w="109"/>
        <w:gridCol w:w="109"/>
        <w:gridCol w:w="109"/>
        <w:gridCol w:w="284"/>
        <w:gridCol w:w="649"/>
        <w:gridCol w:w="148"/>
        <w:gridCol w:w="109"/>
        <w:gridCol w:w="109"/>
        <w:gridCol w:w="109"/>
        <w:gridCol w:w="211"/>
        <w:gridCol w:w="721"/>
        <w:gridCol w:w="154"/>
      </w:tblGrid>
      <w:tr>
        <w:trPr/>
        <w:tc>
          <w:tcPr>
            <w:tcW w:w="1787" w:type="dxa"/>
            <w:tcBorders/>
            <w:shd w:fill="auto" w:val="clear"/>
            <w:vAlign w:val="center"/>
          </w:tcPr>
          <w:p>
            <w:pPr>
              <w:pStyle w:val="TableContents"/>
              <w:spacing w:before="0" w:after="283"/>
              <w:rPr>
                <w:sz w:val="4"/>
                <w:szCs w:val="4"/>
              </w:rPr>
            </w:pPr>
            <w:r>
              <w:rPr>
                <w:sz w:val="4"/>
                <w:szCs w:val="4"/>
              </w:rPr>
            </w:r>
          </w:p>
        </w:tc>
        <w:tc>
          <w:tcPr>
            <w:tcW w:w="1566" w:type="dxa"/>
            <w:tcBorders/>
            <w:shd w:fill="auto" w:val="clear"/>
            <w:vAlign w:val="center"/>
          </w:tcPr>
          <w:p>
            <w:pPr>
              <w:pStyle w:val="TableContents"/>
              <w:spacing w:before="0" w:after="283"/>
              <w:rPr>
                <w:sz w:val="4"/>
                <w:szCs w:val="4"/>
              </w:rPr>
            </w:pPr>
            <w:r>
              <w:rPr>
                <w:sz w:val="4"/>
                <w:szCs w:val="4"/>
              </w:rPr>
            </w:r>
          </w:p>
        </w:tc>
        <w:tc>
          <w:tcPr>
            <w:tcW w:w="15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Upstream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All 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Eliminations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4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5"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 2023:</w:t>
            </w:r>
          </w:p>
        </w:tc>
        <w:tc>
          <w:tcPr>
            <w:tcW w:w="5125" w:type="dxa"/>
            <w:gridSpan w:val="21"/>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Third-party revenues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4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1,925 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Intersegment revenues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(99)</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(99)</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depletion, amortization and accretion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493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(loss) from operations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1,025 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income (expense)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(benefit from) income taxes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attributable to non-controlling interest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attributable to Diamondback Energy, Inc.</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of March 31, 2023:</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assets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25,948 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(475)</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27,589 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tbl>
      <w:tblPr>
        <w:tblW w:w="10059" w:type="dxa"/>
        <w:jc w:val="left"/>
        <w:tblInd w:w="0" w:type="dxa"/>
        <w:tblCellMar>
          <w:top w:w="28" w:type="dxa"/>
          <w:left w:w="28" w:type="dxa"/>
          <w:bottom w:w="28" w:type="dxa"/>
          <w:right w:w="28" w:type="dxa"/>
        </w:tblCellMar>
      </w:tblPr>
      <w:tblGrid>
        <w:gridCol w:w="1787"/>
        <w:gridCol w:w="1566"/>
        <w:gridCol w:w="1581"/>
        <w:gridCol w:w="211"/>
        <w:gridCol w:w="721"/>
        <w:gridCol w:w="109"/>
        <w:gridCol w:w="109"/>
        <w:gridCol w:w="109"/>
        <w:gridCol w:w="109"/>
        <w:gridCol w:w="211"/>
        <w:gridCol w:w="616"/>
        <w:gridCol w:w="109"/>
        <w:gridCol w:w="109"/>
        <w:gridCol w:w="109"/>
        <w:gridCol w:w="109"/>
        <w:gridCol w:w="284"/>
        <w:gridCol w:w="649"/>
        <w:gridCol w:w="148"/>
        <w:gridCol w:w="109"/>
        <w:gridCol w:w="109"/>
        <w:gridCol w:w="109"/>
        <w:gridCol w:w="211"/>
        <w:gridCol w:w="721"/>
        <w:gridCol w:w="154"/>
      </w:tblGrid>
      <w:tr>
        <w:trPr/>
        <w:tc>
          <w:tcPr>
            <w:tcW w:w="1787" w:type="dxa"/>
            <w:tcBorders/>
            <w:shd w:fill="auto" w:val="clear"/>
            <w:vAlign w:val="center"/>
          </w:tcPr>
          <w:p>
            <w:pPr>
              <w:pStyle w:val="TableContents"/>
              <w:spacing w:before="0" w:after="283"/>
              <w:rPr>
                <w:sz w:val="4"/>
                <w:szCs w:val="4"/>
              </w:rPr>
            </w:pPr>
            <w:r>
              <w:rPr>
                <w:sz w:val="4"/>
                <w:szCs w:val="4"/>
              </w:rPr>
            </w:r>
          </w:p>
        </w:tc>
        <w:tc>
          <w:tcPr>
            <w:tcW w:w="1566" w:type="dxa"/>
            <w:tcBorders/>
            <w:shd w:fill="auto" w:val="clear"/>
            <w:vAlign w:val="center"/>
          </w:tcPr>
          <w:p>
            <w:pPr>
              <w:pStyle w:val="TableContents"/>
              <w:spacing w:before="0" w:after="283"/>
              <w:rPr>
                <w:sz w:val="4"/>
                <w:szCs w:val="4"/>
              </w:rPr>
            </w:pPr>
            <w:r>
              <w:rPr>
                <w:sz w:val="4"/>
                <w:szCs w:val="4"/>
              </w:rPr>
            </w:r>
          </w:p>
        </w:tc>
        <w:tc>
          <w:tcPr>
            <w:tcW w:w="15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Upstream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All 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Eliminations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4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5"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 2022:</w:t>
            </w:r>
          </w:p>
        </w:tc>
        <w:tc>
          <w:tcPr>
            <w:tcW w:w="5125" w:type="dxa"/>
            <w:gridSpan w:val="21"/>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Third-party revenues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4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2,408 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Intersegment revenues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(87)</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(87)</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depletion, amortization and accretion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493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(loss) from operations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income (expense)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(benefit from) income taxes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attributable to non-controlling interest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attributable to Diamondback Energy, Inc.</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of December 31, 2022:</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assets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24,452 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(456)</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26,209 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7011061f248747c88de11895562af037_7">
        <w:r>
          <w:rPr>
            <w:rStyle w:val="InternetLink"/>
          </w:rPr>
          <w:t xml:space="preserve">Table of </w:t>
        </w:r>
      </w:hyperlink>
      <w:hyperlink w:anchor="i7011061f248747c88de11895562af037_7">
        <w:r>
          <w:rPr>
            <w:rStyle w:val="InternetLink"/>
          </w:rPr>
          <w:t>Contents</w:t>
        </w:r>
      </w:hyperlink>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We are an independent oil and natural gas company currently focused on the acquisition, development, exploration and exploitation of unconventional, onshore oil and natural gas reserves in the Permian Basin in West Texas. As discussed in Note 1—</w:t>
      </w:r>
      <w:hyperlink w:anchor="i7011061f248747c88de11895562af037_40">
        <w:r>
          <w:rPr>
            <w:rStyle w:val="InternetLink"/>
            <w:rFonts w:ascii="Times New Roman;sans-serif" w:hAnsi="Times New Roman;sans-serif"/>
            <w:b w:val="false"/>
            <w:color w:val="0000FF"/>
            <w:sz w:val="20"/>
            <w:u w:val="single"/>
          </w:rPr>
          <w:t>Description of the Business and Basis of Presentation</w:t>
        </w:r>
      </w:hyperlink>
      <w:r>
        <w:rPr>
          <w:color w:val="000000"/>
        </w:rPr>
        <w:t xml:space="preserve"> </w:t>
      </w:r>
      <w:r>
        <w:rPr>
          <w:rFonts w:ascii="Times New Roman;sans-serif" w:hAnsi="Times New Roman;sans-serif"/>
          <w:b w:val="false"/>
          <w:color w:val="000000"/>
          <w:sz w:val="20"/>
        </w:rPr>
        <w:t>and Note 16—</w:t>
      </w:r>
      <w:hyperlink w:anchor="i7011061f248747c88de11895562af037_85">
        <w:r>
          <w:rPr>
            <w:rStyle w:val="InternetLink"/>
            <w:rFonts w:ascii="Times New Roman;sans-serif" w:hAnsi="Times New Roman;sans-serif"/>
            <w:b w:val="false"/>
            <w:color w:val="0000FF"/>
            <w:sz w:val="20"/>
            <w:u w:val="single"/>
          </w:rPr>
          <w:t>Segment Information</w:t>
        </w:r>
      </w:hyperlink>
      <w:r>
        <w:rPr>
          <w:color w:val="000000"/>
        </w:rPr>
        <w:t xml:space="preserve"> </w:t>
      </w:r>
      <w:r>
        <w:rPr>
          <w:rFonts w:ascii="Times New Roman;sans-serif" w:hAnsi="Times New Roman;sans-serif"/>
          <w:b w:val="false"/>
          <w:color w:val="000000"/>
          <w:sz w:val="20"/>
        </w:rPr>
        <w:t xml:space="preserve">of the condensed notes to the consolidated financial statements included elsewhere in this report, as of March 31, 2023, we have one reportable segment, the upstream segment. </w:t>
      </w:r>
    </w:p>
    <w:p>
      <w:pPr>
        <w:pStyle w:val="TextBody"/>
        <w:spacing w:before="0" w:after="0"/>
        <w:ind w:left="0" w:right="0" w:firstLine="720"/>
        <w:rPr/>
      </w:pPr>
      <w:r>
        <w:rPr/>
      </w:r>
    </w:p>
    <w:p>
      <w:pPr>
        <w:pStyle w:val="TextBody"/>
        <w:spacing w:lineRule="auto" w:line="276" w:before="0" w:after="0"/>
        <w:rPr>
          <w:rFonts w:ascii="Times New Roman;sans-serif" w:hAnsi="Times New Roman;sans-serif"/>
          <w:b/>
          <w:i/>
          <w:color w:val="000000"/>
          <w:sz w:val="20"/>
        </w:rPr>
      </w:pPr>
      <w:r>
        <w:rPr>
          <w:rFonts w:ascii="Times New Roman;sans-serif" w:hAnsi="Times New Roman;sans-serif"/>
          <w:b/>
          <w:i/>
          <w:color w:val="000000"/>
          <w:sz w:val="20"/>
        </w:rPr>
        <w:t>First Quarter 2023 Highlights</w:t>
      </w:r>
    </w:p>
    <w:p>
      <w:pPr>
        <w:pStyle w:val="TextBody"/>
        <w:spacing w:before="0" w:after="0"/>
        <w:jc w:val="both"/>
        <w:rPr/>
      </w:pPr>
      <w:r>
        <w:rPr/>
      </w:r>
    </w:p>
    <w:p>
      <w:pPr>
        <w:pStyle w:val="TextBody"/>
        <w:spacing w:lineRule="auto" w:line="264" w:before="0" w:after="0"/>
        <w:ind w:left="0" w:right="0" w:hanging="360"/>
        <w:jc w:val="both"/>
        <w:rPr/>
      </w:pPr>
      <w:r>
        <w:rPr>
          <w:color w:val="000000"/>
        </w:rPr>
        <w:t>•</w:t>
      </w:r>
      <w:r>
        <w:rPr>
          <w:rFonts w:ascii="Times New Roman;sans-serif" w:hAnsi="Times New Roman;sans-serif"/>
          <w:b w:val="false"/>
          <w:color w:val="000000"/>
          <w:sz w:val="20"/>
        </w:rPr>
        <w:t>We recorded net income of $0.7 billion for the first quarter of 2023.</w:t>
      </w:r>
    </w:p>
    <w:p>
      <w:pPr>
        <w:pStyle w:val="TextBody"/>
        <w:spacing w:before="0" w:after="0"/>
        <w:jc w:val="both"/>
        <w:rPr/>
      </w:pPr>
      <w:r>
        <w:rPr/>
      </w:r>
    </w:p>
    <w:p>
      <w:pPr>
        <w:pStyle w:val="TextBody"/>
        <w:spacing w:lineRule="auto" w:line="264" w:before="0" w:after="0"/>
        <w:ind w:left="0" w:right="0" w:hanging="360"/>
        <w:jc w:val="both"/>
        <w:rPr/>
      </w:pPr>
      <w:r>
        <w:rPr>
          <w:color w:val="000000"/>
        </w:rPr>
        <w:t>•</w:t>
      </w:r>
      <w:r>
        <w:rPr>
          <w:rFonts w:ascii="Times New Roman;sans-serif" w:hAnsi="Times New Roman;sans-serif"/>
          <w:b w:val="false"/>
          <w:color w:val="000000"/>
          <w:sz w:val="20"/>
        </w:rPr>
        <w:t xml:space="preserve">Increased our annual base dividend to $3.20 per share and paid dividends to stockholders of $542 million during the first quarter of 2023 and declared a combined base and variable cash dividend payable in the second quarter of 2023 of $0.83 per share of common stock. </w:t>
      </w:r>
    </w:p>
    <w:p>
      <w:pPr>
        <w:pStyle w:val="TextBody"/>
        <w:spacing w:before="0" w:after="0"/>
        <w:jc w:val="both"/>
        <w:rPr/>
      </w:pPr>
      <w:r>
        <w:rPr/>
      </w:r>
    </w:p>
    <w:p>
      <w:pPr>
        <w:pStyle w:val="TextBody"/>
        <w:spacing w:lineRule="auto" w:line="264" w:before="0" w:after="0"/>
        <w:ind w:left="0" w:right="0" w:hanging="360"/>
        <w:jc w:val="both"/>
        <w:rPr/>
      </w:pPr>
      <w:r>
        <w:rPr>
          <w:color w:val="000000"/>
        </w:rPr>
        <w:t>•</w:t>
      </w:r>
      <w:r>
        <w:rPr>
          <w:rFonts w:ascii="Times New Roman;sans-serif" w:hAnsi="Times New Roman;sans-serif"/>
          <w:b w:val="false"/>
          <w:color w:val="000000"/>
          <w:sz w:val="20"/>
        </w:rPr>
        <w:t xml:space="preserve">Repurchased $332 million of our common stock, leaving approximately $2.1 billion available for future purchases under our common stock repurchase program at March 31, 2023. </w:t>
      </w:r>
    </w:p>
    <w:p>
      <w:pPr>
        <w:pStyle w:val="TextBody"/>
        <w:spacing w:before="0" w:after="0"/>
        <w:jc w:val="both"/>
        <w:rPr/>
      </w:pPr>
      <w:r>
        <w:rPr/>
      </w:r>
    </w:p>
    <w:p>
      <w:pPr>
        <w:pStyle w:val="TextBody"/>
        <w:spacing w:lineRule="auto" w:line="264" w:before="0" w:after="0"/>
        <w:ind w:left="0" w:right="0" w:hanging="360"/>
        <w:jc w:val="both"/>
        <w:rPr/>
      </w:pPr>
      <w:r>
        <w:rPr>
          <w:color w:val="000000"/>
          <w:highlight w:val="white"/>
        </w:rPr>
        <w:t>•</w:t>
      </w:r>
      <w:r>
        <w:rPr>
          <w:rFonts w:ascii="Times New Roman;sans-serif" w:hAnsi="Times New Roman;sans-serif"/>
          <w:b w:val="false"/>
          <w:color w:val="000000"/>
          <w:sz w:val="20"/>
        </w:rPr>
        <w:t>Our cash operating costs for the first quarter of 2023 were $11.61 per BOE, including lease operating expenses of $5.02 per BOE, cash general and administrative expenses of $0.76 per BOE and production and ad valorem taxes and gathering and transportation expenses of $5.83 per BOE.</w:t>
      </w:r>
    </w:p>
    <w:p>
      <w:pPr>
        <w:pStyle w:val="TextBody"/>
        <w:spacing w:before="0" w:after="0"/>
        <w:jc w:val="both"/>
        <w:rPr/>
      </w:pPr>
      <w:r>
        <w:rPr/>
      </w:r>
    </w:p>
    <w:p>
      <w:pPr>
        <w:pStyle w:val="TextBody"/>
        <w:spacing w:lineRule="auto" w:line="264" w:before="0" w:after="0"/>
        <w:ind w:left="0" w:right="0" w:hanging="360"/>
        <w:jc w:val="both"/>
        <w:rPr/>
      </w:pPr>
      <w:r>
        <w:rPr>
          <w:color w:val="000000"/>
        </w:rPr>
        <w:t>•</w:t>
      </w:r>
      <w:r>
        <w:rPr>
          <w:rFonts w:ascii="Times New Roman;sans-serif" w:hAnsi="Times New Roman;sans-serif"/>
          <w:b w:val="false"/>
          <w:color w:val="000000"/>
          <w:sz w:val="20"/>
        </w:rPr>
        <w:t>Our average production was 425.0 MBOE/d during the first quarter of 2023.</w:t>
      </w:r>
    </w:p>
    <w:p>
      <w:pPr>
        <w:pStyle w:val="TextBody"/>
        <w:spacing w:before="0" w:after="0"/>
        <w:jc w:val="both"/>
        <w:rPr/>
      </w:pPr>
      <w:r>
        <w:rPr/>
      </w:r>
    </w:p>
    <w:p>
      <w:pPr>
        <w:pStyle w:val="TextBody"/>
        <w:spacing w:lineRule="auto" w:line="264" w:before="0" w:after="0"/>
        <w:ind w:left="0" w:right="0" w:hanging="360"/>
        <w:jc w:val="both"/>
        <w:rPr/>
      </w:pPr>
      <w:r>
        <w:rPr>
          <w:color w:val="000000"/>
        </w:rPr>
        <w:t>•</w:t>
      </w:r>
      <w:r>
        <w:rPr>
          <w:rFonts w:ascii="Times New Roman;sans-serif" w:hAnsi="Times New Roman;sans-serif"/>
          <w:b w:val="false"/>
          <w:color w:val="000000"/>
          <w:sz w:val="20"/>
        </w:rPr>
        <w:t>Drilled 70 gross horizontal wells in the Midland Basin and 12 gross horizontal wells in the Delaware Basin, and turned 88 gross operated horizontal wells (69 in the Midland Basin and 19 in the Delaware Basin) to production.</w:t>
      </w:r>
    </w:p>
    <w:p>
      <w:pPr>
        <w:pStyle w:val="TextBody"/>
        <w:spacing w:before="0" w:after="0"/>
        <w:jc w:val="both"/>
        <w:rPr/>
      </w:pPr>
      <w:r>
        <w:rPr/>
      </w:r>
    </w:p>
    <w:p>
      <w:pPr>
        <w:pStyle w:val="TextBody"/>
        <w:spacing w:lineRule="auto" w:line="264" w:before="0" w:after="0"/>
        <w:ind w:left="0" w:right="0" w:hanging="360"/>
        <w:jc w:val="both"/>
        <w:rPr/>
      </w:pPr>
      <w:r>
        <w:rPr>
          <w:color w:val="000000"/>
        </w:rPr>
        <w:t>•</w:t>
      </w:r>
      <w:r>
        <w:rPr>
          <w:rFonts w:ascii="Times New Roman;sans-serif" w:hAnsi="Times New Roman;sans-serif"/>
          <w:b w:val="false"/>
          <w:color w:val="000000"/>
          <w:sz w:val="20"/>
        </w:rPr>
        <w:t>Incurred capital expenditures, excluding acquisitions, of $657 million during the first quarter of 2023.</w:t>
      </w:r>
    </w:p>
    <w:p>
      <w:pPr>
        <w:pStyle w:val="TextBody"/>
        <w:spacing w:before="0" w:after="0"/>
        <w:jc w:val="both"/>
        <w:rPr/>
      </w:pPr>
      <w:r>
        <w:rPr/>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To date, we have executed on non-core asset sale transactions, including those discussed below, involving gross proceeds of $773 million and, as a result, expect to meet or exceed our previously announced non-core asset divestiture target of at least $1.0 billion by year end 2023 through the sale of certain midstream or upstream non-core assets.</w:t>
      </w:r>
    </w:p>
    <w:p>
      <w:pPr>
        <w:pStyle w:val="TextBody"/>
        <w:spacing w:before="0" w:after="0"/>
        <w:jc w:val="both"/>
        <w:rPr/>
      </w:pPr>
      <w:r>
        <w:rPr/>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As part of our ongoing commitment to sustainability and environmental and social responsibility, in March 2023, we joined the Oil &amp; Gas Methane Partnership 2.0 (OGMP 2.0), the flagship oil and gas reporting and mitigation program of the United Nations Environment Programme.</w:t>
      </w:r>
    </w:p>
    <w:p>
      <w:pPr>
        <w:pStyle w:val="TextBody"/>
        <w:spacing w:before="0" w:after="0"/>
        <w:jc w:val="both"/>
        <w:rPr/>
      </w:pPr>
      <w:r>
        <w:rPr/>
      </w:r>
    </w:p>
    <w:p>
      <w:pPr>
        <w:pStyle w:val="TextBody"/>
        <w:spacing w:lineRule="auto" w:line="264" w:before="0" w:after="0"/>
        <w:jc w:val="both"/>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spacing w:before="0" w:after="0"/>
        <w:jc w:val="both"/>
        <w:rPr/>
      </w:pPr>
      <w:r>
        <w:rPr/>
      </w:r>
    </w:p>
    <w:p>
      <w:pPr>
        <w:pStyle w:val="TextBody"/>
        <w:spacing w:lineRule="auto" w:line="264" w:before="0" w:after="0"/>
        <w:jc w:val="both"/>
        <w:rPr>
          <w:rFonts w:ascii="Times New Roman;sans-serif" w:hAnsi="Times New Roman;sans-serif"/>
          <w:b/>
          <w:i/>
          <w:color w:val="000000"/>
          <w:sz w:val="20"/>
        </w:rPr>
      </w:pPr>
      <w:r>
        <w:rPr>
          <w:rFonts w:ascii="Times New Roman;sans-serif" w:hAnsi="Times New Roman;sans-serif"/>
          <w:b/>
          <w:i/>
          <w:color w:val="000000"/>
          <w:sz w:val="20"/>
        </w:rPr>
        <w:t>Divestiture Transaction</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28, 2023, the Company closed on a divestiture of non-core assets with an unrelated third-party buyer consisting of approximately 19,000 net acres in Glasscock County for total consideration of $275 million, including certain customary post-closing adjustments. The assets being sold in these pending transactions include approximately 2 MBO/d (7 MBOE/d) of 2023 production. </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Lario Acquisition</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31, 2023, we closed on the Lario Acquisition, which included approximately 25,000 gross (16,000 net) acres in the Midland Basin and certain related oil and gas assets in exchange for 4.33 million shares of our common stock and $814 million, including certain customary post-closing adjustments. </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Gray Oak Divestiture </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9, 2023, we divested our 10% non-operating equity investment in Gray Oak for $172 million in cash proceeds and recorded a gain on the sale of equity method investments of approximately $53 million in the first quarter of 2023 that was included in “Other income (expense), net” on the condensed consolidated statement of operations.</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7011061f248747c88de11895562af037_7">
        <w:r>
          <w:rPr>
            <w:rStyle w:val="InternetLink"/>
          </w:rPr>
          <w:t xml:space="preserve">Table of </w:t>
        </w:r>
      </w:hyperlink>
      <w:hyperlink w:anchor="i7011061f248747c88de11895562af037_7">
        <w:r>
          <w:rPr>
            <w:rStyle w:val="InternetLink"/>
          </w:rPr>
          <w:t>Contents</w:t>
        </w:r>
      </w:hyperlink>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Other Divestitures of Certain Non-Core Assets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March 31, 2023, the Company divested non-core assets consisting of approximately 4,900 net acres in Ward and Winkler counties to unrelated third-party buyers for $79 million in cash, including customary post-closing adjustments.</w:t>
      </w:r>
    </w:p>
    <w:p>
      <w:pPr>
        <w:pStyle w:val="TextBody"/>
        <w:spacing w:before="0" w:after="0"/>
        <w:rPr/>
      </w:pPr>
      <w:r>
        <w:rPr/>
      </w:r>
    </w:p>
    <w:p>
      <w:pPr>
        <w:pStyle w:val="TextBody"/>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Commodity Prices and Inflation</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Prices for oil, natural gas and natural gas liquids are determined primarily by prevailing market conditions. Regional and worldwide economic activity, including any economic downturn or recession that has occurred or may occur in the future, extreme weather conditions and other substantially variable factors, influence market conditions for these products. These factors are beyond our control and are difficult to predict. During 2023 and 2022, NYMEX WTI price for crude oil ranged from $66.74 to $123.70 per Bbl, and the NYMEX Henry Hub price of natural gas ranged from $1.99 to $9.68 per MMBtu, with seven-year highs reached in 2022. The war in Ukraine, the COVID-19 pandemic, rising interest rates, global supply chain disruptions, concerns about a potential economic downturn or recession, recent measures to combat persistent inflation, and instability in the financial sector have contributed to recent economic and pricing volatility and may continue to impact pricing throughout 2023. Although the impact of inflation on our business has been insignificant in prior periods, inflation in the U.S. has been rising at its fastest rate in over 40 years, creating inflationary pressure on the cost of services, equipment and other goods in the energy industry and other sectors, which is contributing to labor and materials shortages across the supply-chain. Additionally, OPEC and its non-OPEC allies, known collectively as OPEC+, continues to meet regularly to evaluate the state of global oil supply, demand and inventory levels. </w:t>
      </w:r>
    </w:p>
    <w:p>
      <w:pPr>
        <w:pStyle w:val="TextBody"/>
        <w:spacing w:before="0" w:after="0"/>
        <w:ind w:left="0" w:right="0" w:firstLine="720"/>
        <w:jc w:val="both"/>
        <w:rPr/>
      </w:pPr>
      <w:r>
        <w:rPr/>
      </w:r>
    </w:p>
    <w:p>
      <w:pPr>
        <w:pStyle w:val="TextBody"/>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Upstream Segment</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activities are primarily directed at the horizontal development of the Wolfcamp and Spraberry formations in the Midland Basin and the Wolfcamp and Bone Spring formations in the Delaware Basin within the Permian Basin. Additionally, our publicly-traded subsidiary, Viper, is focused on owning and acquiring mineral interests and royalty interests in oil and natural gas properties primarily in the Permian Basin and derives royalty income and lease bonus income from such interests.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approximately 515,388 net acres, which primarily consisted of approximately 362,389 net acres in the Midland Basin and 152,678 net acres in the Delaware Basin.</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continue to develop our reserves and increase production through development drilling and exploitation and exploration activities on our multi-year inventory of identified potential drilling locations and through acquisitions that meet our strategic and financial objectives, targeting oil-weighted reserves. Near-term production is expected to continue to increase in the second quarter of 2023 due to the impact of the Lario Acquisition and certain expected organic growth. This trend is expected to continue through 2023 as we bring on large pads with high net revenue interest in our core development areas in the Northern Midland Basin. We anticipate that capital expenditures will increase in the second quarter of 2023 as we will be paying in that quarter for peak activity and well costs, primarily attributable to the second half of the first quarter of 2023, and expect meaningful decreases in well costs thereafter due to decreasing raw material prices and well service costs. We also expect lower completion costs in the coming quarters through increased efficiencies with the start-up of our second simulfrac e-fleet. The majority of our wells will be completed with either a simulfrac or simulfrac e-fleet beginning in the second quarter of 2023, reducing our exposure to spot frac prices.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total number of operated horizontal wells drilled and completed during the first quarter of 2023:</w:t>
      </w:r>
    </w:p>
    <w:tbl>
      <w:tblPr>
        <w:tblW w:w="5692" w:type="dxa"/>
        <w:jc w:val="left"/>
        <w:tblInd w:w="0" w:type="dxa"/>
        <w:tblCellMar>
          <w:top w:w="28" w:type="dxa"/>
          <w:left w:w="28" w:type="dxa"/>
          <w:bottom w:w="28" w:type="dxa"/>
          <w:right w:w="28" w:type="dxa"/>
        </w:tblCellMar>
      </w:tblPr>
      <w:tblGrid>
        <w:gridCol w:w="497"/>
        <w:gridCol w:w="439"/>
        <w:gridCol w:w="443"/>
        <w:gridCol w:w="185"/>
        <w:gridCol w:w="185"/>
        <w:gridCol w:w="186"/>
        <w:gridCol w:w="142"/>
        <w:gridCol w:w="142"/>
        <w:gridCol w:w="142"/>
        <w:gridCol w:w="191"/>
        <w:gridCol w:w="170"/>
        <w:gridCol w:w="142"/>
        <w:gridCol w:w="142"/>
        <w:gridCol w:w="142"/>
        <w:gridCol w:w="142"/>
        <w:gridCol w:w="196"/>
        <w:gridCol w:w="179"/>
        <w:gridCol w:w="181"/>
        <w:gridCol w:w="142"/>
        <w:gridCol w:w="142"/>
        <w:gridCol w:w="142"/>
        <w:gridCol w:w="191"/>
        <w:gridCol w:w="170"/>
        <w:gridCol w:w="142"/>
        <w:gridCol w:w="109"/>
        <w:gridCol w:w="109"/>
        <w:gridCol w:w="109"/>
        <w:gridCol w:w="109"/>
        <w:gridCol w:w="109"/>
        <w:gridCol w:w="109"/>
        <w:gridCol w:w="109"/>
        <w:gridCol w:w="154"/>
      </w:tblGrid>
      <w:tr>
        <w:trPr/>
        <w:tc>
          <w:tcPr>
            <w:tcW w:w="497"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6"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1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Drilled</w:t>
            </w:r>
          </w:p>
        </w:tc>
        <w:tc>
          <w:tcPr>
            <w:tcW w:w="4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Completed</w:t>
            </w:r>
            <w:r>
              <w:rPr>
                <w:rFonts w:ascii="Times New Roman;sans-serif" w:hAnsi="Times New Roman;sans-serif"/>
                <w:b/>
                <w:color w:val="000000"/>
                <w:sz w:val="12"/>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Area:</w:t>
            </w:r>
          </w:p>
        </w:tc>
        <w:tc>
          <w:tcPr>
            <w:tcW w:w="5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4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4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Midland Basin</w:t>
            </w:r>
          </w:p>
        </w:tc>
        <w:tc>
          <w:tcPr>
            <w:tcW w:w="3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Basin</w:t>
            </w:r>
          </w:p>
        </w:tc>
        <w:tc>
          <w:tcPr>
            <w:tcW w:w="3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79" w:type="dxa"/>
            <w:gridSpan w:val="3"/>
            <w:tcBorders/>
            <w:shd w:fill="auto" w:val="clear"/>
            <w:vAlign w:val="center"/>
          </w:tcPr>
          <w:p>
            <w:pPr>
              <w:pStyle w:val="TableContents"/>
              <w:spacing w:before="0" w:after="283"/>
              <w:rPr>
                <w:sz w:val="4"/>
                <w:szCs w:val="4"/>
              </w:rPr>
            </w:pPr>
            <w:r>
              <w:rPr>
                <w:sz w:val="4"/>
                <w:szCs w:val="4"/>
              </w:rPr>
            </w:r>
          </w:p>
        </w:tc>
        <w:tc>
          <w:tcPr>
            <w:tcW w:w="556"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503"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556"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50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average lateral length for the wells completed during the first quarter of 2023 was 10,829 feet. Operated completions during the first quarter of 2023 consisted of 23 Wolfcamp A wells, 20 Lower Spraberry wells, 15 Wolfcamp B wells, 11 Jo Mill wells, seven Third Bone Spring wells, six Second Bone Spring wells, five Middle Spraberry wells and one Barnett well. </w:t>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51155"/>
                <wp:effectExtent l="0" t="0" r="0" b="0"/>
                <wp:wrapNone/>
                <wp:docPr id="30" name="Frame30"/>
                <a:graphic xmlns:a="http://schemas.openxmlformats.org/drawingml/2006/main">
                  <a:graphicData uri="http://schemas.microsoft.com/office/word/2010/wordprocessingShape">
                    <wps:wsp>
                      <wps:cNvSpPr txBox="1"/>
                      <wps:spPr>
                        <a:xfrm>
                          <a:off x="0" y="0"/>
                          <a:ext cx="6480175" cy="35115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p>
                      <w:pPr>
                        <w:pStyle w:val="TextBody"/>
                        <w:spacing w:before="0" w:after="0"/>
                        <w:rPr/>
                      </w:pPr>
                      <w:r>
                        <w:rPr/>
                      </w:r>
                    </w:p>
                  </w:txbxContent>
                </v:textbox>
              </v:rect>
            </w:pict>
          </mc:Fallback>
        </mc:AlternateContent>
      </w:r>
    </w:p>
    <w:p>
      <w:pPr>
        <w:pStyle w:val="TextBody"/>
        <w:spacing w:lineRule="auto" w:line="288" w:before="0" w:after="0"/>
        <w:rPr/>
      </w:pPr>
      <w:hyperlink w:anchor="i7011061f248747c88de11895562af037_7">
        <w:r>
          <w:rPr>
            <w:rStyle w:val="InternetLink"/>
          </w:rPr>
          <w:t xml:space="preserve">Table of </w:t>
        </w:r>
      </w:hyperlink>
      <w:hyperlink w:anchor="i7011061f248747c88de11895562af037_7">
        <w:r>
          <w:rPr>
            <w:rStyle w:val="InternetLink"/>
          </w:rPr>
          <w:t>Contents</w:t>
        </w:r>
      </w:hyperlink>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operated the following wells:</w:t>
      </w:r>
    </w:p>
    <w:p>
      <w:pPr>
        <w:pStyle w:val="TextBody"/>
        <w:spacing w:before="0" w:after="0"/>
        <w:ind w:left="0" w:right="0" w:firstLine="720"/>
        <w:jc w:val="both"/>
        <w:rPr/>
      </w:pPr>
      <w:r>
        <w:rPr/>
      </w:r>
    </w:p>
    <w:tbl>
      <w:tblPr>
        <w:tblW w:w="7921" w:type="dxa"/>
        <w:jc w:val="left"/>
        <w:tblInd w:w="0" w:type="dxa"/>
        <w:tblCellMar>
          <w:top w:w="28" w:type="dxa"/>
          <w:left w:w="28" w:type="dxa"/>
          <w:bottom w:w="28" w:type="dxa"/>
          <w:right w:w="28" w:type="dxa"/>
        </w:tblCellMar>
      </w:tblPr>
      <w:tblGrid>
        <w:gridCol w:w="497"/>
        <w:gridCol w:w="439"/>
        <w:gridCol w:w="443"/>
        <w:gridCol w:w="308"/>
        <w:gridCol w:w="308"/>
        <w:gridCol w:w="186"/>
        <w:gridCol w:w="130"/>
        <w:gridCol w:w="130"/>
        <w:gridCol w:w="130"/>
        <w:gridCol w:w="308"/>
        <w:gridCol w:w="308"/>
        <w:gridCol w:w="130"/>
        <w:gridCol w:w="109"/>
        <w:gridCol w:w="109"/>
        <w:gridCol w:w="109"/>
        <w:gridCol w:w="308"/>
        <w:gridCol w:w="308"/>
        <w:gridCol w:w="186"/>
        <w:gridCol w:w="153"/>
        <w:gridCol w:w="153"/>
        <w:gridCol w:w="153"/>
        <w:gridCol w:w="352"/>
        <w:gridCol w:w="264"/>
        <w:gridCol w:w="153"/>
        <w:gridCol w:w="109"/>
        <w:gridCol w:w="109"/>
        <w:gridCol w:w="109"/>
        <w:gridCol w:w="308"/>
        <w:gridCol w:w="308"/>
        <w:gridCol w:w="186"/>
        <w:gridCol w:w="109"/>
        <w:gridCol w:w="109"/>
        <w:gridCol w:w="109"/>
        <w:gridCol w:w="308"/>
        <w:gridCol w:w="308"/>
        <w:gridCol w:w="175"/>
      </w:tblGrid>
      <w:tr>
        <w:trPr/>
        <w:tc>
          <w:tcPr>
            <w:tcW w:w="497"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r>
      <w:tr>
        <w:trPr/>
        <w:tc>
          <w:tcPr>
            <w:tcW w:w="1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2"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2023</w:t>
            </w:r>
          </w:p>
        </w:tc>
      </w:tr>
      <w:tr>
        <w:trPr/>
        <w:tc>
          <w:tcPr>
            <w:tcW w:w="1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Vertical Wells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3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Horizontal Wells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2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Area:</w:t>
            </w:r>
          </w:p>
        </w:tc>
        <w:tc>
          <w:tcPr>
            <w:tcW w:w="8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3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45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r>
      <w:tr>
        <w:trPr/>
        <w:tc>
          <w:tcPr>
            <w:tcW w:w="1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Midland Basin</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4,931 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Basin</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auto" w:val="clear"/>
            <w:vAlign w:val="center"/>
          </w:tcPr>
          <w:p>
            <w:pPr>
              <w:pStyle w:val="TableContents"/>
              <w:spacing w:before="0" w:after="283"/>
              <w:rPr>
                <w:sz w:val="4"/>
                <w:szCs w:val="4"/>
              </w:rPr>
            </w:pPr>
            <w:r>
              <w:rPr>
                <w:sz w:val="4"/>
                <w:szCs w:val="4"/>
              </w:rPr>
            </w:r>
          </w:p>
        </w:tc>
        <w:tc>
          <w:tcPr>
            <w:tcW w:w="802"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7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2" w:type="dxa"/>
            <w:gridSpan w:val="3"/>
            <w:tcBorders/>
            <w:shd w:fill="auto" w:val="clear"/>
            <w:vAlign w:val="center"/>
          </w:tcPr>
          <w:p>
            <w:pPr>
              <w:pStyle w:val="TableContents"/>
              <w:spacing w:before="0" w:after="283"/>
              <w:rPr>
                <w:sz w:val="4"/>
                <w:szCs w:val="4"/>
              </w:rPr>
            </w:pPr>
            <w:r>
              <w:rPr>
                <w:sz w:val="4"/>
                <w:szCs w:val="4"/>
              </w:rPr>
            </w:r>
          </w:p>
        </w:tc>
        <w:tc>
          <w:tcPr>
            <w:tcW w:w="459" w:type="dxa"/>
            <w:gridSpan w:val="3"/>
            <w:tcBorders/>
            <w:shd w:fill="auto" w:val="clear"/>
            <w:vAlign w:val="center"/>
          </w:tcPr>
          <w:p>
            <w:pPr>
              <w:pStyle w:val="TableContents"/>
              <w:spacing w:before="0" w:after="283"/>
              <w:rPr>
                <w:sz w:val="4"/>
                <w:szCs w:val="4"/>
              </w:rPr>
            </w:pPr>
            <w:r>
              <w:rPr>
                <w:sz w:val="4"/>
                <w:szCs w:val="4"/>
              </w:rPr>
            </w:r>
          </w:p>
        </w:tc>
        <w:tc>
          <w:tcPr>
            <w:tcW w:w="7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1" w:type="dxa"/>
            <w:gridSpan w:val="3"/>
            <w:tcBorders/>
            <w:shd w:fill="auto" w:val="clear"/>
            <w:vAlign w:val="center"/>
          </w:tcPr>
          <w:p>
            <w:pPr>
              <w:pStyle w:val="TableContents"/>
              <w:spacing w:before="0" w:after="283"/>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3,052 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6,013 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5,634 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held interests in 11,988 gross (5,734 net) wells, including 1,119 gross (100 net) wells in which we have non-operated working interest.</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Comparison of the Three Months Ended March 31, 2023 and December 31, 2022</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As noted in “</w:t>
      </w:r>
      <w:r>
        <w:rPr>
          <w:color w:val="000000"/>
        </w:rPr>
        <w:t>—</w:t>
      </w:r>
      <w:hyperlink w:anchor="i7011061f248747c88de11895562af037_91">
        <w:r>
          <w:rPr>
            <w:rStyle w:val="InternetLink"/>
            <w:rFonts w:ascii="Times New Roman;sans-serif" w:hAnsi="Times New Roman;sans-serif"/>
            <w:b w:val="false"/>
            <w:i/>
            <w:color w:val="0000FF"/>
            <w:sz w:val="20"/>
            <w:u w:val="single"/>
          </w:rPr>
          <w:t>Recent Developments</w:t>
        </w:r>
      </w:hyperlink>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the markets for oil and natural gas are highly volatile and are influenced by a number of factors which can lead to significant changes in our results of operations and management’s operational strategy on a quarterly basis. Accordingly, our results of operations discussion focuses on a comparison of the current quarter’s results of operations with those of the immediately preceding quarter. We believe our discussion provides investors with a more meaningful analysis of material operational and financial changes which occurred during the quarter based on current market and operational trends.</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selected operating data for the three months ended March 31, 2023 and December 31, 2022:</w:t>
      </w:r>
    </w:p>
    <w:p>
      <w:pPr>
        <w:pStyle w:val="TextBody"/>
        <w:spacing w:before="0" w:after="0"/>
        <w:ind w:left="0" w:right="0" w:firstLine="720"/>
        <w:jc w:val="both"/>
        <w:rPr/>
      </w:pPr>
      <w:r>
        <w:rPr/>
      </w:r>
    </w:p>
    <w:tbl>
      <w:tblPr>
        <w:tblW w:w="7587" w:type="dxa"/>
        <w:jc w:val="left"/>
        <w:tblInd w:w="0" w:type="dxa"/>
        <w:tblCellMar>
          <w:top w:w="28" w:type="dxa"/>
          <w:left w:w="28" w:type="dxa"/>
          <w:bottom w:w="28" w:type="dxa"/>
          <w:right w:w="28" w:type="dxa"/>
        </w:tblCellMar>
      </w:tblPr>
      <w:tblGrid>
        <w:gridCol w:w="1587"/>
        <w:gridCol w:w="1391"/>
        <w:gridCol w:w="1402"/>
        <w:gridCol w:w="291"/>
        <w:gridCol w:w="849"/>
        <w:gridCol w:w="150"/>
        <w:gridCol w:w="109"/>
        <w:gridCol w:w="109"/>
        <w:gridCol w:w="109"/>
        <w:gridCol w:w="342"/>
        <w:gridCol w:w="999"/>
        <w:gridCol w:w="249"/>
      </w:tblGrid>
      <w:tr>
        <w:trPr/>
        <w:tc>
          <w:tcPr>
            <w:tcW w:w="1587" w:type="dxa"/>
            <w:tcBorders/>
            <w:shd w:fill="auto" w:val="clear"/>
            <w:vAlign w:val="center"/>
          </w:tcPr>
          <w:p>
            <w:pPr>
              <w:pStyle w:val="TableContents"/>
              <w:spacing w:before="0" w:after="283"/>
              <w:rPr>
                <w:sz w:val="4"/>
                <w:szCs w:val="4"/>
              </w:rPr>
            </w:pPr>
            <w:r>
              <w:rPr>
                <w:sz w:val="4"/>
                <w:szCs w:val="4"/>
              </w:rPr>
            </w:r>
          </w:p>
        </w:tc>
        <w:tc>
          <w:tcPr>
            <w:tcW w:w="1391" w:type="dxa"/>
            <w:tcBorders/>
            <w:shd w:fill="auto" w:val="clear"/>
            <w:vAlign w:val="center"/>
          </w:tcPr>
          <w:p>
            <w:pPr>
              <w:pStyle w:val="TableContents"/>
              <w:spacing w:before="0" w:after="283"/>
              <w:rPr>
                <w:sz w:val="4"/>
                <w:szCs w:val="4"/>
              </w:rPr>
            </w:pPr>
            <w:r>
              <w:rPr>
                <w:sz w:val="4"/>
                <w:szCs w:val="4"/>
              </w:rPr>
            </w:r>
          </w:p>
        </w:tc>
        <w:tc>
          <w:tcPr>
            <w:tcW w:w="1402"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4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 (In millions):</w:t>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sales</w:t>
            </w:r>
          </w:p>
        </w:tc>
        <w:tc>
          <w:tcPr>
            <w:tcW w:w="29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1,672 </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sales</w:t>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 sales</w:t>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oil, natural gas and natural gas liquid revenues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Production Data:</w:t>
            </w:r>
          </w:p>
        </w:tc>
        <w:tc>
          <w:tcPr>
            <w:tcW w:w="12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22,624 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20,803 </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47,388 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45,020 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7,730 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7,703 </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Combined volumes (MBOE)</w:t>
            </w:r>
            <w:r>
              <w:rPr>
                <w:rFonts w:ascii="Times New Roman;sans-serif" w:hAnsi="Times New Roman;sans-serif"/>
                <w:b w:val="false"/>
                <w:color w:val="000000"/>
                <w:sz w:val="13"/>
              </w:rPr>
              <w:t>(1)</w:t>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38,252 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36,009 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Daily oil volumes (BO/d)</w:t>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251,378 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226,120 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Daily combined volumes (BOE/d)</w:t>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425,022 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391,402 </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Average Prices:</w:t>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 per Bbl)</w:t>
            </w:r>
          </w:p>
        </w:tc>
        <w:tc>
          <w:tcPr>
            <w:tcW w:w="29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73.11 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80.37 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 per Mcf)</w:t>
            </w:r>
          </w:p>
        </w:tc>
        <w:tc>
          <w:tcPr>
            <w:tcW w:w="29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 per Bbl)</w:t>
            </w:r>
          </w:p>
        </w:tc>
        <w:tc>
          <w:tcPr>
            <w:tcW w:w="29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 per BOE)</w:t>
            </w:r>
          </w:p>
        </w:tc>
        <w:tc>
          <w:tcPr>
            <w:tcW w:w="29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49.72 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55.76 </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Oil, hedged ($ per Bbl)</w:t>
            </w:r>
            <w:r>
              <w:rPr>
                <w:rFonts w:ascii="Times New Roman;sans-serif" w:hAnsi="Times New Roman;sans-serif"/>
                <w:b w:val="false"/>
                <w:color w:val="000000"/>
                <w:sz w:val="13"/>
              </w:rPr>
              <w:t>(2)</w:t>
            </w:r>
          </w:p>
        </w:tc>
        <w:tc>
          <w:tcPr>
            <w:tcW w:w="29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72.05 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79.08 </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Natural gas, hedged ($ per Mcf)</w:t>
            </w:r>
            <w:r>
              <w:rPr>
                <w:rFonts w:ascii="Times New Roman;sans-serif" w:hAnsi="Times New Roman;sans-serif"/>
                <w:b w:val="false"/>
                <w:color w:val="000000"/>
                <w:sz w:val="13"/>
              </w:rPr>
              <w:t>(2)</w:t>
            </w:r>
          </w:p>
        </w:tc>
        <w:tc>
          <w:tcPr>
            <w:tcW w:w="29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Natural gas liquids, hedged ($ per Bbl)</w:t>
            </w:r>
            <w:r>
              <w:rPr>
                <w:rFonts w:ascii="Times New Roman;sans-serif" w:hAnsi="Times New Roman;sans-serif"/>
                <w:b w:val="false"/>
                <w:color w:val="000000"/>
                <w:sz w:val="13"/>
              </w:rPr>
              <w:t>(2)</w:t>
            </w:r>
          </w:p>
        </w:tc>
        <w:tc>
          <w:tcPr>
            <w:tcW w:w="29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24.93 </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Average price, hedged ($ per BOE)</w:t>
            </w:r>
            <w:r>
              <w:rPr>
                <w:rFonts w:ascii="Times New Roman;sans-serif" w:hAnsi="Times New Roman;sans-serif"/>
                <w:b w:val="false"/>
                <w:color w:val="000000"/>
                <w:sz w:val="13"/>
              </w:rPr>
              <w:t>(2)</w:t>
            </w:r>
          </w:p>
        </w:tc>
        <w:tc>
          <w:tcPr>
            <w:tcW w:w="29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49.72 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55.01 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(1)Bbl equivalents are calculated using a conversion rate of six Mcf per Bbl.</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1155"/>
                <wp:effectExtent l="0" t="0" r="0" b="0"/>
                <wp:wrapNone/>
                <wp:docPr id="31" name="Frame31"/>
                <a:graphic xmlns:a="http://schemas.openxmlformats.org/drawingml/2006/main">
                  <a:graphicData uri="http://schemas.microsoft.com/office/word/2010/wordprocessingShape">
                    <wps:wsp>
                      <wps:cNvSpPr txBox="1"/>
                      <wps:spPr>
                        <a:xfrm>
                          <a:off x="0" y="0"/>
                          <a:ext cx="6480175" cy="35115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p>
                      <w:pPr>
                        <w:pStyle w:val="TextBody"/>
                        <w:spacing w:before="0" w:after="0"/>
                        <w:rPr/>
                      </w:pPr>
                      <w:r>
                        <w:rPr/>
                      </w:r>
                    </w:p>
                  </w:txbxContent>
                </v:textbox>
              </v:rect>
            </w:pict>
          </mc:Fallback>
        </mc:AlternateContent>
      </w:r>
    </w:p>
    <w:p>
      <w:pPr>
        <w:pStyle w:val="TextBody"/>
        <w:spacing w:lineRule="auto" w:line="288" w:before="0" w:after="0"/>
        <w:rPr/>
      </w:pPr>
      <w:hyperlink w:anchor="i7011061f248747c88de11895562af037_7">
        <w:r>
          <w:rPr>
            <w:rStyle w:val="InternetLink"/>
          </w:rPr>
          <w:t xml:space="preserve">Table of </w:t>
        </w:r>
      </w:hyperlink>
      <w:hyperlink w:anchor="i7011061f248747c88de11895562af037_7">
        <w:r>
          <w:rPr>
            <w:rStyle w:val="InternetLink"/>
          </w:rPr>
          <w:t>Contents</w:t>
        </w:r>
      </w:hyperlink>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i/>
          <w:color w:val="000000"/>
          <w:sz w:val="20"/>
        </w:rPr>
        <w:t xml:space="preserve">Production Data. </w:t>
      </w:r>
      <w:r>
        <w:rPr>
          <w:rFonts w:ascii="Times New Roman;sans-serif" w:hAnsi="Times New Roman;sans-serif"/>
          <w:b w:val="false"/>
          <w:color w:val="000000"/>
          <w:sz w:val="20"/>
        </w:rPr>
        <w:t>Substantially all of our revenues are generated through the sale of oil, natural gas and natural gas liquids production. The following tables provide information on the mix of our production for the three months ended March 31, 2023 and December 31, 2022:</w:t>
      </w:r>
    </w:p>
    <w:tbl>
      <w:tblPr>
        <w:tblW w:w="5684" w:type="dxa"/>
        <w:jc w:val="left"/>
        <w:tblInd w:w="0" w:type="dxa"/>
        <w:tblCellMar>
          <w:top w:w="28" w:type="dxa"/>
          <w:left w:w="28" w:type="dxa"/>
          <w:bottom w:w="28" w:type="dxa"/>
          <w:right w:w="28" w:type="dxa"/>
        </w:tblCellMar>
      </w:tblPr>
      <w:tblGrid>
        <w:gridCol w:w="857"/>
        <w:gridCol w:w="753"/>
        <w:gridCol w:w="760"/>
        <w:gridCol w:w="287"/>
        <w:gridCol w:w="287"/>
        <w:gridCol w:w="715"/>
        <w:gridCol w:w="145"/>
        <w:gridCol w:w="145"/>
        <w:gridCol w:w="145"/>
        <w:gridCol w:w="323"/>
        <w:gridCol w:w="323"/>
        <w:gridCol w:w="944"/>
      </w:tblGrid>
      <w:tr>
        <w:trPr/>
        <w:tc>
          <w:tcPr>
            <w:tcW w:w="857"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r>
      <w:tr>
        <w:trPr/>
        <w:tc>
          <w:tcPr>
            <w:tcW w:w="2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2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4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57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5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71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9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5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7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9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9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jc w:val="both"/>
        <w:rPr/>
      </w:pPr>
      <w:r>
        <w:rPr/>
      </w:r>
    </w:p>
    <w:tbl>
      <w:tblPr>
        <w:tblW w:w="10326" w:type="dxa"/>
        <w:jc w:val="left"/>
        <w:tblInd w:w="0" w:type="dxa"/>
        <w:tblCellMar>
          <w:top w:w="28" w:type="dxa"/>
          <w:left w:w="28" w:type="dxa"/>
          <w:bottom w:w="28" w:type="dxa"/>
          <w:right w:w="28" w:type="dxa"/>
        </w:tblCellMar>
      </w:tblPr>
      <w:tblGrid>
        <w:gridCol w:w="353"/>
        <w:gridCol w:w="311"/>
        <w:gridCol w:w="312"/>
        <w:gridCol w:w="414"/>
        <w:gridCol w:w="307"/>
        <w:gridCol w:w="256"/>
        <w:gridCol w:w="109"/>
        <w:gridCol w:w="109"/>
        <w:gridCol w:w="109"/>
        <w:gridCol w:w="434"/>
        <w:gridCol w:w="287"/>
        <w:gridCol w:w="276"/>
        <w:gridCol w:w="109"/>
        <w:gridCol w:w="109"/>
        <w:gridCol w:w="109"/>
        <w:gridCol w:w="200"/>
        <w:gridCol w:w="200"/>
        <w:gridCol w:w="201"/>
        <w:gridCol w:w="109"/>
        <w:gridCol w:w="109"/>
        <w:gridCol w:w="109"/>
        <w:gridCol w:w="360"/>
        <w:gridCol w:w="361"/>
        <w:gridCol w:w="171"/>
        <w:gridCol w:w="109"/>
        <w:gridCol w:w="109"/>
        <w:gridCol w:w="109"/>
        <w:gridCol w:w="414"/>
        <w:gridCol w:w="307"/>
        <w:gridCol w:w="256"/>
        <w:gridCol w:w="109"/>
        <w:gridCol w:w="109"/>
        <w:gridCol w:w="109"/>
        <w:gridCol w:w="434"/>
        <w:gridCol w:w="287"/>
        <w:gridCol w:w="276"/>
        <w:gridCol w:w="109"/>
        <w:gridCol w:w="109"/>
        <w:gridCol w:w="109"/>
        <w:gridCol w:w="234"/>
        <w:gridCol w:w="232"/>
        <w:gridCol w:w="201"/>
        <w:gridCol w:w="109"/>
        <w:gridCol w:w="109"/>
        <w:gridCol w:w="109"/>
        <w:gridCol w:w="360"/>
        <w:gridCol w:w="361"/>
        <w:gridCol w:w="232"/>
      </w:tblGrid>
      <w:tr>
        <w:trPr/>
        <w:tc>
          <w:tcPr>
            <w:tcW w:w="353"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8"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7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December 31, 2022</w:t>
            </w:r>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Other</w:t>
            </w:r>
            <w:r>
              <w:rPr>
                <w:rFonts w:ascii="Times New Roman;sans-serif" w:hAnsi="Times New Roman;sans-serif"/>
                <w:b/>
                <w:color w:val="000000"/>
                <w:sz w:val="12"/>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Other</w:t>
            </w:r>
            <w:r>
              <w:rPr>
                <w:rFonts w:ascii="Times New Roman;sans-serif" w:hAnsi="Times New Roman;sans-serif"/>
                <w:b/>
                <w:color w:val="000000"/>
                <w:sz w:val="12"/>
              </w:rPr>
              <w:t>(2)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Production Data:</w:t>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17,720 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4,892 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22,624 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15,459 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5,311 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20,803 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33,548 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13,786 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47,388 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30,381 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14,521 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45,020 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5,858 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7,730 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5,477 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2,211 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7,703 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(MBOE)</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29,169 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9,064 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38,252 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25,999 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9,942 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36,009 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(1)Includes the Rockies.</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(2)Includes the Eagle Ford Shale and Rockies.</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i/>
          <w:color w:val="000000"/>
          <w:sz w:val="20"/>
        </w:rPr>
        <w:t>Oil, Natural Gas and Natural Gas Liquids Revenues.</w:t>
      </w:r>
      <w:r>
        <w:rPr>
          <w:color w:val="000000"/>
        </w:rPr>
        <w:t xml:space="preserve"> </w:t>
      </w:r>
      <w:r>
        <w:rPr>
          <w:rFonts w:ascii="Times New Roman;sans-serif" w:hAnsi="Times New Roman;sans-serif"/>
          <w:b w:val="false"/>
          <w:color w:val="000000"/>
          <w:sz w:val="20"/>
        </w:rPr>
        <w:t>Our revenues are a function of oil, natural gas and natural gas liquids production volumes sold and average sales prices received for those volumes.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oil, natural gas and natural gas liquids revenues for the first quarter of 2023 decreased by $106 million, or 5%, to $1.9 billion from $2.0 billion during the fourth quarter of 2022. The overall decrease was primarily due to a reduction of $261 million in average prices received for our oil production, and to a lesser extent our natural gas and natural gas liquids production, partially offset by an increase of $155 million due to a 6% growth in our combined volumes sold, which primarily resulted from additional production from the FireBird Acquisition and the Lario Acquisition.</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i/>
          <w:color w:val="000000"/>
          <w:sz w:val="20"/>
        </w:rPr>
        <w:t>Other Revenues.</w:t>
      </w:r>
      <w:r>
        <w:rPr>
          <w:color w:val="000000"/>
        </w:rPr>
        <w:t xml:space="preserve"> </w:t>
      </w:r>
      <w:r>
        <w:rPr>
          <w:rFonts w:ascii="Times New Roman;sans-serif" w:hAnsi="Times New Roman;sans-serif"/>
          <w:b w:val="false"/>
          <w:color w:val="000000"/>
          <w:sz w:val="20"/>
        </w:rPr>
        <w:t>The following table shows other insignificant revenue for the three months ended March 31, 2023 and December 31, 2022:</w:t>
      </w:r>
    </w:p>
    <w:tbl>
      <w:tblPr>
        <w:tblW w:w="5258" w:type="dxa"/>
        <w:jc w:val="left"/>
        <w:tblInd w:w="0" w:type="dxa"/>
        <w:tblCellMar>
          <w:top w:w="28" w:type="dxa"/>
          <w:left w:w="28" w:type="dxa"/>
          <w:bottom w:w="28" w:type="dxa"/>
          <w:right w:w="28" w:type="dxa"/>
        </w:tblCellMar>
      </w:tblPr>
      <w:tblGrid>
        <w:gridCol w:w="738"/>
        <w:gridCol w:w="648"/>
        <w:gridCol w:w="654"/>
        <w:gridCol w:w="400"/>
        <w:gridCol w:w="683"/>
        <w:gridCol w:w="206"/>
        <w:gridCol w:w="113"/>
        <w:gridCol w:w="113"/>
        <w:gridCol w:w="113"/>
        <w:gridCol w:w="462"/>
        <w:gridCol w:w="790"/>
        <w:gridCol w:w="338"/>
      </w:tblGrid>
      <w:tr>
        <w:trPr/>
        <w:tc>
          <w:tcPr>
            <w:tcW w:w="738"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2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0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income</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i/>
          <w:color w:val="000000"/>
          <w:sz w:val="20"/>
        </w:rPr>
        <w:t>Lease Operating Expenses.</w:t>
      </w:r>
      <w:r>
        <w:rPr>
          <w:color w:val="000000"/>
        </w:rPr>
        <w:t xml:space="preserve"> </w:t>
      </w:r>
      <w:r>
        <w:rPr>
          <w:rFonts w:ascii="Times New Roman;sans-serif" w:hAnsi="Times New Roman;sans-serif"/>
          <w:b w:val="false"/>
          <w:color w:val="000000"/>
          <w:sz w:val="20"/>
        </w:rPr>
        <w:t>The following table shows lease operating expenses for the three months ended March 31, 2023 and December 31, 2022:</w:t>
      </w:r>
    </w:p>
    <w:p>
      <w:pPr>
        <w:pStyle w:val="TextBody"/>
        <w:spacing w:before="0" w:after="0"/>
        <w:ind w:left="0" w:right="0" w:firstLine="720"/>
        <w:jc w:val="both"/>
        <w:rPr/>
      </w:pPr>
      <w:r>
        <w:rPr/>
      </w:r>
    </w:p>
    <w:tbl>
      <w:tblPr>
        <w:tblW w:w="8206" w:type="dxa"/>
        <w:jc w:val="left"/>
        <w:tblInd w:w="0" w:type="dxa"/>
        <w:tblCellMar>
          <w:top w:w="28" w:type="dxa"/>
          <w:left w:w="28" w:type="dxa"/>
          <w:bottom w:w="28" w:type="dxa"/>
          <w:right w:w="28" w:type="dxa"/>
        </w:tblCellMar>
      </w:tblPr>
      <w:tblGrid>
        <w:gridCol w:w="1112"/>
        <w:gridCol w:w="977"/>
        <w:gridCol w:w="985"/>
        <w:gridCol w:w="211"/>
        <w:gridCol w:w="466"/>
        <w:gridCol w:w="109"/>
        <w:gridCol w:w="109"/>
        <w:gridCol w:w="109"/>
        <w:gridCol w:w="109"/>
        <w:gridCol w:w="211"/>
        <w:gridCol w:w="511"/>
        <w:gridCol w:w="109"/>
        <w:gridCol w:w="109"/>
        <w:gridCol w:w="109"/>
        <w:gridCol w:w="109"/>
        <w:gridCol w:w="211"/>
        <w:gridCol w:w="466"/>
        <w:gridCol w:w="109"/>
        <w:gridCol w:w="109"/>
        <w:gridCol w:w="109"/>
        <w:gridCol w:w="109"/>
        <w:gridCol w:w="211"/>
        <w:gridCol w:w="511"/>
        <w:gridCol w:w="109"/>
        <w:gridCol w:w="109"/>
        <w:gridCol w:w="109"/>
        <w:gridCol w:w="109"/>
        <w:gridCol w:w="109"/>
        <w:gridCol w:w="109"/>
        <w:gridCol w:w="109"/>
        <w:gridCol w:w="109"/>
        <w:gridCol w:w="154"/>
      </w:tblGrid>
      <w:tr>
        <w:trPr/>
        <w:tc>
          <w:tcPr>
            <w:tcW w:w="1112"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5"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4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0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Lease operating expenses increased by $31 million, or $0.55 on a per BOE basis for the first quarter of 2023 compared to the fourth quarter of 2022. The increase primarily consists of $15 million in production and operating expenses incurred on wells acquired in the FireBird Acquisition and the Lario Acquisition in the first quarter of 2023, as well as the fourth quarter of 2022 including a non-recurring reduction of $8 million for prior period utility credits. The remaining increase is due to other individually insignificant changes.</w:t>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51155"/>
                <wp:effectExtent l="0" t="0" r="0" b="0"/>
                <wp:wrapNone/>
                <wp:docPr id="32" name="Frame32"/>
                <a:graphic xmlns:a="http://schemas.openxmlformats.org/drawingml/2006/main">
                  <a:graphicData uri="http://schemas.microsoft.com/office/word/2010/wordprocessingShape">
                    <wps:wsp>
                      <wps:cNvSpPr txBox="1"/>
                      <wps:spPr>
                        <a:xfrm>
                          <a:off x="0" y="0"/>
                          <a:ext cx="6480175" cy="35115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p>
                      <w:pPr>
                        <w:pStyle w:val="TextBody"/>
                        <w:spacing w:before="0" w:after="0"/>
                        <w:rPr/>
                      </w:pPr>
                      <w:r>
                        <w:rPr/>
                      </w:r>
                    </w:p>
                  </w:txbxContent>
                </v:textbox>
              </v:rect>
            </w:pict>
          </mc:Fallback>
        </mc:AlternateContent>
      </w:r>
    </w:p>
    <w:p>
      <w:pPr>
        <w:pStyle w:val="TextBody"/>
        <w:spacing w:lineRule="auto" w:line="288" w:before="0" w:after="0"/>
        <w:rPr/>
      </w:pPr>
      <w:hyperlink w:anchor="i7011061f248747c88de11895562af037_7">
        <w:r>
          <w:rPr>
            <w:rStyle w:val="InternetLink"/>
          </w:rPr>
          <w:t xml:space="preserve">Table of </w:t>
        </w:r>
      </w:hyperlink>
      <w:hyperlink w:anchor="i7011061f248747c88de11895562af037_7">
        <w:r>
          <w:rPr>
            <w:rStyle w:val="InternetLink"/>
          </w:rPr>
          <w:t>Contents</w:t>
        </w:r>
      </w:hyperlink>
    </w:p>
    <w:p>
      <w:pPr>
        <w:pStyle w:val="TextBody"/>
        <w:spacing w:lineRule="auto" w:line="288" w:before="0" w:after="0"/>
        <w:ind w:left="0" w:right="0" w:firstLine="720"/>
        <w:jc w:val="both"/>
        <w:rPr/>
      </w:pPr>
      <w:r>
        <w:rPr>
          <w:rFonts w:ascii="Times New Roman;sans-serif" w:hAnsi="Times New Roman;sans-serif"/>
          <w:b/>
          <w:i/>
          <w:color w:val="000000"/>
          <w:sz w:val="20"/>
        </w:rPr>
        <w:t>Production and Ad Valorem Tax Expense.</w:t>
      </w:r>
      <w:r>
        <w:rPr>
          <w:color w:val="000000"/>
        </w:rPr>
        <w:t xml:space="preserve"> </w:t>
      </w:r>
      <w:r>
        <w:rPr>
          <w:rFonts w:ascii="Times New Roman;sans-serif" w:hAnsi="Times New Roman;sans-serif"/>
          <w:b w:val="false"/>
          <w:color w:val="000000"/>
          <w:sz w:val="20"/>
        </w:rPr>
        <w:t>The following table shows production and ad valorem tax expense for the three months ended March 31, 2023 and December 31, 2022:</w:t>
      </w:r>
    </w:p>
    <w:p>
      <w:pPr>
        <w:pStyle w:val="TextBody"/>
        <w:spacing w:before="0" w:after="0"/>
        <w:ind w:left="0" w:right="0" w:firstLine="720"/>
        <w:jc w:val="both"/>
        <w:rPr/>
      </w:pPr>
      <w:r>
        <w:rPr/>
      </w:r>
    </w:p>
    <w:tbl>
      <w:tblPr>
        <w:tblW w:w="10205" w:type="dxa"/>
        <w:jc w:val="left"/>
        <w:tblInd w:w="0" w:type="dxa"/>
        <w:tblCellMar>
          <w:top w:w="28" w:type="dxa"/>
          <w:left w:w="28" w:type="dxa"/>
          <w:bottom w:w="28" w:type="dxa"/>
          <w:right w:w="28" w:type="dxa"/>
        </w:tblCellMar>
      </w:tblPr>
      <w:tblGrid>
        <w:gridCol w:w="2046"/>
        <w:gridCol w:w="1779"/>
        <w:gridCol w:w="1794"/>
        <w:gridCol w:w="211"/>
        <w:gridCol w:w="466"/>
        <w:gridCol w:w="271"/>
        <w:gridCol w:w="109"/>
        <w:gridCol w:w="109"/>
        <w:gridCol w:w="109"/>
        <w:gridCol w:w="211"/>
        <w:gridCol w:w="511"/>
        <w:gridCol w:w="109"/>
        <w:gridCol w:w="109"/>
        <w:gridCol w:w="109"/>
        <w:gridCol w:w="109"/>
        <w:gridCol w:w="211"/>
        <w:gridCol w:w="466"/>
        <w:gridCol w:w="271"/>
        <w:gridCol w:w="109"/>
        <w:gridCol w:w="109"/>
        <w:gridCol w:w="109"/>
        <w:gridCol w:w="211"/>
        <w:gridCol w:w="511"/>
        <w:gridCol w:w="156"/>
      </w:tblGrid>
      <w:tr>
        <w:trPr/>
        <w:tc>
          <w:tcPr>
            <w:tcW w:w="2046" w:type="dxa"/>
            <w:tcBorders/>
            <w:shd w:fill="auto" w:val="clear"/>
            <w:vAlign w:val="center"/>
          </w:tcPr>
          <w:p>
            <w:pPr>
              <w:pStyle w:val="TableContents"/>
              <w:spacing w:before="0" w:after="283"/>
              <w:rPr>
                <w:sz w:val="4"/>
                <w:szCs w:val="4"/>
              </w:rPr>
            </w:pPr>
            <w:r>
              <w:rPr>
                <w:sz w:val="4"/>
                <w:szCs w:val="4"/>
              </w:rPr>
            </w:r>
          </w:p>
        </w:tc>
        <w:tc>
          <w:tcPr>
            <w:tcW w:w="1779" w:type="dxa"/>
            <w:tcBorders/>
            <w:shd w:fill="auto" w:val="clear"/>
            <w:vAlign w:val="center"/>
          </w:tcPr>
          <w:p>
            <w:pPr>
              <w:pStyle w:val="TableContents"/>
              <w:spacing w:before="0" w:after="283"/>
              <w:rPr>
                <w:sz w:val="4"/>
                <w:szCs w:val="4"/>
              </w:rPr>
            </w:pPr>
            <w:r>
              <w:rPr>
                <w:sz w:val="4"/>
                <w:szCs w:val="4"/>
              </w:rPr>
            </w:r>
          </w:p>
        </w:tc>
        <w:tc>
          <w:tcPr>
            <w:tcW w:w="179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86"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5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5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56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9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r>
      <w:tr>
        <w:trPr/>
        <w:tc>
          <w:tcPr>
            <w:tcW w:w="56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 valorem taxes</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production and ad valorem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taxes as a % of oil, natural gas, and natural gas liquids revenue</w:t>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production taxes are directly related to production revenues and are based upon current year commodity prices. Production taxes as a percentage of production revenues for the first quarter of 2023 remained consistent with the fourth quarter of 2022.</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 valorem taxes are based, among other factors, on property values driven by prior year commodity prices. During the first quarter of 2023 compared to the fourth quarter of 2022, ad valorem taxes increased by $46 million due to the fourth quarter of 2022 including $24 million in reductions to the full year 2022 accrual for ad valorem taxes to reflect actual tax assessments received. The remaining increase in ad valorem taxes was due to an expected increase in ad valorem expense for 2023.</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i/>
          <w:color w:val="000000"/>
          <w:sz w:val="20"/>
        </w:rPr>
        <w:t>Gathering and Transportation Expense.</w:t>
      </w:r>
      <w:r>
        <w:rPr>
          <w:color w:val="000000"/>
        </w:rPr>
        <w:t xml:space="preserve"> </w:t>
      </w:r>
      <w:r>
        <w:rPr>
          <w:rFonts w:ascii="Times New Roman;sans-serif" w:hAnsi="Times New Roman;sans-serif"/>
          <w:b w:val="false"/>
          <w:color w:val="000000"/>
          <w:sz w:val="20"/>
        </w:rPr>
        <w:t>The following table shows gathering and transportation expense for the three months ended March 31, 2023 and December 31, 2022:</w:t>
      </w:r>
    </w:p>
    <w:p>
      <w:pPr>
        <w:pStyle w:val="TextBody"/>
        <w:spacing w:before="0" w:after="0"/>
        <w:ind w:left="0" w:right="0" w:firstLine="720"/>
        <w:jc w:val="both"/>
        <w:rPr/>
      </w:pPr>
      <w:r>
        <w:rPr/>
      </w:r>
    </w:p>
    <w:tbl>
      <w:tblPr>
        <w:tblW w:w="8136" w:type="dxa"/>
        <w:jc w:val="left"/>
        <w:tblInd w:w="0" w:type="dxa"/>
        <w:tblCellMar>
          <w:top w:w="28" w:type="dxa"/>
          <w:left w:w="28" w:type="dxa"/>
          <w:bottom w:w="28" w:type="dxa"/>
          <w:right w:w="28" w:type="dxa"/>
        </w:tblCellMar>
      </w:tblPr>
      <w:tblGrid>
        <w:gridCol w:w="1112"/>
        <w:gridCol w:w="977"/>
        <w:gridCol w:w="985"/>
        <w:gridCol w:w="232"/>
        <w:gridCol w:w="398"/>
        <w:gridCol w:w="121"/>
        <w:gridCol w:w="109"/>
        <w:gridCol w:w="109"/>
        <w:gridCol w:w="109"/>
        <w:gridCol w:w="211"/>
        <w:gridCol w:w="511"/>
        <w:gridCol w:w="109"/>
        <w:gridCol w:w="109"/>
        <w:gridCol w:w="109"/>
        <w:gridCol w:w="109"/>
        <w:gridCol w:w="232"/>
        <w:gridCol w:w="398"/>
        <w:gridCol w:w="121"/>
        <w:gridCol w:w="109"/>
        <w:gridCol w:w="109"/>
        <w:gridCol w:w="109"/>
        <w:gridCol w:w="211"/>
        <w:gridCol w:w="511"/>
        <w:gridCol w:w="109"/>
        <w:gridCol w:w="109"/>
        <w:gridCol w:w="109"/>
        <w:gridCol w:w="109"/>
        <w:gridCol w:w="109"/>
        <w:gridCol w:w="109"/>
        <w:gridCol w:w="109"/>
        <w:gridCol w:w="109"/>
        <w:gridCol w:w="154"/>
      </w:tblGrid>
      <w:tr>
        <w:trPr/>
        <w:tc>
          <w:tcPr>
            <w:tcW w:w="1112"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5"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0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0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and transportation</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100" w:after="283"/>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Gathering and transportation expenses for the first quarter of 2023 compared to the fourth quarter of 2022 were relatively consistent. </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i/>
          <w:color w:val="000000"/>
          <w:sz w:val="20"/>
        </w:rPr>
        <w:t>Depreciation, Depletion, Amortization and Accretion.</w:t>
      </w:r>
      <w:r>
        <w:rPr>
          <w:color w:val="000000"/>
        </w:rPr>
        <w:t xml:space="preserve"> </w:t>
      </w:r>
      <w:r>
        <w:rPr>
          <w:rFonts w:ascii="Times New Roman;sans-serif" w:hAnsi="Times New Roman;sans-serif"/>
          <w:b w:val="false"/>
          <w:color w:val="000000"/>
          <w:sz w:val="20"/>
        </w:rPr>
        <w:t>The following table provides the components of our depreciation, depletion, amortization and accretion expense for the three months ended March 31, 2023 and December 31, 2022:</w:t>
      </w:r>
    </w:p>
    <w:p>
      <w:pPr>
        <w:pStyle w:val="TextBody"/>
        <w:spacing w:before="0" w:after="0"/>
        <w:ind w:left="0" w:right="0" w:firstLine="720"/>
        <w:jc w:val="both"/>
        <w:rPr/>
      </w:pPr>
      <w:r>
        <w:rPr/>
      </w:r>
    </w:p>
    <w:tbl>
      <w:tblPr>
        <w:tblW w:w="7616" w:type="dxa"/>
        <w:jc w:val="left"/>
        <w:tblInd w:w="0" w:type="dxa"/>
        <w:tblCellMar>
          <w:top w:w="28" w:type="dxa"/>
          <w:left w:w="28" w:type="dxa"/>
          <w:bottom w:w="28" w:type="dxa"/>
          <w:right w:w="28" w:type="dxa"/>
        </w:tblCellMar>
      </w:tblPr>
      <w:tblGrid>
        <w:gridCol w:w="1595"/>
        <w:gridCol w:w="1402"/>
        <w:gridCol w:w="1413"/>
        <w:gridCol w:w="327"/>
        <w:gridCol w:w="793"/>
        <w:gridCol w:w="169"/>
        <w:gridCol w:w="109"/>
        <w:gridCol w:w="109"/>
        <w:gridCol w:w="109"/>
        <w:gridCol w:w="382"/>
        <w:gridCol w:w="927"/>
        <w:gridCol w:w="281"/>
      </w:tblGrid>
      <w:tr>
        <w:trPr/>
        <w:tc>
          <w:tcPr>
            <w:tcW w:w="1595" w:type="dxa"/>
            <w:tcBorders/>
            <w:shd w:fill="auto" w:val="clear"/>
            <w:vAlign w:val="center"/>
          </w:tcPr>
          <w:p>
            <w:pPr>
              <w:pStyle w:val="TableContents"/>
              <w:spacing w:before="0" w:after="283"/>
              <w:rPr>
                <w:sz w:val="4"/>
                <w:szCs w:val="4"/>
              </w:rPr>
            </w:pPr>
            <w:r>
              <w:rPr>
                <w:sz w:val="4"/>
                <w:szCs w:val="4"/>
              </w:rPr>
            </w:r>
          </w:p>
        </w:tc>
        <w:tc>
          <w:tcPr>
            <w:tcW w:w="1402" w:type="dxa"/>
            <w:tcBorders/>
            <w:shd w:fill="auto" w:val="clear"/>
            <w:vAlign w:val="center"/>
          </w:tcPr>
          <w:p>
            <w:pPr>
              <w:pStyle w:val="TableContents"/>
              <w:spacing w:before="0" w:after="283"/>
              <w:rPr>
                <w:sz w:val="4"/>
                <w:szCs w:val="4"/>
              </w:rPr>
            </w:pPr>
            <w:r>
              <w:rPr>
                <w:sz w:val="4"/>
                <w:szCs w:val="4"/>
              </w:rPr>
            </w:r>
          </w:p>
        </w:tc>
        <w:tc>
          <w:tcPr>
            <w:tcW w:w="1413"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44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BOE amounts)</w:t>
            </w:r>
          </w:p>
        </w:tc>
        <w:tc>
          <w:tcPr>
            <w:tcW w:w="12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4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 of proved oil and natural gas properties</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other property and equipment</w:t>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amortization</w:t>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 accretion</w:t>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amortization and accretion</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 depletion rate per BOE</w:t>
            </w:r>
          </w:p>
        </w:tc>
        <w:tc>
          <w:tcPr>
            <w:tcW w:w="327"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6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9.50 </w:t>
            </w:r>
          </w:p>
        </w:tc>
        <w:tc>
          <w:tcPr>
            <w:tcW w:w="28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Depletion of proved oil and natural gas properties increased by $39.0 million for the first quarter of 2023 as compared to the fourth quarter of 2022 due primarily to an increase in the depletion rate and production volumes resulting from the addition of leasehold costs, reserves and production from the Lario Acquisition. </w:t>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51155"/>
                <wp:effectExtent l="0" t="0" r="0" b="0"/>
                <wp:wrapNone/>
                <wp:docPr id="33" name="Frame33"/>
                <a:graphic xmlns:a="http://schemas.openxmlformats.org/drawingml/2006/main">
                  <a:graphicData uri="http://schemas.microsoft.com/office/word/2010/wordprocessingShape">
                    <wps:wsp>
                      <wps:cNvSpPr txBox="1"/>
                      <wps:spPr>
                        <a:xfrm>
                          <a:off x="0" y="0"/>
                          <a:ext cx="6480175" cy="35115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spacing w:before="0" w:after="0"/>
                        <w:rPr/>
                      </w:pPr>
                      <w:r>
                        <w:rPr/>
                      </w:r>
                    </w:p>
                  </w:txbxContent>
                </v:textbox>
              </v:rect>
            </w:pict>
          </mc:Fallback>
        </mc:AlternateContent>
      </w:r>
    </w:p>
    <w:p>
      <w:pPr>
        <w:pStyle w:val="TextBody"/>
        <w:spacing w:lineRule="auto" w:line="288" w:before="0" w:after="0"/>
        <w:rPr/>
      </w:pPr>
      <w:hyperlink w:anchor="i7011061f248747c88de11895562af037_7">
        <w:r>
          <w:rPr>
            <w:rStyle w:val="InternetLink"/>
          </w:rPr>
          <w:t xml:space="preserve">Table of </w:t>
        </w:r>
      </w:hyperlink>
      <w:hyperlink w:anchor="i7011061f248747c88de11895562af037_7">
        <w:r>
          <w:rPr>
            <w:rStyle w:val="InternetLink"/>
          </w:rPr>
          <w:t>Contents</w:t>
        </w:r>
      </w:hyperlink>
    </w:p>
    <w:p>
      <w:pPr>
        <w:pStyle w:val="TextBody"/>
        <w:spacing w:lineRule="auto" w:line="288" w:before="0" w:after="0"/>
        <w:ind w:left="0" w:right="0" w:firstLine="720"/>
        <w:jc w:val="both"/>
        <w:rPr/>
      </w:pPr>
      <w:r>
        <w:rPr>
          <w:rFonts w:ascii="Times New Roman;sans-serif" w:hAnsi="Times New Roman;sans-serif"/>
          <w:b/>
          <w:i/>
          <w:color w:val="000000"/>
          <w:sz w:val="20"/>
        </w:rPr>
        <w:t>General and Administrative Expenses.</w:t>
      </w:r>
      <w:r>
        <w:rPr>
          <w:color w:val="000000"/>
        </w:rPr>
        <w:t xml:space="preserve"> </w:t>
      </w:r>
      <w:r>
        <w:rPr>
          <w:rFonts w:ascii="Times New Roman;sans-serif" w:hAnsi="Times New Roman;sans-serif"/>
          <w:b w:val="false"/>
          <w:color w:val="000000"/>
          <w:sz w:val="20"/>
        </w:rPr>
        <w:t>The following table shows general and administrative expenses for the three months ended March 31, 2023 and December 31, 2022:</w:t>
      </w:r>
    </w:p>
    <w:p>
      <w:pPr>
        <w:pStyle w:val="TextBody"/>
        <w:spacing w:before="0" w:after="0"/>
        <w:ind w:left="0" w:right="0" w:firstLine="720"/>
        <w:jc w:val="both"/>
        <w:rPr/>
      </w:pPr>
      <w:r>
        <w:rPr/>
      </w:r>
    </w:p>
    <w:tbl>
      <w:tblPr>
        <w:tblW w:w="7730" w:type="dxa"/>
        <w:jc w:val="left"/>
        <w:tblInd w:w="0" w:type="dxa"/>
        <w:tblCellMar>
          <w:top w:w="28" w:type="dxa"/>
          <w:left w:w="28" w:type="dxa"/>
          <w:bottom w:w="28" w:type="dxa"/>
          <w:right w:w="28" w:type="dxa"/>
        </w:tblCellMar>
      </w:tblPr>
      <w:tblGrid>
        <w:gridCol w:w="1281"/>
        <w:gridCol w:w="1125"/>
        <w:gridCol w:w="1134"/>
        <w:gridCol w:w="232"/>
        <w:gridCol w:w="398"/>
        <w:gridCol w:w="121"/>
        <w:gridCol w:w="109"/>
        <w:gridCol w:w="109"/>
        <w:gridCol w:w="109"/>
        <w:gridCol w:w="211"/>
        <w:gridCol w:w="511"/>
        <w:gridCol w:w="109"/>
        <w:gridCol w:w="109"/>
        <w:gridCol w:w="109"/>
        <w:gridCol w:w="109"/>
        <w:gridCol w:w="232"/>
        <w:gridCol w:w="398"/>
        <w:gridCol w:w="121"/>
        <w:gridCol w:w="109"/>
        <w:gridCol w:w="109"/>
        <w:gridCol w:w="109"/>
        <w:gridCol w:w="211"/>
        <w:gridCol w:w="511"/>
        <w:gridCol w:w="154"/>
      </w:tblGrid>
      <w:tr>
        <w:trPr/>
        <w:tc>
          <w:tcPr>
            <w:tcW w:w="1281"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0"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35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5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5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stock-based compensation</w:t>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general and administrative expenses</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general and administrative expenses for the first quarter of 2023 compared to the fourth quarter of 2022 was primarily due to compensation related accrual adjustments made during the first quarter of 2023 for 2022 annual bonuses and annual compensation adjustments. </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i/>
          <w:color w:val="000000"/>
          <w:sz w:val="20"/>
        </w:rPr>
        <w:t>Other Operating Costs and Expenses.</w:t>
      </w:r>
      <w:r>
        <w:rPr>
          <w:color w:val="000000"/>
        </w:rPr>
        <w:t xml:space="preserve"> </w:t>
      </w:r>
      <w:r>
        <w:rPr>
          <w:rFonts w:ascii="Times New Roman;sans-serif" w:hAnsi="Times New Roman;sans-serif"/>
          <w:b w:val="false"/>
          <w:color w:val="000000"/>
          <w:sz w:val="20"/>
        </w:rPr>
        <w:t>The following table shows other insignificant operating costs and expenses for the three months ended March 31, 2023 and December 31, 2022:</w:t>
      </w:r>
    </w:p>
    <w:p>
      <w:pPr>
        <w:pStyle w:val="TextBody"/>
        <w:spacing w:before="0" w:after="0"/>
        <w:ind w:left="0" w:right="0" w:firstLine="720"/>
        <w:jc w:val="both"/>
        <w:rPr/>
      </w:pPr>
      <w:r>
        <w:rPr/>
      </w:r>
    </w:p>
    <w:tbl>
      <w:tblPr>
        <w:tblW w:w="6428" w:type="dxa"/>
        <w:jc w:val="left"/>
        <w:tblInd w:w="0" w:type="dxa"/>
        <w:tblCellMar>
          <w:top w:w="28" w:type="dxa"/>
          <w:left w:w="28" w:type="dxa"/>
          <w:bottom w:w="28" w:type="dxa"/>
          <w:right w:w="28" w:type="dxa"/>
        </w:tblCellMar>
      </w:tblPr>
      <w:tblGrid>
        <w:gridCol w:w="1004"/>
        <w:gridCol w:w="881"/>
        <w:gridCol w:w="889"/>
        <w:gridCol w:w="399"/>
        <w:gridCol w:w="684"/>
        <w:gridCol w:w="206"/>
        <w:gridCol w:w="113"/>
        <w:gridCol w:w="113"/>
        <w:gridCol w:w="113"/>
        <w:gridCol w:w="477"/>
        <w:gridCol w:w="818"/>
        <w:gridCol w:w="250"/>
        <w:gridCol w:w="109"/>
        <w:gridCol w:w="109"/>
        <w:gridCol w:w="109"/>
        <w:gridCol w:w="154"/>
      </w:tblGrid>
      <w:tr>
        <w:trPr/>
        <w:tc>
          <w:tcPr>
            <w:tcW w:w="1004"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2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 and integration expenses</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39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i/>
          <w:color w:val="000000"/>
          <w:sz w:val="20"/>
        </w:rPr>
        <w:t>Derivative Instruments.</w:t>
      </w:r>
      <w:r>
        <w:rPr>
          <w:color w:val="000000"/>
        </w:rPr>
        <w:t xml:space="preserve"> </w:t>
      </w:r>
      <w:r>
        <w:rPr>
          <w:rFonts w:ascii="Times New Roman;sans-serif" w:hAnsi="Times New Roman;sans-serif"/>
          <w:b w:val="false"/>
          <w:color w:val="000000"/>
          <w:sz w:val="20"/>
        </w:rPr>
        <w:t>The following table shows the net gain (loss) on derivative instruments and the net cash receipts (payments) on settlements of derivative instruments for the three months ended March 31, 2023 and December 31, 2022:</w:t>
      </w:r>
    </w:p>
    <w:p>
      <w:pPr>
        <w:pStyle w:val="TextBody"/>
        <w:spacing w:before="0" w:after="0"/>
        <w:ind w:left="0" w:right="0" w:firstLine="720"/>
        <w:jc w:val="both"/>
        <w:rPr/>
      </w:pPr>
      <w:r>
        <w:rPr/>
      </w:r>
    </w:p>
    <w:tbl>
      <w:tblPr>
        <w:tblW w:w="6655" w:type="dxa"/>
        <w:jc w:val="left"/>
        <w:tblInd w:w="0" w:type="dxa"/>
        <w:tblCellMar>
          <w:top w:w="28" w:type="dxa"/>
          <w:left w:w="28" w:type="dxa"/>
          <w:bottom w:w="28" w:type="dxa"/>
          <w:right w:w="28" w:type="dxa"/>
        </w:tblCellMar>
      </w:tblPr>
      <w:tblGrid>
        <w:gridCol w:w="1248"/>
        <w:gridCol w:w="1093"/>
        <w:gridCol w:w="1108"/>
        <w:gridCol w:w="360"/>
        <w:gridCol w:w="744"/>
        <w:gridCol w:w="186"/>
        <w:gridCol w:w="109"/>
        <w:gridCol w:w="109"/>
        <w:gridCol w:w="109"/>
        <w:gridCol w:w="451"/>
        <w:gridCol w:w="805"/>
        <w:gridCol w:w="333"/>
      </w:tblGrid>
      <w:tr>
        <w:trPr/>
        <w:tc>
          <w:tcPr>
            <w:tcW w:w="1248"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3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 instruments, net</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received (paid) on settlements</w:t>
            </w:r>
          </w:p>
        </w:tc>
        <w:tc>
          <w:tcPr>
            <w:tcW w:w="36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See Note 11—</w:t>
      </w:r>
      <w:hyperlink w:anchor="i7011061f248747c88de11895562af037_70">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of the condensed notes to the consolidated financial statements included elsewhere in this report for further details regarding our derivative instruments.</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i/>
          <w:color w:val="000000"/>
          <w:sz w:val="20"/>
        </w:rPr>
        <w:t>Other Income (Expense).</w:t>
      </w:r>
      <w:r>
        <w:rPr>
          <w:color w:val="000000"/>
        </w:rPr>
        <w:t xml:space="preserve"> </w:t>
      </w:r>
      <w:r>
        <w:rPr>
          <w:rFonts w:ascii="Times New Roman;sans-serif" w:hAnsi="Times New Roman;sans-serif"/>
          <w:b w:val="false"/>
          <w:color w:val="000000"/>
          <w:sz w:val="20"/>
        </w:rPr>
        <w:t>The following table shows other income and expenses for the three months ended March 31, 2023 and December 31, 2022:</w:t>
      </w:r>
    </w:p>
    <w:p>
      <w:pPr>
        <w:pStyle w:val="TextBody"/>
        <w:spacing w:before="0" w:after="0"/>
        <w:ind w:left="0" w:right="0" w:firstLine="720"/>
        <w:jc w:val="both"/>
        <w:rPr/>
      </w:pPr>
      <w:r>
        <w:rPr/>
      </w:r>
    </w:p>
    <w:tbl>
      <w:tblPr>
        <w:tblW w:w="6853" w:type="dxa"/>
        <w:jc w:val="left"/>
        <w:tblInd w:w="0" w:type="dxa"/>
        <w:tblCellMar>
          <w:top w:w="28" w:type="dxa"/>
          <w:left w:w="28" w:type="dxa"/>
          <w:bottom w:w="28" w:type="dxa"/>
          <w:right w:w="28" w:type="dxa"/>
        </w:tblCellMar>
      </w:tblPr>
      <w:tblGrid>
        <w:gridCol w:w="1162"/>
        <w:gridCol w:w="1020"/>
        <w:gridCol w:w="1028"/>
        <w:gridCol w:w="360"/>
        <w:gridCol w:w="744"/>
        <w:gridCol w:w="186"/>
        <w:gridCol w:w="109"/>
        <w:gridCol w:w="109"/>
        <w:gridCol w:w="109"/>
        <w:gridCol w:w="468"/>
        <w:gridCol w:w="834"/>
        <w:gridCol w:w="243"/>
        <w:gridCol w:w="109"/>
        <w:gridCol w:w="109"/>
        <w:gridCol w:w="109"/>
        <w:gridCol w:w="154"/>
      </w:tblGrid>
      <w:tr>
        <w:trPr/>
        <w:tc>
          <w:tcPr>
            <w:tcW w:w="1162"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1028"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6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extinguishment of debt</w:t>
            </w:r>
          </w:p>
        </w:tc>
        <w:tc>
          <w:tcPr>
            <w:tcW w:w="36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equity investments</w:t>
            </w:r>
          </w:p>
        </w:tc>
        <w:tc>
          <w:tcPr>
            <w:tcW w:w="36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net interest expense for the first quarter of 2023 compared to the fourth quarter of 2022 primarily reflects (i) an $11 million increase in interest expense on our senior notes due largely to incurring a full quarter of interest on the $1.1 billion of 6.250% Senior Notes due 2033 issued in October 2022 and the $650 million of 6.25% Senior Notes due 2053 issued in December 2022, (ii) a $2 million increase in interest expense on our and Viper’s revolving credit facilities due primarily to higher weighted average interest rates and an increase in borrowings to fund a portion of the cash for the Lario Acquisition. These increases were partially offset by a $4 million increase in capitalized interest costs, which reduced interest expense.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Gain (loss) on extinguishment of debt reflects the difference between the carrying value and reacquisition price for the repurchase and redemption of various senior notes during the 2022 period.</w:t>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1155"/>
                <wp:effectExtent l="0" t="0" r="0" b="0"/>
                <wp:wrapNone/>
                <wp:docPr id="34" name="Frame34"/>
                <a:graphic xmlns:a="http://schemas.openxmlformats.org/drawingml/2006/main">
                  <a:graphicData uri="http://schemas.microsoft.com/office/word/2010/wordprocessingShape">
                    <wps:wsp>
                      <wps:cNvSpPr txBox="1"/>
                      <wps:spPr>
                        <a:xfrm>
                          <a:off x="0" y="0"/>
                          <a:ext cx="6480175" cy="35115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spacing w:before="0" w:after="0"/>
                        <w:rPr/>
                      </w:pPr>
                      <w:r>
                        <w:rPr/>
                      </w:r>
                    </w:p>
                  </w:txbxContent>
                </v:textbox>
              </v:rect>
            </w:pict>
          </mc:Fallback>
        </mc:AlternateContent>
      </w:r>
    </w:p>
    <w:p>
      <w:pPr>
        <w:pStyle w:val="TextBody"/>
        <w:spacing w:lineRule="auto" w:line="288" w:before="0" w:after="0"/>
        <w:rPr/>
      </w:pPr>
      <w:hyperlink w:anchor="i7011061f248747c88de11895562af037_7">
        <w:r>
          <w:rPr>
            <w:rStyle w:val="InternetLink"/>
          </w:rPr>
          <w:t xml:space="preserve">Table of </w:t>
        </w:r>
      </w:hyperlink>
      <w:hyperlink w:anchor="i7011061f248747c88de11895562af037_7">
        <w:r>
          <w:rPr>
            <w:rStyle w:val="InternetLink"/>
          </w:rPr>
          <w:t>Contents</w:t>
        </w:r>
      </w:hyperlink>
    </w:p>
    <w:p>
      <w:pPr>
        <w:pStyle w:val="TextBody"/>
        <w:spacing w:lineRule="auto" w:line="288" w:before="0" w:after="0"/>
        <w:ind w:left="0" w:right="0" w:firstLine="720"/>
        <w:jc w:val="both"/>
        <w:rPr/>
      </w:pPr>
      <w:r>
        <w:rPr>
          <w:rFonts w:ascii="Times New Roman;sans-serif" w:hAnsi="Times New Roman;sans-serif"/>
          <w:b w:val="false"/>
          <w:color w:val="000000"/>
          <w:sz w:val="20"/>
        </w:rPr>
        <w:t>See Note 7—</w:t>
      </w:r>
      <w:hyperlink w:anchor="i7011061f248747c88de11895562af037_58">
        <w:r>
          <w:rPr>
            <w:rStyle w:val="InternetLink"/>
            <w:rFonts w:ascii="Times New Roman;sans-serif" w:hAnsi="Times New Roman;sans-serif"/>
            <w:b w:val="false"/>
            <w:color w:val="0000FF"/>
            <w:sz w:val="20"/>
            <w:u w:val="single"/>
          </w:rPr>
          <w:t>Debt</w:t>
        </w:r>
      </w:hyperlink>
      <w:r>
        <w:rPr>
          <w:color w:val="000000"/>
        </w:rPr>
        <w:t xml:space="preserve"> </w:t>
      </w:r>
      <w:r>
        <w:rPr>
          <w:rFonts w:ascii="Times New Roman;sans-serif" w:hAnsi="Times New Roman;sans-serif"/>
          <w:b w:val="false"/>
          <w:color w:val="000000"/>
          <w:sz w:val="20"/>
        </w:rPr>
        <w:t xml:space="preserve">of the condensed notes to the consolidated financial statements included elsewhere in this report for further details regarding outstanding borrowings. </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i/>
          <w:color w:val="000000"/>
          <w:sz w:val="20"/>
        </w:rPr>
        <w:t xml:space="preserve">Provision for (Benefit from) Income Taxes. </w:t>
      </w:r>
      <w:r>
        <w:rPr>
          <w:rFonts w:ascii="Times New Roman;sans-serif" w:hAnsi="Times New Roman;sans-serif"/>
          <w:b w:val="false"/>
          <w:color w:val="000000"/>
          <w:sz w:val="20"/>
        </w:rPr>
        <w:t>The following table shows the provision for (benefit from) income taxes for the three months ended March 31, 2023 and December 31, 2022:</w:t>
      </w:r>
    </w:p>
    <w:p>
      <w:pPr>
        <w:pStyle w:val="TextBody"/>
        <w:spacing w:before="0" w:after="0"/>
        <w:ind w:left="0" w:right="0" w:firstLine="720"/>
        <w:jc w:val="both"/>
        <w:rPr/>
      </w:pPr>
      <w:r>
        <w:rPr/>
      </w:r>
    </w:p>
    <w:tbl>
      <w:tblPr>
        <w:tblW w:w="6642" w:type="dxa"/>
        <w:jc w:val="left"/>
        <w:tblInd w:w="0" w:type="dxa"/>
        <w:tblCellMar>
          <w:top w:w="28" w:type="dxa"/>
          <w:left w:w="28" w:type="dxa"/>
          <w:bottom w:w="28" w:type="dxa"/>
          <w:right w:w="28" w:type="dxa"/>
        </w:tblCellMar>
      </w:tblPr>
      <w:tblGrid>
        <w:gridCol w:w="1243"/>
        <w:gridCol w:w="1091"/>
        <w:gridCol w:w="1101"/>
        <w:gridCol w:w="346"/>
        <w:gridCol w:w="765"/>
        <w:gridCol w:w="179"/>
        <w:gridCol w:w="109"/>
        <w:gridCol w:w="109"/>
        <w:gridCol w:w="109"/>
        <w:gridCol w:w="402"/>
        <w:gridCol w:w="891"/>
        <w:gridCol w:w="297"/>
      </w:tblGrid>
      <w:tr>
        <w:trPr/>
        <w:tc>
          <w:tcPr>
            <w:tcW w:w="1243"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34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The change in our income tax provision for the first quarter of 2023 compared to the fourth quarter of 2022 was primarily due to the decrease in pre-tax income between the periods which resulted largely from the changes in revenues from oil, natural gas and natural gas liquids discussed above. See Note 10—</w:t>
      </w:r>
      <w:hyperlink w:anchor="i7011061f248747c88de11895562af037_67">
        <w:r>
          <w:rPr>
            <w:rStyle w:val="InternetLink"/>
            <w:rFonts w:ascii="Times New Roman;sans-serif" w:hAnsi="Times New Roman;sans-serif"/>
            <w:b w:val="false"/>
            <w:color w:val="0000FF"/>
            <w:sz w:val="20"/>
            <w:u w:val="single"/>
          </w:rPr>
          <w:t>Income Taxes</w:t>
        </w:r>
      </w:hyperlink>
      <w:r>
        <w:rPr>
          <w:color w:val="000000"/>
        </w:rPr>
        <w:t xml:space="preserve"> </w:t>
      </w:r>
      <w:r>
        <w:rPr>
          <w:rFonts w:ascii="Times New Roman;sans-serif" w:hAnsi="Times New Roman;sans-serif"/>
          <w:b w:val="false"/>
          <w:color w:val="000000"/>
          <w:sz w:val="20"/>
        </w:rPr>
        <w:t xml:space="preserve">of the condensed notes to the consolidated financial statements for further discussion of our income tax expense. </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Comparison of the Three Months Ended March 31, 2023 and 2022</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selected operating data for the three months ended March 31, 2023 and 2022:</w:t>
      </w:r>
    </w:p>
    <w:p>
      <w:pPr>
        <w:pStyle w:val="TextBody"/>
        <w:spacing w:before="0" w:after="0"/>
        <w:jc w:val="both"/>
        <w:rPr/>
      </w:pPr>
      <w:r>
        <w:rPr/>
      </w:r>
    </w:p>
    <w:tbl>
      <w:tblPr>
        <w:tblW w:w="7000" w:type="dxa"/>
        <w:jc w:val="left"/>
        <w:tblInd w:w="0" w:type="dxa"/>
        <w:tblCellMar>
          <w:top w:w="28" w:type="dxa"/>
          <w:left w:w="28" w:type="dxa"/>
          <w:bottom w:w="28" w:type="dxa"/>
          <w:right w:w="28" w:type="dxa"/>
        </w:tblCellMar>
      </w:tblPr>
      <w:tblGrid>
        <w:gridCol w:w="1587"/>
        <w:gridCol w:w="1391"/>
        <w:gridCol w:w="1402"/>
        <w:gridCol w:w="246"/>
        <w:gridCol w:w="720"/>
        <w:gridCol w:w="127"/>
        <w:gridCol w:w="127"/>
        <w:gridCol w:w="127"/>
        <w:gridCol w:w="127"/>
        <w:gridCol w:w="246"/>
        <w:gridCol w:w="720"/>
        <w:gridCol w:w="180"/>
      </w:tblGrid>
      <w:tr>
        <w:trPr/>
        <w:tc>
          <w:tcPr>
            <w:tcW w:w="1587" w:type="dxa"/>
            <w:tcBorders/>
            <w:shd w:fill="auto" w:val="clear"/>
            <w:vAlign w:val="center"/>
          </w:tcPr>
          <w:p>
            <w:pPr>
              <w:pStyle w:val="TableContents"/>
              <w:spacing w:before="0" w:after="283"/>
              <w:rPr>
                <w:sz w:val="4"/>
                <w:szCs w:val="4"/>
              </w:rPr>
            </w:pPr>
            <w:r>
              <w:rPr>
                <w:sz w:val="4"/>
                <w:szCs w:val="4"/>
              </w:rPr>
            </w:r>
          </w:p>
        </w:tc>
        <w:tc>
          <w:tcPr>
            <w:tcW w:w="1391" w:type="dxa"/>
            <w:tcBorders/>
            <w:shd w:fill="auto" w:val="clear"/>
            <w:vAlign w:val="center"/>
          </w:tcPr>
          <w:p>
            <w:pPr>
              <w:pStyle w:val="TableContents"/>
              <w:spacing w:before="0" w:after="283"/>
              <w:rPr>
                <w:sz w:val="4"/>
                <w:szCs w:val="4"/>
              </w:rPr>
            </w:pPr>
            <w:r>
              <w:rPr>
                <w:sz w:val="4"/>
                <w:szCs w:val="4"/>
              </w:rPr>
            </w:r>
          </w:p>
        </w:tc>
        <w:tc>
          <w:tcPr>
            <w:tcW w:w="1402"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4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 (In millions):</w:t>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sales</w:t>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sales</w:t>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 sales</w:t>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oil, natural gas and natural gas liquid revenues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Production Data:</w:t>
            </w:r>
          </w:p>
        </w:tc>
        <w:tc>
          <w:tcPr>
            <w:tcW w:w="10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22,624 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20,055 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47,388 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42,645 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7,730 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7,161 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Combined volumes (MBOE)</w:t>
            </w:r>
            <w:r>
              <w:rPr>
                <w:rFonts w:ascii="Times New Roman;sans-serif" w:hAnsi="Times New Roman;sans-serif"/>
                <w:b w:val="false"/>
                <w:color w:val="000000"/>
                <w:sz w:val="13"/>
              </w:rPr>
              <w:t>(1)</w:t>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38,252 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34,324 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Daily oil volumes (BO/d)</w:t>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251,378 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222,833 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Daily combined volumes (BOE/d)</w:t>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425,022 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381,378 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Average Prices:</w:t>
            </w:r>
          </w:p>
        </w:tc>
        <w:tc>
          <w:tcPr>
            <w:tcW w:w="10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 per Bbl)</w:t>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73.11 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97.03 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 per Mcf)</w:t>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 per Bbl)</w:t>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40.36 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 per BOE)</w:t>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49.72 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69.60 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Oil, hedged ($ per Bbl)</w:t>
            </w:r>
            <w:r>
              <w:rPr>
                <w:rFonts w:ascii="Times New Roman;sans-serif" w:hAnsi="Times New Roman;sans-serif"/>
                <w:b w:val="false"/>
                <w:color w:val="000000"/>
                <w:sz w:val="13"/>
              </w:rPr>
              <w:t>(2)</w:t>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72.05 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83.47 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Natural gas, hedged ($ per Mcf)</w:t>
            </w:r>
            <w:r>
              <w:rPr>
                <w:rFonts w:ascii="Times New Roman;sans-serif" w:hAnsi="Times New Roman;sans-serif"/>
                <w:b w:val="false"/>
                <w:color w:val="000000"/>
                <w:sz w:val="13"/>
              </w:rPr>
              <w:t>(2)</w:t>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Natural gas liquids, hedged ($ per Bbl)</w:t>
            </w:r>
            <w:r>
              <w:rPr>
                <w:rFonts w:ascii="Times New Roman;sans-serif" w:hAnsi="Times New Roman;sans-serif"/>
                <w:b w:val="false"/>
                <w:color w:val="000000"/>
                <w:sz w:val="13"/>
              </w:rPr>
              <w:t>(2)</w:t>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40.36 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Average price, hedged ($ per BOE)</w:t>
            </w:r>
            <w:r>
              <w:rPr>
                <w:rFonts w:ascii="Times New Roman;sans-serif" w:hAnsi="Times New Roman;sans-serif"/>
                <w:b w:val="false"/>
                <w:color w:val="000000"/>
                <w:sz w:val="13"/>
              </w:rPr>
              <w:t>(2)</w:t>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49.72 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61.30 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(1)Bbl equivalents are calculated using a conversion rate of six Mcf per Bbl.</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1155"/>
                <wp:effectExtent l="0" t="0" r="0" b="0"/>
                <wp:wrapNone/>
                <wp:docPr id="35" name="Frame35"/>
                <a:graphic xmlns:a="http://schemas.openxmlformats.org/drawingml/2006/main">
                  <a:graphicData uri="http://schemas.microsoft.com/office/word/2010/wordprocessingShape">
                    <wps:wsp>
                      <wps:cNvSpPr txBox="1"/>
                      <wps:spPr>
                        <a:xfrm>
                          <a:off x="0" y="0"/>
                          <a:ext cx="6480175" cy="35115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spacing w:before="0" w:after="0"/>
                        <w:rPr/>
                      </w:pPr>
                      <w:r>
                        <w:rPr/>
                      </w:r>
                    </w:p>
                  </w:txbxContent>
                </v:textbox>
              </v:rect>
            </w:pict>
          </mc:Fallback>
        </mc:AlternateContent>
      </w:r>
    </w:p>
    <w:p>
      <w:pPr>
        <w:pStyle w:val="TextBody"/>
        <w:spacing w:lineRule="auto" w:line="288" w:before="0" w:after="0"/>
        <w:rPr/>
      </w:pPr>
      <w:hyperlink w:anchor="i7011061f248747c88de11895562af037_7">
        <w:r>
          <w:rPr>
            <w:rStyle w:val="InternetLink"/>
          </w:rPr>
          <w:t xml:space="preserve">Table of </w:t>
        </w:r>
      </w:hyperlink>
      <w:hyperlink w:anchor="i7011061f248747c88de11895562af037_7">
        <w:r>
          <w:rPr>
            <w:rStyle w:val="InternetLink"/>
          </w:rPr>
          <w:t>Contents</w:t>
        </w:r>
      </w:hyperlink>
    </w:p>
    <w:p>
      <w:pPr>
        <w:pStyle w:val="TextBody"/>
        <w:spacing w:lineRule="auto" w:line="288" w:before="0" w:after="0"/>
        <w:ind w:left="0" w:right="0" w:firstLine="720"/>
        <w:jc w:val="both"/>
        <w:rPr/>
      </w:pPr>
      <w:r>
        <w:rPr>
          <w:rFonts w:ascii="Times New Roman;sans-serif" w:hAnsi="Times New Roman;sans-serif"/>
          <w:b/>
          <w:i/>
          <w:color w:val="000000"/>
          <w:sz w:val="20"/>
        </w:rPr>
        <w:t xml:space="preserve">Production Data. </w:t>
      </w:r>
      <w:r>
        <w:rPr>
          <w:rFonts w:ascii="Times New Roman;sans-serif" w:hAnsi="Times New Roman;sans-serif"/>
          <w:b w:val="false"/>
          <w:color w:val="000000"/>
          <w:sz w:val="20"/>
        </w:rPr>
        <w:t>Substantially all of our revenues are generated through the sale of oil, natural gas and natural gas liquids production. The following tables set forth the mix of our production data by product and basin for the three months ended March 31, 2023 and 2022:</w:t>
      </w:r>
    </w:p>
    <w:p>
      <w:pPr>
        <w:pStyle w:val="TextBody"/>
        <w:spacing w:before="0" w:after="0"/>
        <w:ind w:left="0" w:right="0" w:firstLine="720"/>
        <w:jc w:val="both"/>
        <w:rPr/>
      </w:pPr>
      <w:r>
        <w:rPr/>
      </w:r>
    </w:p>
    <w:tbl>
      <w:tblPr>
        <w:tblW w:w="5117" w:type="dxa"/>
        <w:jc w:val="left"/>
        <w:tblInd w:w="0" w:type="dxa"/>
        <w:tblCellMar>
          <w:top w:w="28" w:type="dxa"/>
          <w:left w:w="28" w:type="dxa"/>
          <w:bottom w:w="28" w:type="dxa"/>
          <w:right w:w="28" w:type="dxa"/>
        </w:tblCellMar>
      </w:tblPr>
      <w:tblGrid>
        <w:gridCol w:w="857"/>
        <w:gridCol w:w="753"/>
        <w:gridCol w:w="760"/>
        <w:gridCol w:w="273"/>
        <w:gridCol w:w="212"/>
        <w:gridCol w:w="527"/>
        <w:gridCol w:w="212"/>
        <w:gridCol w:w="212"/>
        <w:gridCol w:w="212"/>
        <w:gridCol w:w="273"/>
        <w:gridCol w:w="212"/>
        <w:gridCol w:w="614"/>
      </w:tblGrid>
      <w:tr>
        <w:trPr/>
        <w:tc>
          <w:tcPr>
            <w:tcW w:w="857"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r>
      <w:tr>
        <w:trPr/>
        <w:tc>
          <w:tcPr>
            <w:tcW w:w="2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2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6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4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4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6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4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6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jc w:val="both"/>
        <w:rPr/>
      </w:pPr>
      <w:r>
        <w:rPr/>
      </w:r>
    </w:p>
    <w:tbl>
      <w:tblPr>
        <w:tblW w:w="10260" w:type="dxa"/>
        <w:jc w:val="left"/>
        <w:tblInd w:w="0" w:type="dxa"/>
        <w:tblCellMar>
          <w:top w:w="28" w:type="dxa"/>
          <w:left w:w="28" w:type="dxa"/>
          <w:bottom w:w="28" w:type="dxa"/>
          <w:right w:w="28" w:type="dxa"/>
        </w:tblCellMar>
      </w:tblPr>
      <w:tblGrid>
        <w:gridCol w:w="353"/>
        <w:gridCol w:w="311"/>
        <w:gridCol w:w="312"/>
        <w:gridCol w:w="414"/>
        <w:gridCol w:w="307"/>
        <w:gridCol w:w="256"/>
        <w:gridCol w:w="109"/>
        <w:gridCol w:w="109"/>
        <w:gridCol w:w="109"/>
        <w:gridCol w:w="434"/>
        <w:gridCol w:w="287"/>
        <w:gridCol w:w="276"/>
        <w:gridCol w:w="109"/>
        <w:gridCol w:w="109"/>
        <w:gridCol w:w="109"/>
        <w:gridCol w:w="200"/>
        <w:gridCol w:w="200"/>
        <w:gridCol w:w="201"/>
        <w:gridCol w:w="109"/>
        <w:gridCol w:w="109"/>
        <w:gridCol w:w="109"/>
        <w:gridCol w:w="360"/>
        <w:gridCol w:w="361"/>
        <w:gridCol w:w="171"/>
        <w:gridCol w:w="109"/>
        <w:gridCol w:w="109"/>
        <w:gridCol w:w="109"/>
        <w:gridCol w:w="414"/>
        <w:gridCol w:w="307"/>
        <w:gridCol w:w="256"/>
        <w:gridCol w:w="109"/>
        <w:gridCol w:w="109"/>
        <w:gridCol w:w="109"/>
        <w:gridCol w:w="434"/>
        <w:gridCol w:w="287"/>
        <w:gridCol w:w="276"/>
        <w:gridCol w:w="109"/>
        <w:gridCol w:w="109"/>
        <w:gridCol w:w="109"/>
        <w:gridCol w:w="200"/>
        <w:gridCol w:w="200"/>
        <w:gridCol w:w="201"/>
        <w:gridCol w:w="109"/>
        <w:gridCol w:w="109"/>
        <w:gridCol w:w="109"/>
        <w:gridCol w:w="360"/>
        <w:gridCol w:w="361"/>
        <w:gridCol w:w="232"/>
      </w:tblGrid>
      <w:tr>
        <w:trPr/>
        <w:tc>
          <w:tcPr>
            <w:tcW w:w="353"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8"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9"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2022</w:t>
            </w:r>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Other</w:t>
            </w:r>
            <w:r>
              <w:rPr>
                <w:rFonts w:ascii="Times New Roman;sans-serif" w:hAnsi="Times New Roman;sans-serif"/>
                <w:b/>
                <w:color w:val="000000"/>
                <w:sz w:val="12"/>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Other</w:t>
            </w:r>
            <w:r>
              <w:rPr>
                <w:rFonts w:ascii="Times New Roman;sans-serif" w:hAnsi="Times New Roman;sans-serif"/>
                <w:b/>
                <w:color w:val="000000"/>
                <w:sz w:val="12"/>
              </w:rPr>
              <w:t>(2)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Production Data:</w:t>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17,720 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4,892 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22,624 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13,921 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6,101 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20,055 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33,548 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13,786 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47,388 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26,873 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15,681 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42,645 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5,858 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7,730 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7,161 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(MBOE)</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29,169 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9,064 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38,252 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23,150 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11,105 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34,324 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(1)Includes the Rockies.</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(2)Includes the Eagle Ford Shale and High Plains.</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i/>
          <w:color w:val="000000"/>
          <w:sz w:val="20"/>
        </w:rPr>
        <w:t>Oil, Natural Gas and Natural Gas Liquids Revenues.</w:t>
      </w:r>
      <w:r>
        <w:rPr>
          <w:color w:val="000000"/>
        </w:rPr>
        <w:t xml:space="preserve"> </w:t>
      </w:r>
      <w:r>
        <w:rPr>
          <w:rFonts w:ascii="Times New Roman;sans-serif" w:hAnsi="Times New Roman;sans-serif"/>
          <w:b w:val="false"/>
          <w:color w:val="000000"/>
          <w:sz w:val="20"/>
        </w:rPr>
        <w:t xml:space="preserve">Our revenues are a function of oil, natural gas and natural gas liquids production volumes sold and average sales prices received for those volumes.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oil, natural gas and natural gas liquids revenues for the three months ended March 31, 2023 decreased by $487 million, or 20%, to $1.9 billion from $2.4 billion during the three months ended March 31, 2022. The overall decrease was primarily due to a reduction of $776 million due to a decline in average prices received for our oil production, and to a lesser extent, our natural gas and natural gas liquids production, partially offset by an increase of $289 million due to an 11% growth in combined volumes sold, due to additional production from the FireBird Acquisition and the Lario Acquisition.</w:t>
      </w:r>
    </w:p>
    <w:p>
      <w:pPr>
        <w:pStyle w:val="TextBody"/>
        <w:spacing w:before="0" w:after="0"/>
        <w:jc w:val="both"/>
        <w:rPr/>
      </w:pPr>
      <w:r>
        <w:rPr/>
      </w:r>
    </w:p>
    <w:p>
      <w:pPr>
        <w:pStyle w:val="TextBody"/>
        <w:spacing w:lineRule="auto" w:line="268" w:before="0" w:after="0"/>
        <w:ind w:left="0" w:right="0" w:firstLine="720"/>
        <w:jc w:val="both"/>
        <w:rPr/>
      </w:pPr>
      <w:r>
        <w:rPr>
          <w:rFonts w:ascii="Times New Roman;sans-serif" w:hAnsi="Times New Roman;sans-serif"/>
          <w:b/>
          <w:i/>
          <w:color w:val="000000"/>
          <w:sz w:val="20"/>
        </w:rPr>
        <w:t>Other Revenues.</w:t>
      </w:r>
      <w:r>
        <w:rPr>
          <w:color w:val="000000"/>
        </w:rPr>
        <w:t xml:space="preserve"> </w:t>
      </w:r>
      <w:r>
        <w:rPr>
          <w:rFonts w:ascii="Times New Roman;sans-serif" w:hAnsi="Times New Roman;sans-serif"/>
          <w:b w:val="false"/>
          <w:color w:val="000000"/>
          <w:sz w:val="20"/>
        </w:rPr>
        <w:t>The following table shows the other insignificant revenues for the three months ended March 31, 2023 and 2022:</w:t>
      </w:r>
    </w:p>
    <w:p>
      <w:pPr>
        <w:pStyle w:val="TextBody"/>
        <w:spacing w:before="0" w:after="0"/>
        <w:ind w:left="0" w:right="0" w:firstLine="720"/>
        <w:jc w:val="both"/>
        <w:rPr/>
      </w:pPr>
      <w:r>
        <w:rPr/>
      </w:r>
    </w:p>
    <w:tbl>
      <w:tblPr>
        <w:tblW w:w="4663" w:type="dxa"/>
        <w:jc w:val="left"/>
        <w:tblInd w:w="0" w:type="dxa"/>
        <w:tblCellMar>
          <w:top w:w="28" w:type="dxa"/>
          <w:left w:w="28" w:type="dxa"/>
          <w:bottom w:w="28" w:type="dxa"/>
          <w:right w:w="28" w:type="dxa"/>
        </w:tblCellMar>
      </w:tblPr>
      <w:tblGrid>
        <w:gridCol w:w="738"/>
        <w:gridCol w:w="648"/>
        <w:gridCol w:w="654"/>
        <w:gridCol w:w="319"/>
        <w:gridCol w:w="546"/>
        <w:gridCol w:w="165"/>
        <w:gridCol w:w="165"/>
        <w:gridCol w:w="165"/>
        <w:gridCol w:w="165"/>
        <w:gridCol w:w="319"/>
        <w:gridCol w:w="546"/>
        <w:gridCol w:w="233"/>
      </w:tblGrid>
      <w:tr>
        <w:trPr/>
        <w:tc>
          <w:tcPr>
            <w:tcW w:w="738"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0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0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income</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i/>
          <w:color w:val="000000"/>
          <w:sz w:val="20"/>
        </w:rPr>
        <w:t>Lease Operating Expenses.</w:t>
      </w:r>
      <w:r>
        <w:rPr>
          <w:color w:val="000000"/>
        </w:rPr>
        <w:t xml:space="preserve"> </w:t>
      </w:r>
      <w:r>
        <w:rPr>
          <w:rFonts w:ascii="Times New Roman;sans-serif" w:hAnsi="Times New Roman;sans-serif"/>
          <w:b w:val="false"/>
          <w:color w:val="000000"/>
          <w:sz w:val="20"/>
        </w:rPr>
        <w:t>The following table shows lease operating expenses for the three months ended March 31, 2023 and 2022:</w:t>
      </w:r>
    </w:p>
    <w:p>
      <w:pPr>
        <w:pStyle w:val="TextBody"/>
        <w:spacing w:before="0" w:after="0"/>
        <w:ind w:left="0" w:right="0" w:firstLine="720"/>
        <w:jc w:val="both"/>
        <w:rPr/>
      </w:pPr>
      <w:r>
        <w:rPr/>
      </w:r>
    </w:p>
    <w:tbl>
      <w:tblPr>
        <w:tblW w:w="7334" w:type="dxa"/>
        <w:jc w:val="left"/>
        <w:tblInd w:w="0" w:type="dxa"/>
        <w:tblCellMar>
          <w:top w:w="28" w:type="dxa"/>
          <w:left w:w="28" w:type="dxa"/>
          <w:bottom w:w="28" w:type="dxa"/>
          <w:right w:w="28" w:type="dxa"/>
        </w:tblCellMar>
      </w:tblPr>
      <w:tblGrid>
        <w:gridCol w:w="1112"/>
        <w:gridCol w:w="977"/>
        <w:gridCol w:w="985"/>
        <w:gridCol w:w="211"/>
        <w:gridCol w:w="466"/>
        <w:gridCol w:w="109"/>
        <w:gridCol w:w="109"/>
        <w:gridCol w:w="109"/>
        <w:gridCol w:w="109"/>
        <w:gridCol w:w="211"/>
        <w:gridCol w:w="511"/>
        <w:gridCol w:w="109"/>
        <w:gridCol w:w="109"/>
        <w:gridCol w:w="109"/>
        <w:gridCol w:w="109"/>
        <w:gridCol w:w="211"/>
        <w:gridCol w:w="466"/>
        <w:gridCol w:w="109"/>
        <w:gridCol w:w="109"/>
        <w:gridCol w:w="109"/>
        <w:gridCol w:w="109"/>
        <w:gridCol w:w="211"/>
        <w:gridCol w:w="511"/>
        <w:gridCol w:w="154"/>
      </w:tblGrid>
      <w:tr>
        <w:trPr/>
        <w:tc>
          <w:tcPr>
            <w:tcW w:w="1112"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8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0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Lease operating expenses increased by $43 million, or $0.68 per BOE for the three months ended March 31, 2023 compared to the same period in 2022, primarily due to a $24 million overall increase in utility and service costs driven by continued inflation and $19 million due to production and operating expenses incurred on wells acquired in the FireBird Acquisition and the Lario Acquisition. </w:t>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1155"/>
                <wp:effectExtent l="0" t="0" r="0" b="0"/>
                <wp:wrapNone/>
                <wp:docPr id="36" name="Frame36"/>
                <a:graphic xmlns:a="http://schemas.openxmlformats.org/drawingml/2006/main">
                  <a:graphicData uri="http://schemas.microsoft.com/office/word/2010/wordprocessingShape">
                    <wps:wsp>
                      <wps:cNvSpPr txBox="1"/>
                      <wps:spPr>
                        <a:xfrm>
                          <a:off x="0" y="0"/>
                          <a:ext cx="6480175" cy="35115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spacing w:before="0" w:after="0"/>
                        <w:rPr/>
                      </w:pPr>
                      <w:r>
                        <w:rPr/>
                      </w:r>
                    </w:p>
                  </w:txbxContent>
                </v:textbox>
              </v:rect>
            </w:pict>
          </mc:Fallback>
        </mc:AlternateContent>
      </w:r>
    </w:p>
    <w:p>
      <w:pPr>
        <w:pStyle w:val="TextBody"/>
        <w:spacing w:lineRule="auto" w:line="288" w:before="0" w:after="0"/>
        <w:rPr/>
      </w:pPr>
      <w:hyperlink w:anchor="i7011061f248747c88de11895562af037_7">
        <w:r>
          <w:rPr>
            <w:rStyle w:val="InternetLink"/>
          </w:rPr>
          <w:t xml:space="preserve">Table of </w:t>
        </w:r>
      </w:hyperlink>
      <w:hyperlink w:anchor="i7011061f248747c88de11895562af037_7">
        <w:r>
          <w:rPr>
            <w:rStyle w:val="InternetLink"/>
          </w:rPr>
          <w:t>Contents</w:t>
        </w:r>
      </w:hyperlink>
    </w:p>
    <w:p>
      <w:pPr>
        <w:pStyle w:val="TextBody"/>
        <w:spacing w:lineRule="auto" w:line="288" w:before="0" w:after="0"/>
        <w:ind w:left="0" w:right="0" w:firstLine="720"/>
        <w:jc w:val="both"/>
        <w:rPr/>
      </w:pPr>
      <w:r>
        <w:rPr>
          <w:rFonts w:ascii="Times New Roman;sans-serif" w:hAnsi="Times New Roman;sans-serif"/>
          <w:b/>
          <w:i/>
          <w:color w:val="000000"/>
          <w:sz w:val="20"/>
        </w:rPr>
        <w:t>Production and Ad Valorem Tax Expense.</w:t>
      </w:r>
      <w:r>
        <w:rPr>
          <w:color w:val="000000"/>
        </w:rPr>
        <w:t xml:space="preserve"> </w:t>
      </w:r>
      <w:r>
        <w:rPr>
          <w:rFonts w:ascii="Times New Roman;sans-serif" w:hAnsi="Times New Roman;sans-serif"/>
          <w:b w:val="false"/>
          <w:color w:val="000000"/>
          <w:sz w:val="20"/>
        </w:rPr>
        <w:t>The following table shows production and ad valorem tax expense for the three months ended March 31, 2023 and 2022:</w:t>
      </w:r>
    </w:p>
    <w:p>
      <w:pPr>
        <w:pStyle w:val="TextBody"/>
        <w:spacing w:before="0" w:after="0"/>
        <w:ind w:left="0" w:right="0" w:firstLine="720"/>
        <w:jc w:val="both"/>
        <w:rPr/>
      </w:pPr>
      <w:r>
        <w:rPr/>
      </w:r>
    </w:p>
    <w:tbl>
      <w:tblPr>
        <w:tblW w:w="10205" w:type="dxa"/>
        <w:jc w:val="left"/>
        <w:tblInd w:w="0" w:type="dxa"/>
        <w:tblCellMar>
          <w:top w:w="28" w:type="dxa"/>
          <w:left w:w="28" w:type="dxa"/>
          <w:bottom w:w="28" w:type="dxa"/>
          <w:right w:w="28" w:type="dxa"/>
        </w:tblCellMar>
      </w:tblPr>
      <w:tblGrid>
        <w:gridCol w:w="2046"/>
        <w:gridCol w:w="1779"/>
        <w:gridCol w:w="1794"/>
        <w:gridCol w:w="211"/>
        <w:gridCol w:w="466"/>
        <w:gridCol w:w="271"/>
        <w:gridCol w:w="109"/>
        <w:gridCol w:w="109"/>
        <w:gridCol w:w="109"/>
        <w:gridCol w:w="211"/>
        <w:gridCol w:w="511"/>
        <w:gridCol w:w="109"/>
        <w:gridCol w:w="109"/>
        <w:gridCol w:w="109"/>
        <w:gridCol w:w="109"/>
        <w:gridCol w:w="211"/>
        <w:gridCol w:w="466"/>
        <w:gridCol w:w="271"/>
        <w:gridCol w:w="109"/>
        <w:gridCol w:w="109"/>
        <w:gridCol w:w="109"/>
        <w:gridCol w:w="211"/>
        <w:gridCol w:w="511"/>
        <w:gridCol w:w="156"/>
      </w:tblGrid>
      <w:tr>
        <w:trPr/>
        <w:tc>
          <w:tcPr>
            <w:tcW w:w="2046" w:type="dxa"/>
            <w:tcBorders/>
            <w:shd w:fill="auto" w:val="clear"/>
            <w:vAlign w:val="center"/>
          </w:tcPr>
          <w:p>
            <w:pPr>
              <w:pStyle w:val="TableContents"/>
              <w:spacing w:before="0" w:after="283"/>
              <w:rPr>
                <w:sz w:val="4"/>
                <w:szCs w:val="4"/>
              </w:rPr>
            </w:pPr>
            <w:r>
              <w:rPr>
                <w:sz w:val="4"/>
                <w:szCs w:val="4"/>
              </w:rPr>
            </w:r>
          </w:p>
        </w:tc>
        <w:tc>
          <w:tcPr>
            <w:tcW w:w="1779" w:type="dxa"/>
            <w:tcBorders/>
            <w:shd w:fill="auto" w:val="clear"/>
            <w:vAlign w:val="center"/>
          </w:tcPr>
          <w:p>
            <w:pPr>
              <w:pStyle w:val="TableContents"/>
              <w:spacing w:before="0" w:after="283"/>
              <w:rPr>
                <w:sz w:val="4"/>
                <w:szCs w:val="4"/>
              </w:rPr>
            </w:pPr>
            <w:r>
              <w:rPr>
                <w:sz w:val="4"/>
                <w:szCs w:val="4"/>
              </w:rPr>
            </w:r>
          </w:p>
        </w:tc>
        <w:tc>
          <w:tcPr>
            <w:tcW w:w="179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86"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5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5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6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9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r>
      <w:tr>
        <w:trPr/>
        <w:tc>
          <w:tcPr>
            <w:tcW w:w="56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 valorem taxes</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production and ad valorem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taxes as a % of oil, natural gas, and natural gas liquids revenue</w:t>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production taxes are directly related to production revenues and are based upon current year commodity prices. Production taxes as a percentage of production revenues remained relatively consistent for the three months ended March 31, 2023 compared to the same period in 2022.</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 valorem taxes are based, among other factors, on property values driven by prior year commodity prices. Ad valorem taxes for the three months ended March 31, 2023 as compared to the same period in 2022 increased by $22 million, partially due to recording $7 million in ad valorem taxes for new well additions during 2022 and $5 million in ad valorem taxes for properties acquired in the FireBird Acquisition and the Lario Acquisition. The remaining increase is due to higher overall valuations resulting from an increase in commodity prices between valuation periods.</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i/>
          <w:color w:val="000000"/>
          <w:sz w:val="20"/>
        </w:rPr>
        <w:t>Gathering and Transportation Expense.</w:t>
      </w:r>
      <w:r>
        <w:rPr>
          <w:color w:val="000000"/>
        </w:rPr>
        <w:t xml:space="preserve"> </w:t>
      </w:r>
      <w:r>
        <w:rPr>
          <w:rFonts w:ascii="Times New Roman;sans-serif" w:hAnsi="Times New Roman;sans-serif"/>
          <w:b w:val="false"/>
          <w:color w:val="000000"/>
          <w:sz w:val="20"/>
        </w:rPr>
        <w:t>The following table shows gathering and transportation expense for the three months ended March 31, 2023 and 2022:</w:t>
      </w:r>
    </w:p>
    <w:p>
      <w:pPr>
        <w:pStyle w:val="TextBody"/>
        <w:spacing w:before="0" w:after="0"/>
        <w:ind w:left="0" w:right="0" w:firstLine="720"/>
        <w:jc w:val="both"/>
        <w:rPr/>
      </w:pPr>
      <w:r>
        <w:rPr/>
      </w:r>
    </w:p>
    <w:tbl>
      <w:tblPr>
        <w:tblW w:w="7264" w:type="dxa"/>
        <w:jc w:val="left"/>
        <w:tblInd w:w="0" w:type="dxa"/>
        <w:tblCellMar>
          <w:top w:w="28" w:type="dxa"/>
          <w:left w:w="28" w:type="dxa"/>
          <w:bottom w:w="28" w:type="dxa"/>
          <w:right w:w="28" w:type="dxa"/>
        </w:tblCellMar>
      </w:tblPr>
      <w:tblGrid>
        <w:gridCol w:w="1112"/>
        <w:gridCol w:w="977"/>
        <w:gridCol w:w="985"/>
        <w:gridCol w:w="232"/>
        <w:gridCol w:w="398"/>
        <w:gridCol w:w="121"/>
        <w:gridCol w:w="109"/>
        <w:gridCol w:w="109"/>
        <w:gridCol w:w="109"/>
        <w:gridCol w:w="211"/>
        <w:gridCol w:w="511"/>
        <w:gridCol w:w="109"/>
        <w:gridCol w:w="109"/>
        <w:gridCol w:w="109"/>
        <w:gridCol w:w="109"/>
        <w:gridCol w:w="232"/>
        <w:gridCol w:w="398"/>
        <w:gridCol w:w="121"/>
        <w:gridCol w:w="109"/>
        <w:gridCol w:w="109"/>
        <w:gridCol w:w="109"/>
        <w:gridCol w:w="211"/>
        <w:gridCol w:w="511"/>
        <w:gridCol w:w="154"/>
      </w:tblGrid>
      <w:tr>
        <w:trPr/>
        <w:tc>
          <w:tcPr>
            <w:tcW w:w="1112"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0"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5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0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and transportation</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00" w:after="283"/>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gathering and transportation expenses for the three months ended March 31, 2023 compared to the same period in 2022 is primarily attributable to an increase in production as discussed above and $4 million in additional charges incurred to transport production to pipelines where we have minimum volume commitments. The remainder of the increase is primarily due to annual contractual rate escalations.</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i/>
          <w:color w:val="000000"/>
          <w:sz w:val="20"/>
        </w:rPr>
        <w:t>Depreciation, Depletion, Amortization and Accretion.</w:t>
      </w:r>
      <w:r>
        <w:rPr>
          <w:color w:val="000000"/>
        </w:rPr>
        <w:t xml:space="preserve"> </w:t>
      </w:r>
      <w:r>
        <w:rPr>
          <w:rFonts w:ascii="Times New Roman;sans-serif" w:hAnsi="Times New Roman;sans-serif"/>
          <w:b w:val="false"/>
          <w:color w:val="000000"/>
          <w:sz w:val="20"/>
        </w:rPr>
        <w:t>The following table provides the components of our depreciation, depletion, amortization and accretion expense for the three months ended March 31, 2023 and 2022:</w:t>
      </w:r>
    </w:p>
    <w:p>
      <w:pPr>
        <w:pStyle w:val="TextBody"/>
        <w:spacing w:before="0" w:after="0"/>
        <w:ind w:left="0" w:right="0" w:firstLine="720"/>
        <w:jc w:val="both"/>
        <w:rPr/>
      </w:pPr>
      <w:r>
        <w:rPr/>
      </w:r>
    </w:p>
    <w:tbl>
      <w:tblPr>
        <w:tblW w:w="7030" w:type="dxa"/>
        <w:jc w:val="left"/>
        <w:tblInd w:w="0" w:type="dxa"/>
        <w:tblCellMar>
          <w:top w:w="28" w:type="dxa"/>
          <w:left w:w="28" w:type="dxa"/>
          <w:bottom w:w="28" w:type="dxa"/>
          <w:right w:w="28" w:type="dxa"/>
        </w:tblCellMar>
      </w:tblPr>
      <w:tblGrid>
        <w:gridCol w:w="1595"/>
        <w:gridCol w:w="1402"/>
        <w:gridCol w:w="1413"/>
        <w:gridCol w:w="272"/>
        <w:gridCol w:w="659"/>
        <w:gridCol w:w="140"/>
        <w:gridCol w:w="140"/>
        <w:gridCol w:w="140"/>
        <w:gridCol w:w="140"/>
        <w:gridCol w:w="272"/>
        <w:gridCol w:w="659"/>
        <w:gridCol w:w="198"/>
      </w:tblGrid>
      <w:tr>
        <w:trPr/>
        <w:tc>
          <w:tcPr>
            <w:tcW w:w="1595" w:type="dxa"/>
            <w:tcBorders/>
            <w:shd w:fill="auto" w:val="clear"/>
            <w:vAlign w:val="center"/>
          </w:tcPr>
          <w:p>
            <w:pPr>
              <w:pStyle w:val="TableContents"/>
              <w:spacing w:before="0" w:after="283"/>
              <w:rPr>
                <w:sz w:val="4"/>
                <w:szCs w:val="4"/>
              </w:rPr>
            </w:pPr>
            <w:r>
              <w:rPr>
                <w:sz w:val="4"/>
                <w:szCs w:val="4"/>
              </w:rPr>
            </w:r>
          </w:p>
        </w:tc>
        <w:tc>
          <w:tcPr>
            <w:tcW w:w="1402" w:type="dxa"/>
            <w:tcBorders/>
            <w:shd w:fill="auto" w:val="clear"/>
            <w:vAlign w:val="center"/>
          </w:tcPr>
          <w:p>
            <w:pPr>
              <w:pStyle w:val="TableContents"/>
              <w:spacing w:before="0" w:after="283"/>
              <w:rPr>
                <w:sz w:val="4"/>
                <w:szCs w:val="4"/>
              </w:rPr>
            </w:pPr>
            <w:r>
              <w:rPr>
                <w:sz w:val="4"/>
                <w:szCs w:val="4"/>
              </w:rPr>
            </w:r>
          </w:p>
        </w:tc>
        <w:tc>
          <w:tcPr>
            <w:tcW w:w="1413"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44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BOE amounts)</w:t>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 of proved oil and natural gas properties</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other property and equipment</w:t>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amortization</w:t>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 accretion</w:t>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amortization and accretion</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 depletion rate per BOE</w:t>
            </w:r>
          </w:p>
        </w:tc>
        <w:tc>
          <w:tcPr>
            <w:tcW w:w="27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40"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98"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depletion of proved oil and natural gas properties of $95 million for the three months ended March 31, 2023 as compared to the same period in 2022 resulted largely from an increase in the depletion rate and production volumes resulting from the addition of leasehold costs, reserves and production from the FireBird Acquisition and the Lario Acquisition. </w:t>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1155"/>
                <wp:effectExtent l="0" t="0" r="0" b="0"/>
                <wp:wrapNone/>
                <wp:docPr id="37" name="Frame37"/>
                <a:graphic xmlns:a="http://schemas.openxmlformats.org/drawingml/2006/main">
                  <a:graphicData uri="http://schemas.microsoft.com/office/word/2010/wordprocessingShape">
                    <wps:wsp>
                      <wps:cNvSpPr txBox="1"/>
                      <wps:spPr>
                        <a:xfrm>
                          <a:off x="0" y="0"/>
                          <a:ext cx="6480175" cy="35115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spacing w:before="0" w:after="0"/>
                        <w:rPr/>
                      </w:pPr>
                      <w:r>
                        <w:rPr/>
                      </w:r>
                    </w:p>
                  </w:txbxContent>
                </v:textbox>
              </v:rect>
            </w:pict>
          </mc:Fallback>
        </mc:AlternateContent>
      </w:r>
    </w:p>
    <w:p>
      <w:pPr>
        <w:pStyle w:val="TextBody"/>
        <w:spacing w:lineRule="auto" w:line="288" w:before="0" w:after="0"/>
        <w:rPr/>
      </w:pPr>
      <w:hyperlink w:anchor="i7011061f248747c88de11895562af037_7">
        <w:r>
          <w:rPr>
            <w:rStyle w:val="InternetLink"/>
          </w:rPr>
          <w:t xml:space="preserve">Table of </w:t>
        </w:r>
      </w:hyperlink>
      <w:hyperlink w:anchor="i7011061f248747c88de11895562af037_7">
        <w:r>
          <w:rPr>
            <w:rStyle w:val="InternetLink"/>
          </w:rPr>
          <w:t>Contents</w:t>
        </w:r>
      </w:hyperlink>
    </w:p>
    <w:p>
      <w:pPr>
        <w:pStyle w:val="TextBody"/>
        <w:spacing w:lineRule="auto" w:line="288" w:before="0" w:after="0"/>
        <w:ind w:left="0" w:right="0" w:firstLine="720"/>
        <w:jc w:val="both"/>
        <w:rPr/>
      </w:pPr>
      <w:r>
        <w:rPr>
          <w:rFonts w:ascii="Times New Roman;sans-serif" w:hAnsi="Times New Roman;sans-serif"/>
          <w:b/>
          <w:i/>
          <w:color w:val="000000"/>
          <w:sz w:val="20"/>
        </w:rPr>
        <w:t>General and Administrative Expenses.</w:t>
      </w:r>
      <w:r>
        <w:rPr>
          <w:color w:val="000000"/>
        </w:rPr>
        <w:t xml:space="preserve"> </w:t>
      </w:r>
      <w:r>
        <w:rPr>
          <w:rFonts w:ascii="Times New Roman;sans-serif" w:hAnsi="Times New Roman;sans-serif"/>
          <w:b w:val="false"/>
          <w:color w:val="000000"/>
          <w:sz w:val="20"/>
        </w:rPr>
        <w:t>The following table shows general and administrative expenses for the three months ended March 31, 2023 and 2022:</w:t>
      </w:r>
    </w:p>
    <w:p>
      <w:pPr>
        <w:pStyle w:val="TextBody"/>
        <w:spacing w:before="0" w:after="0"/>
        <w:ind w:left="0" w:right="0" w:firstLine="720"/>
        <w:jc w:val="both"/>
        <w:rPr/>
      </w:pPr>
      <w:r>
        <w:rPr/>
      </w:r>
    </w:p>
    <w:tbl>
      <w:tblPr>
        <w:tblW w:w="7730" w:type="dxa"/>
        <w:jc w:val="left"/>
        <w:tblInd w:w="0" w:type="dxa"/>
        <w:tblCellMar>
          <w:top w:w="28" w:type="dxa"/>
          <w:left w:w="28" w:type="dxa"/>
          <w:bottom w:w="28" w:type="dxa"/>
          <w:right w:w="28" w:type="dxa"/>
        </w:tblCellMar>
      </w:tblPr>
      <w:tblGrid>
        <w:gridCol w:w="1281"/>
        <w:gridCol w:w="1125"/>
        <w:gridCol w:w="1134"/>
        <w:gridCol w:w="232"/>
        <w:gridCol w:w="398"/>
        <w:gridCol w:w="121"/>
        <w:gridCol w:w="109"/>
        <w:gridCol w:w="109"/>
        <w:gridCol w:w="109"/>
        <w:gridCol w:w="211"/>
        <w:gridCol w:w="511"/>
        <w:gridCol w:w="109"/>
        <w:gridCol w:w="109"/>
        <w:gridCol w:w="109"/>
        <w:gridCol w:w="109"/>
        <w:gridCol w:w="232"/>
        <w:gridCol w:w="398"/>
        <w:gridCol w:w="121"/>
        <w:gridCol w:w="109"/>
        <w:gridCol w:w="109"/>
        <w:gridCol w:w="109"/>
        <w:gridCol w:w="211"/>
        <w:gridCol w:w="511"/>
        <w:gridCol w:w="154"/>
      </w:tblGrid>
      <w:tr>
        <w:trPr/>
        <w:tc>
          <w:tcPr>
            <w:tcW w:w="1281"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0"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5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5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5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stock-based compensation</w:t>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general and administrative expenses</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general and administrative expenses for the three months ended March 31, 2023 compared to the same period in 2022 was primarily due to additional compensation and benefits costs related to annual compensation and bonus adjustments and an increase in employee headcount from acquisitions. </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i/>
          <w:color w:val="000000"/>
          <w:sz w:val="20"/>
        </w:rPr>
        <w:t>Other Operating Costs and Expenses.</w:t>
      </w:r>
      <w:r>
        <w:rPr>
          <w:color w:val="000000"/>
        </w:rPr>
        <w:t xml:space="preserve"> </w:t>
      </w:r>
      <w:r>
        <w:rPr>
          <w:rFonts w:ascii="Times New Roman;sans-serif" w:hAnsi="Times New Roman;sans-serif"/>
          <w:b w:val="false"/>
          <w:color w:val="000000"/>
          <w:sz w:val="20"/>
        </w:rPr>
        <w:t>The following table shows the other insignificant operating costs and expenses for the three months ended March 31, 2023 and 2022:</w:t>
      </w:r>
    </w:p>
    <w:p>
      <w:pPr>
        <w:pStyle w:val="TextBody"/>
        <w:spacing w:before="0" w:after="0"/>
        <w:ind w:left="0" w:right="0" w:firstLine="720"/>
        <w:jc w:val="both"/>
        <w:rPr/>
      </w:pPr>
      <w:r>
        <w:rPr/>
      </w:r>
    </w:p>
    <w:tbl>
      <w:tblPr>
        <w:tblW w:w="4798" w:type="dxa"/>
        <w:jc w:val="left"/>
        <w:tblInd w:w="0" w:type="dxa"/>
        <w:tblCellMar>
          <w:top w:w="28" w:type="dxa"/>
          <w:left w:w="28" w:type="dxa"/>
          <w:bottom w:w="28" w:type="dxa"/>
          <w:right w:w="28" w:type="dxa"/>
        </w:tblCellMar>
      </w:tblPr>
      <w:tblGrid>
        <w:gridCol w:w="787"/>
        <w:gridCol w:w="691"/>
        <w:gridCol w:w="697"/>
        <w:gridCol w:w="319"/>
        <w:gridCol w:w="546"/>
        <w:gridCol w:w="165"/>
        <w:gridCol w:w="165"/>
        <w:gridCol w:w="165"/>
        <w:gridCol w:w="165"/>
        <w:gridCol w:w="319"/>
        <w:gridCol w:w="546"/>
        <w:gridCol w:w="233"/>
      </w:tblGrid>
      <w:tr>
        <w:trPr/>
        <w:tc>
          <w:tcPr>
            <w:tcW w:w="787"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r>
      <w:tr>
        <w:trPr/>
        <w:tc>
          <w:tcPr>
            <w:tcW w:w="21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21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0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i/>
          <w:color w:val="000000"/>
          <w:sz w:val="20"/>
        </w:rPr>
        <w:t>Derivative Instruments.</w:t>
      </w:r>
      <w:r>
        <w:rPr>
          <w:color w:val="000000"/>
        </w:rPr>
        <w:t xml:space="preserve"> </w:t>
      </w:r>
      <w:r>
        <w:rPr>
          <w:rFonts w:ascii="Times New Roman;sans-serif" w:hAnsi="Times New Roman;sans-serif"/>
          <w:b w:val="false"/>
          <w:color w:val="000000"/>
          <w:sz w:val="20"/>
        </w:rPr>
        <w:t>The following table shows the net gain (loss) on derivative instruments and the net cash receipts (payments) on settlements of derivative instruments for the three months ended March 31, 2023 and 2022:</w:t>
      </w:r>
    </w:p>
    <w:p>
      <w:pPr>
        <w:pStyle w:val="TextBody"/>
        <w:spacing w:before="0" w:after="0"/>
        <w:ind w:left="0" w:right="0" w:firstLine="720"/>
        <w:jc w:val="both"/>
        <w:rPr/>
      </w:pPr>
      <w:r>
        <w:rPr/>
      </w:r>
    </w:p>
    <w:tbl>
      <w:tblPr>
        <w:tblW w:w="6069" w:type="dxa"/>
        <w:jc w:val="left"/>
        <w:tblInd w:w="0" w:type="dxa"/>
        <w:tblCellMar>
          <w:top w:w="28" w:type="dxa"/>
          <w:left w:w="28" w:type="dxa"/>
          <w:bottom w:w="28" w:type="dxa"/>
          <w:right w:w="28" w:type="dxa"/>
        </w:tblCellMar>
      </w:tblPr>
      <w:tblGrid>
        <w:gridCol w:w="1248"/>
        <w:gridCol w:w="1093"/>
        <w:gridCol w:w="1108"/>
        <w:gridCol w:w="278"/>
        <w:gridCol w:w="575"/>
        <w:gridCol w:w="143"/>
        <w:gridCol w:w="143"/>
        <w:gridCol w:w="143"/>
        <w:gridCol w:w="143"/>
        <w:gridCol w:w="278"/>
        <w:gridCol w:w="714"/>
        <w:gridCol w:w="203"/>
      </w:tblGrid>
      <w:tr>
        <w:trPr/>
        <w:tc>
          <w:tcPr>
            <w:tcW w:w="1248"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2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 instruments, net</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Net cash received (paid) on settlements</w:t>
            </w:r>
            <w:r>
              <w:rPr>
                <w:rFonts w:ascii="Times New Roman;sans-serif" w:hAnsi="Times New Roman;sans-serif"/>
                <w:b w:val="false"/>
                <w:color w:val="000000"/>
                <w:sz w:val="13"/>
              </w:rPr>
              <w:t>(1)</w:t>
            </w:r>
          </w:p>
        </w:tc>
        <w:tc>
          <w:tcPr>
            <w:tcW w:w="27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first quarter of 2022 includes cash paid on commodity contracts terminated prior to their contractual maturity of $135 million.</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See Note 11—</w:t>
      </w:r>
      <w:hyperlink w:anchor="i7011061f248747c88de11895562af037_70">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of the condensed notes to the consolidated financial statements included elsewhere in this report for further details regarding our derivative instruments.</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i/>
          <w:color w:val="000000"/>
          <w:sz w:val="20"/>
        </w:rPr>
        <w:t>Other Income (Expense).</w:t>
      </w:r>
      <w:r>
        <w:rPr>
          <w:color w:val="000000"/>
        </w:rPr>
        <w:t xml:space="preserve"> </w:t>
      </w:r>
      <w:r>
        <w:rPr>
          <w:rFonts w:ascii="Times New Roman;sans-serif" w:hAnsi="Times New Roman;sans-serif"/>
          <w:b w:val="false"/>
          <w:color w:val="000000"/>
          <w:sz w:val="20"/>
        </w:rPr>
        <w:t>The following table shows other income and expenses for the three months ended March 31, 2023 and 2022:</w:t>
      </w:r>
    </w:p>
    <w:p>
      <w:pPr>
        <w:pStyle w:val="TextBody"/>
        <w:spacing w:before="0" w:after="0"/>
        <w:ind w:left="0" w:right="0" w:firstLine="720"/>
        <w:jc w:val="both"/>
        <w:rPr/>
      </w:pPr>
      <w:r>
        <w:rPr/>
      </w:r>
    </w:p>
    <w:tbl>
      <w:tblPr>
        <w:tblW w:w="5830" w:type="dxa"/>
        <w:jc w:val="left"/>
        <w:tblInd w:w="0" w:type="dxa"/>
        <w:tblCellMar>
          <w:top w:w="28" w:type="dxa"/>
          <w:left w:w="28" w:type="dxa"/>
          <w:bottom w:w="28" w:type="dxa"/>
          <w:right w:w="28" w:type="dxa"/>
        </w:tblCellMar>
      </w:tblPr>
      <w:tblGrid>
        <w:gridCol w:w="1162"/>
        <w:gridCol w:w="1020"/>
        <w:gridCol w:w="1028"/>
        <w:gridCol w:w="294"/>
        <w:gridCol w:w="607"/>
        <w:gridCol w:w="151"/>
        <w:gridCol w:w="151"/>
        <w:gridCol w:w="151"/>
        <w:gridCol w:w="151"/>
        <w:gridCol w:w="294"/>
        <w:gridCol w:w="607"/>
        <w:gridCol w:w="214"/>
      </w:tblGrid>
      <w:tr>
        <w:trPr/>
        <w:tc>
          <w:tcPr>
            <w:tcW w:w="1162"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1028"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r>
      <w:tr>
        <w:trPr/>
        <w:tc>
          <w:tcPr>
            <w:tcW w:w="32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0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5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29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453"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extinguishment of debt</w:t>
            </w:r>
          </w:p>
        </w:tc>
        <w:tc>
          <w:tcPr>
            <w:tcW w:w="29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equity investments</w:t>
            </w:r>
          </w:p>
        </w:tc>
        <w:tc>
          <w:tcPr>
            <w:tcW w:w="29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net interest expense for the three months ended March 31, 2023 compared to the same period in 2022, primarily reflects (i) a $10 million increase in interest expense on our senior notes due primarily to the issuance of additional senior notes in the fourth quarter of 2022 as well as the net impact of other issuances and retirements of debt throughout 2022, and (ii) a $6 million increase in interest expense on our revolving credit facility due primarily to higher weighted average interest rates and borrowings to fund the cash portion of the Lario Acquisition. These increases were partially offset by a $9 million increase in capitalized interest costs, which reduce interest expense.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Gain (loss) on extinguishment of debt reflects the difference between the carrying value and reacquisition price for the repurchase and redemption of various senior notes during the 2022 period. </w:t>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51155"/>
                <wp:effectExtent l="0" t="0" r="0" b="0"/>
                <wp:wrapNone/>
                <wp:docPr id="38" name="Frame38"/>
                <a:graphic xmlns:a="http://schemas.openxmlformats.org/drawingml/2006/main">
                  <a:graphicData uri="http://schemas.microsoft.com/office/word/2010/wordprocessingShape">
                    <wps:wsp>
                      <wps:cNvSpPr txBox="1"/>
                      <wps:spPr>
                        <a:xfrm>
                          <a:off x="0" y="0"/>
                          <a:ext cx="6480175" cy="35115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spacing w:before="0" w:after="0"/>
                        <w:rPr/>
                      </w:pPr>
                      <w:r>
                        <w:rPr/>
                      </w:r>
                    </w:p>
                  </w:txbxContent>
                </v:textbox>
              </v:rect>
            </w:pict>
          </mc:Fallback>
        </mc:AlternateContent>
      </w:r>
    </w:p>
    <w:p>
      <w:pPr>
        <w:pStyle w:val="TextBody"/>
        <w:spacing w:lineRule="auto" w:line="288" w:before="0" w:after="0"/>
        <w:rPr/>
      </w:pPr>
      <w:hyperlink w:anchor="i7011061f248747c88de11895562af037_7">
        <w:r>
          <w:rPr>
            <w:rStyle w:val="InternetLink"/>
          </w:rPr>
          <w:t xml:space="preserve">Table of </w:t>
        </w:r>
      </w:hyperlink>
      <w:hyperlink w:anchor="i7011061f248747c88de11895562af037_7">
        <w:r>
          <w:rPr>
            <w:rStyle w:val="InternetLink"/>
          </w:rPr>
          <w:t>Contents</w:t>
        </w:r>
      </w:hyperlink>
    </w:p>
    <w:p>
      <w:pPr>
        <w:pStyle w:val="TextBody"/>
        <w:spacing w:lineRule="auto" w:line="288" w:before="0" w:after="0"/>
        <w:ind w:left="0" w:right="0" w:firstLine="720"/>
        <w:jc w:val="both"/>
        <w:rPr/>
      </w:pPr>
      <w:r>
        <w:rPr>
          <w:rFonts w:ascii="Times New Roman;sans-serif" w:hAnsi="Times New Roman;sans-serif"/>
          <w:b w:val="false"/>
          <w:color w:val="000000"/>
          <w:sz w:val="20"/>
        </w:rPr>
        <w:t>See Note 7—</w:t>
      </w:r>
      <w:hyperlink w:anchor="i7011061f248747c88de11895562af037_58">
        <w:r>
          <w:rPr>
            <w:rStyle w:val="InternetLink"/>
            <w:rFonts w:ascii="Times New Roman;sans-serif" w:hAnsi="Times New Roman;sans-serif"/>
            <w:b w:val="false"/>
            <w:color w:val="0000FF"/>
            <w:sz w:val="20"/>
            <w:u w:val="single"/>
          </w:rPr>
          <w:t>Debt</w:t>
        </w:r>
      </w:hyperlink>
      <w:r>
        <w:rPr>
          <w:color w:val="000000"/>
        </w:rPr>
        <w:t xml:space="preserve"> </w:t>
      </w:r>
      <w:r>
        <w:rPr>
          <w:rFonts w:ascii="Times New Roman;sans-serif" w:hAnsi="Times New Roman;sans-serif"/>
          <w:b w:val="false"/>
          <w:color w:val="000000"/>
          <w:sz w:val="20"/>
        </w:rPr>
        <w:t>of the condensed notes to the consolidated financial statements included elsewhere in this report for further details regarding outstanding borrowings.</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i/>
          <w:color w:val="000000"/>
          <w:sz w:val="20"/>
        </w:rPr>
        <w:t xml:space="preserve">Provision for (Benefit from) Income Taxes. </w:t>
      </w:r>
      <w:r>
        <w:rPr>
          <w:rFonts w:ascii="Times New Roman;sans-serif" w:hAnsi="Times New Roman;sans-serif"/>
          <w:b w:val="false"/>
          <w:color w:val="000000"/>
          <w:sz w:val="20"/>
        </w:rPr>
        <w:t>The following table shows the provision for (benefit from) income taxes for the three months ended March 31, 2023 and 2022:</w:t>
      </w:r>
    </w:p>
    <w:p>
      <w:pPr>
        <w:pStyle w:val="TextBody"/>
        <w:spacing w:before="0" w:after="0"/>
        <w:ind w:left="0" w:right="0" w:firstLine="720"/>
        <w:jc w:val="both"/>
        <w:rPr/>
      </w:pPr>
      <w:r>
        <w:rPr/>
      </w:r>
    </w:p>
    <w:tbl>
      <w:tblPr>
        <w:tblW w:w="6059" w:type="dxa"/>
        <w:jc w:val="left"/>
        <w:tblInd w:w="0" w:type="dxa"/>
        <w:tblCellMar>
          <w:top w:w="28" w:type="dxa"/>
          <w:left w:w="28" w:type="dxa"/>
          <w:bottom w:w="28" w:type="dxa"/>
          <w:right w:w="28" w:type="dxa"/>
        </w:tblCellMar>
      </w:tblPr>
      <w:tblGrid>
        <w:gridCol w:w="1243"/>
        <w:gridCol w:w="1091"/>
        <w:gridCol w:w="1101"/>
        <w:gridCol w:w="285"/>
        <w:gridCol w:w="629"/>
        <w:gridCol w:w="147"/>
        <w:gridCol w:w="147"/>
        <w:gridCol w:w="147"/>
        <w:gridCol w:w="147"/>
        <w:gridCol w:w="285"/>
        <w:gridCol w:w="629"/>
        <w:gridCol w:w="208"/>
      </w:tblGrid>
      <w:tr>
        <w:trPr/>
        <w:tc>
          <w:tcPr>
            <w:tcW w:w="1243"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4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0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The change in our income tax provision for the three months ended March 31, 2023 compared to the same period in 2022 was primarily due to the decrease in pre-tax income which resulted largely from the changes in revenues from oil, natural gas and natural gas liquids discussed above. See Note 10—</w:t>
      </w:r>
      <w:hyperlink w:anchor="i7011061f248747c88de11895562af037_67">
        <w:r>
          <w:rPr>
            <w:rStyle w:val="InternetLink"/>
            <w:rFonts w:ascii="Times New Roman;sans-serif" w:hAnsi="Times New Roman;sans-serif"/>
            <w:b w:val="false"/>
            <w:color w:val="0000FF"/>
            <w:sz w:val="20"/>
            <w:u w:val="single"/>
          </w:rPr>
          <w:t>Income Taxes</w:t>
        </w:r>
      </w:hyperlink>
      <w:r>
        <w:rPr>
          <w:color w:val="000000"/>
        </w:rPr>
        <w:t xml:space="preserve"> </w:t>
      </w:r>
      <w:r>
        <w:rPr>
          <w:rFonts w:ascii="Times New Roman;sans-serif" w:hAnsi="Times New Roman;sans-serif"/>
          <w:b w:val="false"/>
          <w:color w:val="000000"/>
          <w:sz w:val="20"/>
        </w:rPr>
        <w:t xml:space="preserve">of the condensed notes to the consolidated financial statements included elsewhere in this report for further discussion of our income tax expense. </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spacing w:before="0" w:after="0"/>
        <w:jc w:val="both"/>
        <w:rPr/>
      </w:pPr>
      <w:r>
        <w:rPr/>
      </w:r>
    </w:p>
    <w:p>
      <w:pPr>
        <w:pStyle w:val="TextBody"/>
        <w:spacing w:lineRule="auto" w:line="256" w:before="0" w:after="0"/>
        <w:jc w:val="both"/>
        <w:rPr>
          <w:rFonts w:ascii="Times New Roman;sans-serif" w:hAnsi="Times New Roman;sans-serif"/>
          <w:b/>
          <w:i/>
          <w:color w:val="000000"/>
          <w:sz w:val="20"/>
        </w:rPr>
      </w:pPr>
      <w:r>
        <w:rPr>
          <w:rFonts w:ascii="Times New Roman;sans-serif" w:hAnsi="Times New Roman;sans-serif"/>
          <w:b/>
          <w:i/>
          <w:color w:val="000000"/>
          <w:sz w:val="20"/>
        </w:rPr>
        <w:t>Overview of Sources and Uses of Cash</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our primary sources of liquidity include cash flows from operations, proceeds from our public equity offerings, borrowings under our revolving credit facility, proceeds from the issuance of senior notes and sales of non-core assets. Our primary uses of capital have been for the acquisition, development and exploration of oil and natural gas properties. At March 31, 2023, we had approximately $1.0 billion of liquidity consisting of $37 million in standalone cash and cash equivalents and $1.0 billion available under our credit facility. As discussed below, our capital budget for 2023 is $2.50 billion to $2.70 billion. We have approximately $10 million of senior notes which matured and were redeemed on May 1, 2023.</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 xml:space="preserve">Future cash flows are subject to a number of variables, including the level of oil and natural gas production, volatility of commodity prices, and significant additional capital expenditures will be required to more fully develop our properties. Prices for our commodities are determined primarily by prevailing market conditions, regional and worldwide economic activity, weather and other substantially variable factors. These factors are beyond our control and are difficult to predict. See </w:t>
      </w:r>
      <w:r>
        <w:fldChar w:fldCharType="begin"/>
      </w:r>
      <w:r>
        <w:rPr>
          <w:rStyle w:val="InternetLink"/>
          <w:sz w:val="20"/>
          <w:u w:val="single"/>
          <w:b w:val="false"/>
          <w:rFonts w:ascii="Times New Roman;sans-serif" w:hAnsi="Times New Roman;sans-serif"/>
        </w:rPr>
        <w:instrText> HYPERLINK "http://www.sec.gov/ix?doc=/Archives/edgar/data/1539838/000153983823000022/fang-20221231.htm" \l "ia595866015b4400388c840bd76dbe1a1_25"</w:instrText>
      </w:r>
      <w:r>
        <w:rPr>
          <w:rStyle w:val="InternetLink"/>
          <w:sz w:val="20"/>
          <w:u w:val="single"/>
          <w:b w:val="false"/>
          <w:rFonts w:ascii="Times New Roman;sans-serif" w:hAnsi="Times New Roman;sans-serif"/>
        </w:rPr>
        <w:fldChar w:fldCharType="separate"/>
      </w:r>
      <w:r>
        <w:rPr>
          <w:rStyle w:val="InternetLink"/>
          <w:rFonts w:ascii="Times New Roman;sans-serif" w:hAnsi="Times New Roman;sans-serif"/>
          <w:b w:val="false"/>
          <w:color w:val="0000FF"/>
          <w:sz w:val="20"/>
          <w:u w:val="single"/>
        </w:rPr>
        <w:t>Part I, Item 1A. Risk Factors in our Annual Report on Form 10-K</w:t>
      </w:r>
      <w:r>
        <w:rPr>
          <w:rStyle w:val="InternetLink"/>
          <w:sz w:val="20"/>
          <w:u w:val="single"/>
          <w:b w:val="false"/>
          <w:rFonts w:ascii="Times New Roman;sans-serif" w:hAnsi="Times New Roman;sans-serif"/>
        </w:rPr>
        <w:fldChar w:fldCharType="end"/>
      </w:r>
      <w:r>
        <w:rPr>
          <w:color w:val="000000"/>
        </w:rPr>
        <w:t xml:space="preserve"> </w:t>
      </w:r>
      <w:r>
        <w:rPr>
          <w:rFonts w:ascii="Times New Roman;sans-serif" w:hAnsi="Times New Roman;sans-serif"/>
          <w:b w:val="false"/>
          <w:color w:val="000000"/>
          <w:sz w:val="20"/>
        </w:rPr>
        <w:t>for the year ended December 31, 2022. In order to mitigate this volatility, we enter into derivative contracts with a number of financial institutions, all of which are participants in our credit facility, to economically hedge a portion of our estimated future crude oil and natural gas production through the end of 2023 as discussed further in Note 11—</w:t>
      </w:r>
      <w:hyperlink w:anchor="i7011061f248747c88de11895562af037_70">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 xml:space="preserve">of the condensed notes to the consolidated financial statements and </w:t>
      </w:r>
      <w:hyperlink w:anchor="i7011061f248747c88de11895562af037_133">
        <w:r>
          <w:rPr>
            <w:rStyle w:val="InternetLink"/>
            <w:rFonts w:ascii="Times New Roman;sans-serif" w:hAnsi="Times New Roman;sans-serif"/>
            <w:b w:val="false"/>
            <w:color w:val="0000FF"/>
            <w:sz w:val="20"/>
            <w:u w:val="single"/>
          </w:rPr>
          <w:t>Item 3. Quantitative and Qualitative Disclosures About Market Risk—Commodity Price Risk</w:t>
        </w:r>
      </w:hyperlink>
      <w:r>
        <w:rPr>
          <w:color w:val="000000"/>
        </w:rPr>
        <w:t xml:space="preserve"> </w:t>
      </w:r>
      <w:r>
        <w:rPr>
          <w:rFonts w:ascii="Times New Roman;sans-serif" w:hAnsi="Times New Roman;sans-serif"/>
          <w:b w:val="false"/>
          <w:color w:val="000000"/>
          <w:sz w:val="20"/>
        </w:rPr>
        <w:t>included elsewhere in this report. The level of our hedging activity and duration of the financial instruments employed depend on our desired cash flow protection, available hedge prices, the magnitude of our capital program and our operating strategy.</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Cash Flow </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flows for the three months ended March 31, 2023 and 2022 are presented below: </w:t>
      </w:r>
    </w:p>
    <w:tbl>
      <w:tblPr>
        <w:tblW w:w="6834" w:type="dxa"/>
        <w:jc w:val="left"/>
        <w:tblInd w:w="0" w:type="dxa"/>
        <w:tblCellMar>
          <w:top w:w="28" w:type="dxa"/>
          <w:left w:w="28" w:type="dxa"/>
          <w:bottom w:w="28" w:type="dxa"/>
          <w:right w:w="28" w:type="dxa"/>
        </w:tblCellMar>
      </w:tblPr>
      <w:tblGrid>
        <w:gridCol w:w="1524"/>
        <w:gridCol w:w="1340"/>
        <w:gridCol w:w="1350"/>
        <w:gridCol w:w="246"/>
        <w:gridCol w:w="720"/>
        <w:gridCol w:w="127"/>
        <w:gridCol w:w="127"/>
        <w:gridCol w:w="127"/>
        <w:gridCol w:w="127"/>
        <w:gridCol w:w="246"/>
        <w:gridCol w:w="720"/>
        <w:gridCol w:w="180"/>
      </w:tblGrid>
      <w:tr>
        <w:trPr/>
        <w:tc>
          <w:tcPr>
            <w:tcW w:w="1524" w:type="dxa"/>
            <w:tcBorders/>
            <w:shd w:fill="auto" w:val="clear"/>
            <w:vAlign w:val="center"/>
          </w:tcPr>
          <w:p>
            <w:pPr>
              <w:pStyle w:val="TableContents"/>
              <w:spacing w:before="0" w:after="283"/>
              <w:rPr>
                <w:sz w:val="4"/>
                <w:szCs w:val="4"/>
              </w:rPr>
            </w:pPr>
            <w:r>
              <w:rPr>
                <w:sz w:val="4"/>
                <w:szCs w:val="4"/>
              </w:rPr>
            </w:r>
          </w:p>
        </w:tc>
        <w:tc>
          <w:tcPr>
            <w:tcW w:w="1340" w:type="dxa"/>
            <w:tcBorders/>
            <w:shd w:fill="auto" w:val="clear"/>
            <w:vAlign w:val="center"/>
          </w:tcPr>
          <w:p>
            <w:pPr>
              <w:pStyle w:val="TableContents"/>
              <w:spacing w:before="0" w:after="283"/>
              <w:rPr>
                <w:sz w:val="4"/>
                <w:szCs w:val="4"/>
              </w:rPr>
            </w:pPr>
            <w:r>
              <w:rPr>
                <w:sz w:val="4"/>
                <w:szCs w:val="4"/>
              </w:rPr>
            </w:r>
          </w:p>
        </w:tc>
        <w:tc>
          <w:tcPr>
            <w:tcW w:w="1350"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4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Operating Activities </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cash flow is sensitive to many variables, the most significant of which is the volatility of prices for the oil and natural gas we produce. Prices for these commodities are determined primarily by prevailing market conditions. Regional and worldwide economic activity, weather and other substantially variable factors influence market conditions for these products. These factors are beyond our control and are difficult to predict. </w:t>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51155"/>
                <wp:effectExtent l="0" t="0" r="0" b="0"/>
                <wp:wrapNone/>
                <wp:docPr id="39" name="Frame39"/>
                <a:graphic xmlns:a="http://schemas.openxmlformats.org/drawingml/2006/main">
                  <a:graphicData uri="http://schemas.microsoft.com/office/word/2010/wordprocessingShape">
                    <wps:wsp>
                      <wps:cNvSpPr txBox="1"/>
                      <wps:spPr>
                        <a:xfrm>
                          <a:off x="0" y="0"/>
                          <a:ext cx="6480175" cy="35115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spacing w:before="0" w:after="0"/>
                        <w:rPr/>
                      </w:pPr>
                      <w:r>
                        <w:rPr/>
                      </w:r>
                    </w:p>
                  </w:txbxContent>
                </v:textbox>
              </v:rect>
            </w:pict>
          </mc:Fallback>
        </mc:AlternateContent>
      </w:r>
    </w:p>
    <w:p>
      <w:pPr>
        <w:pStyle w:val="TextBody"/>
        <w:spacing w:lineRule="auto" w:line="288" w:before="0" w:after="0"/>
        <w:rPr/>
      </w:pPr>
      <w:hyperlink w:anchor="i7011061f248747c88de11895562af037_7">
        <w:r>
          <w:rPr>
            <w:rStyle w:val="InternetLink"/>
          </w:rPr>
          <w:t xml:space="preserve">Table of </w:t>
        </w:r>
      </w:hyperlink>
      <w:hyperlink w:anchor="i7011061f248747c88de11895562af037_7">
        <w:r>
          <w:rPr>
            <w:rStyle w:val="InternetLink"/>
          </w:rPr>
          <w:t>Contents</w:t>
        </w:r>
      </w:hyperlink>
    </w:p>
    <w:p>
      <w:pPr>
        <w:pStyle w:val="TextBody"/>
        <w:spacing w:lineRule="auto" w:line="288" w:before="0" w:after="0"/>
        <w:ind w:left="0" w:right="0" w:firstLine="720"/>
        <w:jc w:val="both"/>
        <w:rPr/>
      </w:pPr>
      <w:r>
        <w:rPr>
          <w:rFonts w:ascii="Times New Roman;sans-serif" w:hAnsi="Times New Roman;sans-serif"/>
          <w:b w:val="false"/>
          <w:color w:val="000000"/>
          <w:sz w:val="20"/>
        </w:rPr>
        <w:t>The increase in operating cash flows for the three months ended March 31, 2023 compared to the same period in 2022 primarily resulted from (i) a reduction of $421 million in net cash paid on settlements of derivative contracts and (ii) fluctuations in other working capital balances due primarily to the timing of when collections were made on accounts receivable. These cash inflows were partially offset by (i) a decrease of $483 million in total revenue and (ii) an increase in our cash operating expenses of approximately $66 million. See “</w:t>
      </w:r>
      <w:r>
        <w:rPr>
          <w:color w:val="000000"/>
        </w:rPr>
        <w:t>—</w:t>
      </w:r>
      <w:hyperlink w:anchor="i7011061f248747c88de11895562af037_94">
        <w:r>
          <w:rPr>
            <w:rStyle w:val="InternetLink"/>
            <w:rFonts w:ascii="Times New Roman;sans-serif" w:hAnsi="Times New Roman;sans-serif"/>
            <w:b w:val="false"/>
            <w:i/>
            <w:color w:val="0000FF"/>
            <w:sz w:val="20"/>
            <w:u w:val="single"/>
          </w:rPr>
          <w:t>Results of Operations</w:t>
        </w:r>
      </w:hyperlink>
      <w:r>
        <w:rPr>
          <w:color w:val="000000"/>
        </w:rPr>
        <w:t xml:space="preserve">” </w:t>
      </w:r>
      <w:r>
        <w:rPr>
          <w:rFonts w:ascii="Times New Roman;sans-serif" w:hAnsi="Times New Roman;sans-serif"/>
          <w:b w:val="false"/>
          <w:color w:val="000000"/>
          <w:sz w:val="20"/>
        </w:rPr>
        <w:t>for discussion of significant changes in our revenues and expenses.</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Investing Activities </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The majority of our net cash used for investing activities during the three months ended March 31, 2023 and 2022 was for drilling and completion costs in conjunction with our development program as well as the purchase of oil and gas properties including the Lario Acquisition, which are discussed further in Note 4—</w:t>
      </w:r>
      <w:hyperlink w:anchor="i7011061f248747c88de11895562af037_49">
        <w:r>
          <w:rPr>
            <w:rStyle w:val="InternetLink"/>
            <w:rFonts w:ascii="Times New Roman;sans-serif" w:hAnsi="Times New Roman;sans-serif"/>
            <w:b w:val="false"/>
            <w:color w:val="0000FF"/>
            <w:sz w:val="20"/>
            <w:u w:val="single"/>
          </w:rPr>
          <w:t>Acquisitions and Divestitures</w:t>
        </w:r>
      </w:hyperlink>
      <w:r>
        <w:rPr>
          <w:color w:val="000000"/>
        </w:rPr>
        <w:t xml:space="preserve"> </w:t>
      </w:r>
      <w:r>
        <w:rPr>
          <w:rFonts w:ascii="Times New Roman;sans-serif" w:hAnsi="Times New Roman;sans-serif"/>
          <w:b w:val="false"/>
          <w:color w:val="000000"/>
          <w:sz w:val="20"/>
        </w:rPr>
        <w:t xml:space="preserve">of the condensed notes to the consolidated financial statements included elsewhere in this report.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Expenditure Activities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capital expenditures excluding acquisitions and equity method investments (on a cash basis) were as follows for the specified period:</w:t>
      </w:r>
    </w:p>
    <w:tbl>
      <w:tblPr>
        <w:tblW w:w="9538" w:type="dxa"/>
        <w:jc w:val="left"/>
        <w:tblInd w:w="0" w:type="dxa"/>
        <w:tblCellMar>
          <w:top w:w="28" w:type="dxa"/>
          <w:left w:w="28" w:type="dxa"/>
          <w:bottom w:w="28" w:type="dxa"/>
          <w:right w:w="28" w:type="dxa"/>
        </w:tblCellMar>
      </w:tblPr>
      <w:tblGrid>
        <w:gridCol w:w="2504"/>
        <w:gridCol w:w="2199"/>
        <w:gridCol w:w="2211"/>
        <w:gridCol w:w="285"/>
        <w:gridCol w:w="629"/>
        <w:gridCol w:w="147"/>
        <w:gridCol w:w="147"/>
        <w:gridCol w:w="147"/>
        <w:gridCol w:w="147"/>
        <w:gridCol w:w="285"/>
        <w:gridCol w:w="629"/>
        <w:gridCol w:w="208"/>
      </w:tblGrid>
      <w:tr>
        <w:trPr/>
        <w:tc>
          <w:tcPr>
            <w:tcW w:w="2504" w:type="dxa"/>
            <w:tcBorders/>
            <w:shd w:fill="auto" w:val="clear"/>
            <w:vAlign w:val="center"/>
          </w:tcPr>
          <w:p>
            <w:pPr>
              <w:pStyle w:val="TableContents"/>
              <w:spacing w:before="0" w:after="283"/>
              <w:rPr>
                <w:sz w:val="4"/>
                <w:szCs w:val="4"/>
              </w:rPr>
            </w:pPr>
            <w:r>
              <w:rPr>
                <w:sz w:val="4"/>
                <w:szCs w:val="4"/>
              </w:rPr>
            </w:r>
          </w:p>
        </w:tc>
        <w:tc>
          <w:tcPr>
            <w:tcW w:w="2199" w:type="dxa"/>
            <w:tcBorders/>
            <w:shd w:fill="auto" w:val="clear"/>
            <w:vAlign w:val="center"/>
          </w:tcPr>
          <w:p>
            <w:pPr>
              <w:pStyle w:val="TableContents"/>
              <w:spacing w:before="0" w:after="283"/>
              <w:rPr>
                <w:sz w:val="4"/>
                <w:szCs w:val="4"/>
              </w:rPr>
            </w:pPr>
            <w:r>
              <w:rPr>
                <w:sz w:val="4"/>
                <w:szCs w:val="4"/>
              </w:rPr>
            </w:r>
          </w:p>
        </w:tc>
        <w:tc>
          <w:tcPr>
            <w:tcW w:w="2211"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r>
      <w:tr>
        <w:trPr/>
        <w:tc>
          <w:tcPr>
            <w:tcW w:w="6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6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91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Drilling, completions and non-operated additions to oil and natural gas properties</w:t>
            </w:r>
            <w:r>
              <w:rPr>
                <w:rFonts w:ascii="Times New Roman;sans-serif" w:hAnsi="Times New Roman;sans-serif"/>
                <w:b w:val="false"/>
                <w:color w:val="000000"/>
                <w:sz w:val="13"/>
              </w:rPr>
              <w:t>(1)</w:t>
            </w:r>
          </w:p>
        </w:tc>
        <w:tc>
          <w:tcPr>
            <w:tcW w:w="28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Infrastructure additions to oil and natural gas properties</w:t>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midstream assets</w:t>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pPr>
      <w:r>
        <w:rPr>
          <w:rFonts w:ascii="Times New Roman;sans-serif" w:hAnsi="Times New Roman;sans-serif"/>
          <w:b w:val="false"/>
          <w:color w:val="000000"/>
          <w:sz w:val="20"/>
        </w:rPr>
        <w:t>(1) See “—</w:t>
      </w:r>
      <w:hyperlink w:anchor="i7011061f248747c88de11895562af037_91">
        <w:r>
          <w:rPr>
            <w:rStyle w:val="InternetLink"/>
            <w:rFonts w:ascii="Times New Roman;sans-serif" w:hAnsi="Times New Roman;sans-serif"/>
            <w:b w:val="false"/>
            <w:i/>
            <w:color w:val="0000FF"/>
            <w:sz w:val="20"/>
            <w:u w:val="single"/>
          </w:rPr>
          <w:t>Recent Developments - Upstream Segment</w:t>
        </w:r>
      </w:hyperlink>
      <w:r>
        <w:rPr>
          <w:color w:val="000000"/>
        </w:rPr>
        <w:t xml:space="preserve">” </w:t>
      </w:r>
      <w:r>
        <w:rPr>
          <w:rFonts w:ascii="Times New Roman;sans-serif" w:hAnsi="Times New Roman;sans-serif"/>
          <w:b w:val="false"/>
          <w:color w:val="000000"/>
          <w:sz w:val="20"/>
        </w:rPr>
        <w:t>above for additional detail on wells drilled and turned to production during the three and three months ended March 31, 2023 and 2022.</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net cash used in financing activities was primarily attributable to (i) $707 million in borrowings under credit facilities, net of repayments, (ii) $542 million of dividends paid to stockholders, (iii) $366 million of repurchases as part of the share and unit repurchase programs, and (iv) $34 million in distributions to non-controlling interest.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for the three months ended March 31, 2022 of $1.0 billion was primarily attributable to (i) $1.5 billion paid for the repurchase of principal outstanding on certain senior notes, as well as $47 million of additional premiums paid in connection with the repurchases, (ii) $107 million of dividends paid to stockholders, (iii) $47 million in distributions to non-controlling interests, and (iv) $49 million of repurchases as part of the share and unit repurchase programs, and (v) $21 million of repayments under credit facilities, net of borrowings. These cash outflows were partially offset by $750 million in proceeds from issuance of the senior notes in March 2022.</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Capital Resources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working capital requirements are supported by our cash and cash equivalents and available borrowings under our revolving credit facility. We may draw on our revolving credit facility to meet short-term cash requirements, or issue debt or equity securities as part of our longer-term liquidity and capital management program. Because of the alternatives available to us, we believe that our short-term and long-term liquidity are adequate to fund not only our current operations, but also our near-term and long-term capital requirements.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we pursue our business and financial strategy, we regularly consider which capital resources, including cash flow and equity and debt financings, are available to meet our future financial obligations, planned capital expenditure activities and liquidity requirements. Our future ability to grow proved reserves and production will be highly dependent on the capital resources available to us. Continued prolonged volatility in the capital, financial and/or credit markets due to the war in Ukraine, the COVID-19 pandemic and/or adverse macroeconomic conditions may limit our access to, or increase our cost of, capital or make capital unavailable on terms acceptable to us or at all.</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1155"/>
                <wp:effectExtent l="0" t="0" r="0" b="0"/>
                <wp:wrapNone/>
                <wp:docPr id="40" name="Frame40"/>
                <a:graphic xmlns:a="http://schemas.openxmlformats.org/drawingml/2006/main">
                  <a:graphicData uri="http://schemas.microsoft.com/office/word/2010/wordprocessingShape">
                    <wps:wsp>
                      <wps:cNvSpPr txBox="1"/>
                      <wps:spPr>
                        <a:xfrm>
                          <a:off x="0" y="0"/>
                          <a:ext cx="6480175" cy="35115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spacing w:before="0" w:after="0"/>
                        <w:rPr/>
                      </w:pPr>
                      <w:r>
                        <w:rPr/>
                      </w:r>
                    </w:p>
                  </w:txbxContent>
                </v:textbox>
              </v:rect>
            </w:pict>
          </mc:Fallback>
        </mc:AlternateContent>
      </w:r>
    </w:p>
    <w:p>
      <w:pPr>
        <w:pStyle w:val="TextBody"/>
        <w:spacing w:lineRule="auto" w:line="288" w:before="0" w:after="0"/>
        <w:rPr/>
      </w:pPr>
      <w:hyperlink w:anchor="i7011061f248747c88de11895562af037_7">
        <w:r>
          <w:rPr>
            <w:rStyle w:val="InternetLink"/>
          </w:rPr>
          <w:t xml:space="preserve">Table of </w:t>
        </w:r>
      </w:hyperlink>
      <w:hyperlink w:anchor="i7011061f248747c88de11895562af037_7">
        <w:r>
          <w:rPr>
            <w:rStyle w:val="InternetLink"/>
          </w:rPr>
          <w:t>Contents</w:t>
        </w:r>
      </w:hyperlink>
    </w:p>
    <w:p>
      <w:pPr>
        <w:pStyle w:val="TextBody"/>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Revolving Credit Facilities and Other Debt Instruments </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our debt, including the debt of Viper, consisted of approximately $6.3 billion in aggregate outstanding principal amount of senior notes, and $859 million in aggregate outstanding borrowings under revolving credit facilities. </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 maximum credit amount available under our credit agreement was $1.6 billion, with $589 million in outstanding borrowings and approximately $1.0 billion available for future borrowings. In April 2023, we elected to extend the maturity date of our revolving credit facility from June 2, 2027 to June 2, 2028 and received the requisite consent of lenders thereunder, which will further improve our long-term liquidity position. The maturity date extension is expected to be effective on June 2, 2023, subject to certain customary closing deliverables and conditions.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Viper’s Credit Agreement </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Viper credit agreement, as amended to date, matures on June 2, 2025 and provides for a revolving credit facility in the maximum credit amount of $2.0 billion, with a borrowing base of $580 million as of March 31, 2023, although Viper LLC had elected a commitment amount of $500 million, based on Viper LLC’s oil and natural gas reserves and other factors. As of March 31, 2023, there were $270 million of outstanding borrowings and $230 million available for future borrowings under the Viper credit agreement. </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For additional discussion of our outstanding debt as of March 31, 2023, see Note 7—</w:t>
      </w:r>
      <w:hyperlink w:anchor="i7011061f248747c88de11895562af037_58">
        <w:r>
          <w:rPr>
            <w:rStyle w:val="InternetLink"/>
            <w:rFonts w:ascii="Times New Roman;sans-serif" w:hAnsi="Times New Roman;sans-serif"/>
            <w:b w:val="false"/>
            <w:color w:val="0000FF"/>
            <w:sz w:val="20"/>
            <w:u w:val="single"/>
          </w:rPr>
          <w:t>Debt</w:t>
        </w:r>
      </w:hyperlink>
      <w:r>
        <w:rPr>
          <w:color w:val="000000"/>
        </w:rPr>
        <w:t xml:space="preserve"> </w:t>
      </w:r>
      <w:r>
        <w:rPr>
          <w:rFonts w:ascii="Times New Roman;sans-serif" w:hAnsi="Times New Roman;sans-serif"/>
          <w:b w:val="false"/>
          <w:color w:val="000000"/>
          <w:sz w:val="20"/>
        </w:rPr>
        <w:t>of the condensed notes to the consolidated financial statements included elsewhere in this report.</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Capital Requirements</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 xml:space="preserve">In addition to future operating expenses and working capital commitments discussed in </w:t>
      </w:r>
      <w:r>
        <w:rPr>
          <w:color w:val="000000"/>
        </w:rPr>
        <w:t>—</w:t>
      </w:r>
      <w:hyperlink w:anchor="i7011061f248747c88de11895562af037_94">
        <w:r>
          <w:rPr>
            <w:rStyle w:val="InternetLink"/>
            <w:rFonts w:ascii="Times New Roman;sans-serif" w:hAnsi="Times New Roman;sans-serif"/>
            <w:b w:val="false"/>
            <w:i/>
            <w:color w:val="0000FF"/>
            <w:sz w:val="20"/>
            <w:u w:val="single"/>
          </w:rPr>
          <w:t>Results of Operations</w:t>
        </w:r>
      </w:hyperlink>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 xml:space="preserve">our primary short and long-term liquidity requirements consist primarily of (i) capital expenditures, (ii) payments of principal and interest on our revolving credit agreements and senior notes, (iii) payments of other contractual obligations and (iv) cash used to pay for dividends and repurchases of securities as discussed below.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2023 Capital Spending Plan</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approved a 2023 capital budget for drilling, midstream and infrastructure of approximately $2.5 billion to $2.7 billion. We estimate that, of these expenditures, approximately:</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$2.25 billion to $2.41 billion will be spent primarily on drilling 325 to 345 gross (293 to 311 net) horizontal wells and completing 330 to 350 gross (297 to 315 net) horizontal wells across our operated and non-operated leasehold acreage in the Northern Midland and Southern Delaware Basins, with an average lateral length of approximately 10,500 feet; </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Approximately $80 million to $100 million will be spent on midstream infrastructure, excluding joint venture investments; and</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Approximately $170 million to $190 million will be spent on infrastructure and environmental expenditures, excluding the cost of any leasehold and mineral interest acquisitions.</w:t>
      </w:r>
    </w:p>
    <w:p>
      <w:pPr>
        <w:pStyle w:val="TextBody"/>
        <w:spacing w:before="0" w:after="0"/>
        <w:jc w:val="both"/>
        <w:rPr/>
      </w:pPr>
      <w:r>
        <w:rPr/>
      </w:r>
    </w:p>
    <w:p>
      <w:pPr>
        <w:pStyle w:val="TextBody"/>
        <w:spacing w:lineRule="auto" w:line="288" w:before="0" w:after="0"/>
        <w:jc w:val="both"/>
        <w:rPr>
          <w:color w:val="000000"/>
        </w:rPr>
      </w:pPr>
      <w:r>
        <w:rPr>
          <w:color w:val="000000"/>
        </w:rPr>
        <w:t>    </w:t>
      </w:r>
      <w:r>
        <w:rPr>
          <w:rFonts w:ascii="Times New Roman;sans-serif" w:hAnsi="Times New Roman;sans-serif"/>
          <w:b w:val="false"/>
          <w:color w:val="000000"/>
          <w:sz w:val="20"/>
        </w:rPr>
        <w:t xml:space="preserve">We do not have a specific acquisition budget since the timing and size of acquisitions cannot be accurately forecasted. </w:t>
      </w:r>
    </w:p>
    <w:p>
      <w:pPr>
        <w:pStyle w:val="TextBody"/>
        <w:spacing w:before="0" w:after="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amount and timing of our capital expenditures are largely discretionary and within our control. We could choose to defer a portion of these planned capital expenditures depending on a variety of factors, including but not limited to the success of our drilling activities, prevailing and anticipated prices for oil and natural gas, the availability of necessary equipment, infrastructure and capital, the receipt and timing of required regulatory permits and approvals, seasonal conditions, drilling and acquisition costs and the level of participation by other interest owners. We are currently operating 17 drilling rigs and six completion crews. We will continue monitoring commodity prices and overall market conditions and can adjust our rig cadence and our capital expenditure budget in response to changes in commodity prices and overall market conditions.</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Dividends and Repurchases of Securities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base dividend program, in the first quarter of 2022 we initiated a variable dividend strategy whereby we may pay a quarterly variable dividend based on the prior quarter’s free cash flow remaining after the payment of the base dividend and any stock repurchases. Beginning in the third quarter of 2022, our board of directors approved an increase to this return of capital commitment to at least 75% of free cash flow. On February 16, 2023, our board of directors approved an </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1155"/>
                <wp:effectExtent l="0" t="0" r="0" b="0"/>
                <wp:wrapNone/>
                <wp:docPr id="41" name="Frame41"/>
                <a:graphic xmlns:a="http://schemas.openxmlformats.org/drawingml/2006/main">
                  <a:graphicData uri="http://schemas.microsoft.com/office/word/2010/wordprocessingShape">
                    <wps:wsp>
                      <wps:cNvSpPr txBox="1"/>
                      <wps:spPr>
                        <a:xfrm>
                          <a:off x="0" y="0"/>
                          <a:ext cx="6480175" cy="35115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spacing w:before="0" w:after="0"/>
                        <w:rPr/>
                      </w:pPr>
                      <w:r>
                        <w:rPr/>
                      </w:r>
                    </w:p>
                  </w:txbxContent>
                </v:textbox>
              </v:rect>
            </w:pict>
          </mc:Fallback>
        </mc:AlternateContent>
      </w:r>
    </w:p>
    <w:p>
      <w:pPr>
        <w:pStyle w:val="TextBody"/>
        <w:spacing w:lineRule="auto" w:line="288" w:before="0" w:after="0"/>
        <w:rPr/>
      </w:pPr>
      <w:hyperlink w:anchor="i7011061f248747c88de11895562af037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increase to the Company’s annual base dividend to $3.20 per share. We have declared a base dividend plus variable cash dividend for the first quarter of 2023 of $0.83 per share of common stock. </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Free cash flow is a non-GAAP financial measure. As used by the Company, free cash flow is defined as cash flow from operating activities before changes in working capital in excess of cash capital expenditures. The Company believes that free cash flow is useful to investors as it provides a measure to compare both cash flow from operating activities and additions to oil and natural gas properties across periods on a consistent basis.</w:t>
      </w:r>
    </w:p>
    <w:p>
      <w:pPr>
        <w:pStyle w:val="TextBody"/>
        <w:spacing w:before="0" w:after="0"/>
        <w:ind w:left="0" w:right="0" w:firstLine="72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20"/>
        </w:rPr>
        <w:t>As of April 28, 2023, we have repurchased 15.9 million shares of our common stock for a total cost of $1.9 billion since the inception of the stock repurchase program. We intend to continue to purchase shares under this repurchase program opportunistically with available funds primarily from cash flow from operations and liquidity events such as the sale of assets while maintaining sufficient liquidity to fund our capital expenditure programs, however, the stock repurchase program is at the discretion of our board of directors and can be amended, terminated or suspended at any time. See Note 8—</w:t>
      </w:r>
      <w:hyperlink w:anchor="i7011061f248747c88de11895562af037_61">
        <w:r>
          <w:rPr>
            <w:rStyle w:val="InternetLink"/>
            <w:rFonts w:ascii="Times New Roman;sans-serif" w:hAnsi="Times New Roman;sans-serif"/>
            <w:b w:val="false"/>
            <w:color w:val="0000FF"/>
            <w:sz w:val="20"/>
            <w:u w:val="single"/>
          </w:rPr>
          <w:t>Stockholders' Equity and Earnings Per Share</w:t>
        </w:r>
      </w:hyperlink>
      <w:r>
        <w:rPr>
          <w:color w:val="000000"/>
        </w:rPr>
        <w:t xml:space="preserve"> </w:t>
      </w:r>
      <w:r>
        <w:rPr>
          <w:rFonts w:ascii="Times New Roman;sans-serif" w:hAnsi="Times New Roman;sans-serif"/>
          <w:b w:val="false"/>
          <w:color w:val="000000"/>
          <w:sz w:val="20"/>
        </w:rPr>
        <w:t xml:space="preserve">of the condensed notes to the consolidated financial statements included elsewhere in this report. </w:t>
      </w:r>
    </w:p>
    <w:p>
      <w:pPr>
        <w:pStyle w:val="TextBody"/>
        <w:spacing w:before="0" w:after="0"/>
        <w:jc w:val="both"/>
        <w:rPr/>
      </w:pPr>
      <w:r>
        <w:rPr/>
      </w:r>
    </w:p>
    <w:p>
      <w:pPr>
        <w:pStyle w:val="TextBody"/>
        <w:spacing w:lineRule="auto" w:line="276"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We expect our cash tax rate to be 10% to 15% of pre-tax income for the year ended December 31, 2023. See Note 10—</w:t>
      </w:r>
      <w:hyperlink w:anchor="i7011061f248747c88de11895562af037_67">
        <w:r>
          <w:rPr>
            <w:rStyle w:val="InternetLink"/>
            <w:rFonts w:ascii="Times New Roman;sans-serif" w:hAnsi="Times New Roman;sans-serif"/>
            <w:b w:val="false"/>
            <w:color w:val="0000FF"/>
            <w:sz w:val="20"/>
            <w:u w:val="single"/>
          </w:rPr>
          <w:t>Income Taxes</w:t>
        </w:r>
      </w:hyperlink>
      <w:r>
        <w:rPr>
          <w:color w:val="000000"/>
        </w:rPr>
        <w:t xml:space="preserve"> </w:t>
      </w:r>
      <w:r>
        <w:rPr>
          <w:rFonts w:ascii="Times New Roman;sans-serif" w:hAnsi="Times New Roman;sans-serif"/>
          <w:b w:val="false"/>
          <w:color w:val="000000"/>
          <w:sz w:val="20"/>
        </w:rPr>
        <w:t>of the condensed notes to the consolidated financial statements included elsewhere in this report.</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Guarantor Financial Information</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Diamondback E&amp;P is the sole guarantor under the indentures governing the outstanding Guaranteed Senior Notes.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Guarantees are “full and unconditional,” as that term is used in Regulation S-X, Rule 3-10(b)(3), except that such guarantees will be released or terminated in certain circumstances set forth in the indentures governing the Guaranteed Senior Notes, such as, with certain exceptions, (i) in the event Diamondback E&amp;P (or all or substantially all of its assets) is sold or disposed of, (ii) in the event Diamondback E&amp;P ceases to be a guarantor of or otherwise be an obligor under certain other indebtedness, and (iii) in connection with any covenant defeasance, legal defeasance or satisfaction and discharge of the relevant indenture.</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Diamondback E&amp;P’s guarantees of the Guaranteed Senior Notes are senior unsecured obligations and rank senior in right of payment to any of its future subordinated indebtedness, equal in right of payment with all of its existing and future senior indebtedness, including its obligations under its revolving credit facility, and effectively subordinated to any of its existing and future secured indebtedness, to the extent of the value of the collateral securing such indebtedness.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rights of holders of the Guaranteed Senior Notes against Diamondback E&amp;P may be limited under the U.S. Bankruptcy Code or state fraudulent transfer or conveyance law. Each guarantee contains a provision intended to limit Diamondback E&amp;P’s liability to the maximum amount that it could incur without causing the incurrence of obligations under its guarantee to be a fraudulent conveyance. However, there can be no assurance as to what standard a court will apply in making a determination of the maximum liability of Diamondback E&amp;P. Moreover, this provision may not be effective to protect the guarantee from being voided under fraudulent conveyance laws. There is a possibility that the entire guarantee may be set aside, in which case the entire liability may be extinguished.</w:t>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1155"/>
                <wp:effectExtent l="0" t="0" r="0" b="0"/>
                <wp:wrapNone/>
                <wp:docPr id="42" name="Frame42"/>
                <a:graphic xmlns:a="http://schemas.openxmlformats.org/drawingml/2006/main">
                  <a:graphicData uri="http://schemas.microsoft.com/office/word/2010/wordprocessingShape">
                    <wps:wsp>
                      <wps:cNvSpPr txBox="1"/>
                      <wps:spPr>
                        <a:xfrm>
                          <a:off x="0" y="0"/>
                          <a:ext cx="6480175" cy="35115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spacing w:before="0" w:after="0"/>
                        <w:rPr/>
                      </w:pPr>
                      <w:r>
                        <w:rPr/>
                      </w:r>
                    </w:p>
                  </w:txbxContent>
                </v:textbox>
              </v:rect>
            </w:pict>
          </mc:Fallback>
        </mc:AlternateContent>
      </w:r>
    </w:p>
    <w:p>
      <w:pPr>
        <w:pStyle w:val="TextBody"/>
        <w:spacing w:lineRule="auto" w:line="288" w:before="0" w:after="0"/>
        <w:rPr/>
      </w:pPr>
      <w:hyperlink w:anchor="i7011061f248747c88de11895562af037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summarized financial information for Diamondback Energy, Inc., as the parent, and Diamondback E&amp;P, as the guarantor subsidiary, on a combined basis after elimination of (i) intercompany transactions and balances between the parent and the guarantor subsidiary and (ii) equity in earnings from and investments in any subsidiary that is a non-guarantor. The information is presented in accordance with the requirements of Rule 13-01 under the SEC’s Regulation S-X. The financial information may not necessarily be indicative of results of operations or financial position had the guarantor subsidiary operated as an independent entity.</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8036" w:type="dxa"/>
        <w:jc w:val="center"/>
        <w:tblInd w:w="0" w:type="dxa"/>
        <w:tblCellMar>
          <w:top w:w="28" w:type="dxa"/>
          <w:left w:w="28" w:type="dxa"/>
          <w:bottom w:w="28" w:type="dxa"/>
          <w:right w:w="28" w:type="dxa"/>
        </w:tblCellMar>
      </w:tblPr>
      <w:tblGrid>
        <w:gridCol w:w="1749"/>
        <w:gridCol w:w="1538"/>
        <w:gridCol w:w="1542"/>
        <w:gridCol w:w="261"/>
        <w:gridCol w:w="894"/>
        <w:gridCol w:w="135"/>
        <w:gridCol w:w="109"/>
        <w:gridCol w:w="109"/>
        <w:gridCol w:w="109"/>
        <w:gridCol w:w="309"/>
        <w:gridCol w:w="1056"/>
        <w:gridCol w:w="225"/>
      </w:tblGrid>
      <w:tr>
        <w:trPr/>
        <w:tc>
          <w:tcPr>
            <w:tcW w:w="1749" w:type="dxa"/>
            <w:tcBorders/>
            <w:shd w:fill="auto" w:val="clear"/>
            <w:vAlign w:val="center"/>
          </w:tcPr>
          <w:p>
            <w:pPr>
              <w:pStyle w:val="TableContents"/>
              <w:spacing w:before="0" w:after="283"/>
              <w:rPr>
                <w:sz w:val="4"/>
                <w:szCs w:val="4"/>
              </w:rPr>
            </w:pPr>
            <w:r>
              <w:rPr>
                <w:sz w:val="4"/>
                <w:szCs w:val="4"/>
              </w:rPr>
            </w:r>
          </w:p>
        </w:tc>
        <w:tc>
          <w:tcPr>
            <w:tcW w:w="1538" w:type="dxa"/>
            <w:tcBorders/>
            <w:shd w:fill="auto" w:val="clear"/>
            <w:vAlign w:val="center"/>
          </w:tcPr>
          <w:p>
            <w:pPr>
              <w:pStyle w:val="TableContents"/>
              <w:spacing w:before="0" w:after="283"/>
              <w:rPr>
                <w:sz w:val="4"/>
                <w:szCs w:val="4"/>
              </w:rPr>
            </w:pPr>
            <w:r>
              <w:rPr>
                <w:sz w:val="4"/>
                <w:szCs w:val="4"/>
              </w:rPr>
            </w:r>
          </w:p>
        </w:tc>
        <w:tc>
          <w:tcPr>
            <w:tcW w:w="1542"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4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48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Summarized Balance Sheets:</w:t>
            </w:r>
          </w:p>
        </w:tc>
        <w:tc>
          <w:tcPr>
            <w:tcW w:w="320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8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2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6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29"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6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19,975 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18,252 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26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12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26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Intercompany accounts payable, non-guarantor subsidiary</w:t>
            </w:r>
          </w:p>
        </w:tc>
        <w:tc>
          <w:tcPr>
            <w:tcW w:w="26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26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6,240 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5,647 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26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6104" w:type="dxa"/>
        <w:jc w:val="center"/>
        <w:tblInd w:w="0" w:type="dxa"/>
        <w:tblCellMar>
          <w:top w:w="28" w:type="dxa"/>
          <w:left w:w="28" w:type="dxa"/>
          <w:bottom w:w="28" w:type="dxa"/>
          <w:right w:w="28" w:type="dxa"/>
        </w:tblCellMar>
      </w:tblPr>
      <w:tblGrid>
        <w:gridCol w:w="1114"/>
        <w:gridCol w:w="979"/>
        <w:gridCol w:w="982"/>
        <w:gridCol w:w="651"/>
        <w:gridCol w:w="1903"/>
        <w:gridCol w:w="475"/>
      </w:tblGrid>
      <w:tr>
        <w:trPr/>
        <w:tc>
          <w:tcPr>
            <w:tcW w:w="1114"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1903"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2023</w:t>
            </w:r>
          </w:p>
        </w:tc>
      </w:tr>
      <w:tr>
        <w:trPr/>
        <w:tc>
          <w:tcPr>
            <w:tcW w:w="30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Summarized Statement of Operations:</w:t>
            </w:r>
          </w:p>
        </w:tc>
        <w:tc>
          <w:tcPr>
            <w:tcW w:w="30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6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1,658 </w:t>
            </w:r>
          </w:p>
        </w:tc>
        <w:tc>
          <w:tcPr>
            <w:tcW w:w="4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6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843 </w:t>
            </w:r>
          </w:p>
        </w:tc>
        <w:tc>
          <w:tcPr>
            <w:tcW w:w="4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6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4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 xml:space="preserve">There have been no changes in our critical accounting estimates from those disclosed in our </w:t>
      </w:r>
      <w:r>
        <w:fldChar w:fldCharType="begin"/>
      </w:r>
      <w:r>
        <w:rPr>
          <w:rStyle w:val="InternetLink"/>
          <w:sz w:val="20"/>
          <w:u w:val="single"/>
          <w:b w:val="false"/>
          <w:rFonts w:ascii="Times New Roman;sans-serif" w:hAnsi="Times New Roman;sans-serif"/>
        </w:rPr>
        <w:instrText> HYPERLINK "http://www.sec.gov/ix?doc=/Archives/edgar/data/1539838/000153983823000022/fang-20221231.htm" \l "ia595866015b4400388c840bd76dbe1a1_67"</w:instrText>
      </w:r>
      <w:r>
        <w:rPr>
          <w:rStyle w:val="InternetLink"/>
          <w:sz w:val="20"/>
          <w:u w:val="single"/>
          <w:b w:val="false"/>
          <w:rFonts w:ascii="Times New Roman;sans-serif" w:hAnsi="Times New Roman;sans-serif"/>
        </w:rPr>
        <w:fldChar w:fldCharType="separate"/>
      </w:r>
      <w:r>
        <w:rPr>
          <w:rStyle w:val="InternetLink"/>
          <w:rFonts w:ascii="Times New Roman;sans-serif" w:hAnsi="Times New Roman;sans-serif"/>
          <w:b w:val="false"/>
          <w:color w:val="0000FF"/>
          <w:sz w:val="20"/>
          <w:u w:val="single"/>
        </w:rPr>
        <w:t>Annual Report on Form  10-K</w:t>
      </w:r>
      <w:r>
        <w:rPr>
          <w:rStyle w:val="InternetLink"/>
          <w:sz w:val="20"/>
          <w:u w:val="single"/>
          <w:b w:val="false"/>
          <w:rFonts w:ascii="Times New Roman;sans-serif" w:hAnsi="Times New Roman;sans-serif"/>
        </w:rPr>
        <w:fldChar w:fldCharType="end"/>
      </w:r>
      <w:r>
        <w:rPr>
          <w:color w:val="000000"/>
        </w:rPr>
        <w:t xml:space="preserve"> </w:t>
      </w:r>
      <w:r>
        <w:rPr>
          <w:rFonts w:ascii="Times New Roman;sans-serif" w:hAnsi="Times New Roman;sans-serif"/>
          <w:b w:val="false"/>
          <w:color w:val="000000"/>
          <w:sz w:val="20"/>
        </w:rPr>
        <w:t>for the year ended December 31, 2022.</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See Note 2—</w:t>
      </w:r>
      <w:hyperlink w:anchor="i7011061f248747c88de11895562af037_43">
        <w:r>
          <w:rPr>
            <w:rStyle w:val="InternetLink"/>
            <w:rFonts w:ascii="Times New Roman;sans-serif" w:hAnsi="Times New Roman;sans-serif"/>
            <w:b w:val="false"/>
            <w:color w:val="0000FF"/>
            <w:sz w:val="20"/>
            <w:u w:val="single"/>
          </w:rPr>
          <w:t>Summary of Significant Accounting Policies</w:t>
        </w:r>
      </w:hyperlink>
      <w:r>
        <w:rPr>
          <w:color w:val="000000"/>
        </w:rPr>
        <w:t xml:space="preserve"> </w:t>
      </w:r>
      <w:r>
        <w:rPr>
          <w:rFonts w:ascii="Times New Roman;sans-serif" w:hAnsi="Times New Roman;sans-serif"/>
          <w:b w:val="false"/>
          <w:color w:val="000000"/>
          <w:sz w:val="20"/>
        </w:rPr>
        <w:t xml:space="preserve">of the condensed notes to the consolidated financial statements included elsewhere in this report for recent accounting pronouncements not yet adopted, if any. </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Commodity Price Risk </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major market risk exposure in our exploration and production business is in the pricing applicable to our oil and natural gas production. Realized pricing is primarily driven by the prevailing worldwide price for crude oil and spot market prices applicable to our natural gas production. Pricing for oil and natural gas production has been volatile and unpredictable for several years. Although demand and market prices for oil and natural gas have recently increased, we cannot predict events, including the outcome of the war in Ukraine, rising interest rates, global supply chain disruptions, a potential economic downturn or recession, the COVID-19 pandemic, that may lead to future price volatility and the near term energy outlook remains subject to heightened levels of uncertainty. Further, the prices we receive for production depend on many other factors outside of our control. </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use derivatives, including swaps, basis swaps, roll swaps, costless collars, puts and basis puts, to reduce price volatility associated with certain of our oil and natural gas sales.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2023, we had a net asset derivative position of $42 million, related to our commodity price risk derivatives. Utilizing actual derivative contractual volumes under our commodity price derivatives as of March 31, 2023, a 10% increase in forward curves associated with the underlying commodity would have increased the net asset position by $11 million to $53 million, while a 10% decrease in forward curves associated with the underlying commodity would have decreased the net asset position by $9 million to $33 million. However, any cash derivative gain or loss would be substantially offset by a decrease or increase, respectively, in the actual sales value of production covered by the derivative instrument. For </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1155"/>
                <wp:effectExtent l="0" t="0" r="0" b="0"/>
                <wp:wrapNone/>
                <wp:docPr id="43" name="Frame43"/>
                <a:graphic xmlns:a="http://schemas.openxmlformats.org/drawingml/2006/main">
                  <a:graphicData uri="http://schemas.microsoft.com/office/word/2010/wordprocessingShape">
                    <wps:wsp>
                      <wps:cNvSpPr txBox="1"/>
                      <wps:spPr>
                        <a:xfrm>
                          <a:off x="0" y="0"/>
                          <a:ext cx="6480175" cy="35115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spacing w:before="0" w:after="0"/>
                        <w:rPr/>
                      </w:pPr>
                      <w:r>
                        <w:rPr/>
                      </w:r>
                    </w:p>
                  </w:txbxContent>
                </v:textbox>
              </v:rect>
            </w:pict>
          </mc:Fallback>
        </mc:AlternateContent>
      </w:r>
    </w:p>
    <w:p>
      <w:pPr>
        <w:pStyle w:val="TextBody"/>
        <w:spacing w:lineRule="auto" w:line="288" w:before="0" w:after="0"/>
        <w:rPr/>
      </w:pPr>
      <w:hyperlink w:anchor="i7011061f248747c88de11895562af037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pPr>
      <w:r>
        <w:rPr>
          <w:rFonts w:ascii="Times New Roman;sans-serif" w:hAnsi="Times New Roman;sans-serif"/>
          <w:b w:val="false"/>
          <w:color w:val="000000"/>
          <w:sz w:val="20"/>
        </w:rPr>
        <w:t>additional information on our open commodity derivative instruments at March 31, 2023, see Note 11—</w:t>
      </w:r>
      <w:hyperlink w:anchor="i7011061f248747c88de11895562af037_70">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of the condensed notes to the consolidated financial statements included elsewhere in this report.</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Counterparty and Customer Credit Risk </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exposures to credit risk are due to the concentration of receivables from the sale of our oil and natural gas production (approximately $606 million at March 31, 2023), and to a lesser extent, receivables resulting from joint interest and other receivables (approximately $116 million at March 31, 2023).</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do not require our customers to post collateral, and the failure or inability of our significant customers to meet their obligations to us due to their liquidity issues, bankruptcy, insolvency or liquidation may adversely affect our financial results.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Joint operations receivables arise from billings to entities that own partial interests in the wells we operate. These entities participate in our wells primarily based on their ownership in leases on which we intend to drill. We have little ability to control whether these entities will participate in our wells.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Interest Rate Risk </w:t>
      </w:r>
    </w:p>
    <w:p>
      <w:pPr>
        <w:pStyle w:val="TextBody"/>
        <w:spacing w:before="0" w:after="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20"/>
        </w:rPr>
        <w:t>We are subject to market risk exposure related to changes in interest rates on our indebtedness under our revolving credit facilities and changes in the fair value of our fixed rate debt. Outstanding borrowings under the credit agreement bear interest at a per annum rate elected by Diamondback E&amp;P. At March 31, 2023, the applicable margin ranges from 0.125% to 1.000% per annum in the case of the alternate base rate, and from 1.125% to 2.000% per annum in the case of Adjusted Term SOFR, in each case based on the pricing level. The pricing level depends on certain rating agencies’ ratings of our long-term senior unsecure debt. We believe significant interest rate changes would not have a material near-term impact on our future earnings or cash flows. For additional information on our variable interest rate debt at March 31, 2023, see Note 7—</w:t>
      </w:r>
      <w:hyperlink w:anchor="i7011061f248747c88de11895562af037_58">
        <w:r>
          <w:rPr>
            <w:rStyle w:val="InternetLink"/>
            <w:rFonts w:ascii="Times New Roman;sans-serif" w:hAnsi="Times New Roman;sans-serif"/>
            <w:b w:val="false"/>
            <w:color w:val="0000FF"/>
            <w:sz w:val="20"/>
            <w:u w:val="single"/>
          </w:rPr>
          <w:t>Debt</w:t>
        </w:r>
      </w:hyperlink>
      <w:r>
        <w:rPr>
          <w:color w:val="000000"/>
        </w:rPr>
        <w:t xml:space="preserve"> </w:t>
      </w:r>
      <w:r>
        <w:rPr>
          <w:rFonts w:ascii="Times New Roman;sans-serif" w:hAnsi="Times New Roman;sans-serif"/>
          <w:b w:val="false"/>
          <w:color w:val="000000"/>
          <w:sz w:val="20"/>
        </w:rPr>
        <w:t>of the condensed notes to the consolidated financial statements included elsewhere in this report.</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Historically, we have at times used interest rates swaps to manage our exposure to (i) interest rate changes on our floating-rate date and (ii) fair value changes on our fixed rate debt. At March 31, 2023, we have interest rate swap agreements for a notional amount of $1.2 billion to manage the impact of changes to the fair value of our fixed rate senior notes due to changes in market interest rates through December 2029. We pay an average variable rate of interest for these swaps based on three month LIBOR plus 2.1865% and receive a fixed interest rate of 3.50% from our counterparties. At March 31, 2023, our receive-fixed, pay-variable interest rate swaps were in a net liability position of $176 million, and the weighted average variable rate was 6.14%. For additional information on our interest rate swaps, see Note 11—</w:t>
      </w:r>
      <w:hyperlink w:anchor="i7011061f248747c88de11895562af037_70">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of the condensed notes to the consolidated financial statements included elsewhere in this report.</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Evaluation of Disclosure Control and Procedures</w:t>
      </w:r>
      <w:r>
        <w:rPr>
          <w:rFonts w:ascii="Times New Roman;sans-serif" w:hAnsi="Times New Roman;sans-serif"/>
          <w:b w:val="false"/>
          <w:color w:val="000000"/>
          <w:sz w:val="20"/>
        </w:rPr>
        <w:t>. Under the direction of our Chief Executive Officer and Chief Financial Officer, we have established disclosure controls and procedures, as defined in Rule 13a-15(e) and 15d-15(e) under the Exchange Act, as amended, or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our Chief Executive Officer and Chief Financial Officer,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 evaluation was performed under the supervision and with the participation of management, including our Chief Executive Officer and Chief Financial Officer, of the effectiveness of the design and operation of our disclosure controls and procedures pursuant to Rule 13a-15(b) under the Exchange Act. Based upon our evaluation, our Chief Executive Officer and Chief Financial Officer have concluded that as of March 31, 2023, our disclosure controls and procedures are effective.</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Changes in Internal Control over Financial Reporting</w:t>
      </w:r>
      <w:r>
        <w:rPr>
          <w:rFonts w:ascii="Times New Roman;sans-serif" w:hAnsi="Times New Roman;sans-serif"/>
          <w:b w:val="false"/>
          <w:color w:val="000000"/>
          <w:sz w:val="20"/>
        </w:rPr>
        <w:t>. There have not been any changes in our internal control over financial reporting that occurred during the quarter ended March 31, 2023, that have materially affected, or are reasonably likely to materially affect, internal controls over financial reporting.</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1155"/>
                <wp:effectExtent l="0" t="0" r="0" b="0"/>
                <wp:wrapNone/>
                <wp:docPr id="44" name="Frame44"/>
                <a:graphic xmlns:a="http://schemas.openxmlformats.org/drawingml/2006/main">
                  <a:graphicData uri="http://schemas.microsoft.com/office/word/2010/wordprocessingShape">
                    <wps:wsp>
                      <wps:cNvSpPr txBox="1"/>
                      <wps:spPr>
                        <a:xfrm>
                          <a:off x="0" y="0"/>
                          <a:ext cx="6480175" cy="35115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spacing w:before="0" w:after="0"/>
                        <w:rPr/>
                      </w:pPr>
                      <w:r>
                        <w:rPr/>
                      </w:r>
                    </w:p>
                  </w:txbxContent>
                </v:textbox>
              </v:rect>
            </w:pict>
          </mc:Fallback>
        </mc:AlternateContent>
      </w:r>
    </w:p>
    <w:p>
      <w:pPr>
        <w:pStyle w:val="TextBody"/>
        <w:spacing w:lineRule="auto" w:line="288" w:before="0" w:after="0"/>
        <w:rPr/>
      </w:pPr>
      <w:hyperlink w:anchor="i7011061f248747c88de11895562af037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60" w:after="283"/>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We are a party to various routine legal proceedings, disputes and claims arising in the ordinary course of our business, including those that arise from interpretation of federal and state laws and regulations affecting the natural gas and crude oil industry, personal injury claims, title disputes, royalty disputes, contract claims, contamination claims relating to oil and natural gas exploration and development and environmental claims, including claims involving assets previously sold to third parties and no longer part of our current operations. While the ultimate outcome of the pending proceedings, disputes or claims, and any resulting impact on us, cannot be predicted with certainty, we believe that none of these matters, if ultimately decided adversely, will have a material adverse effect on our financial condition, results of operations or cash flows. See Note 14—</w:t>
      </w:r>
      <w:hyperlink w:anchor="i7011061f248747c88de11895562af037_79">
        <w:r>
          <w:rPr>
            <w:rStyle w:val="InternetLink"/>
            <w:rFonts w:ascii="Times New Roman;sans-serif" w:hAnsi="Times New Roman;sans-serif"/>
            <w:b w:val="false"/>
            <w:color w:val="0000FF"/>
            <w:sz w:val="20"/>
            <w:u w:val="single"/>
          </w:rPr>
          <w:t>Commitments and Contingencies</w:t>
        </w:r>
      </w:hyperlink>
      <w:r>
        <w:rPr>
          <w:color w:val="000000"/>
        </w:rPr>
        <w:t xml:space="preserve"> </w:t>
      </w:r>
      <w:r>
        <w:rPr>
          <w:rFonts w:ascii="Times New Roman;sans-serif" w:hAnsi="Times New Roman;sans-serif"/>
          <w:b w:val="false"/>
          <w:color w:val="000000"/>
          <w:sz w:val="20"/>
        </w:rPr>
        <w:t>of the condensed notes to the consolidated financial statements included elsewhere in this report.</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faces many risks. Any of the risks discussed in this report and our other SEC filings could have a material impact on our business, financial position or results of operations. Additional risks and uncertainties not presently known to us or that we currently believe to be immaterial may also materially impair our business operations, financial condition or future results. </w:t>
      </w:r>
    </w:p>
    <w:p>
      <w:pPr>
        <w:pStyle w:val="TextBody"/>
        <w:spacing w:before="0" w:after="0"/>
        <w:ind w:left="0" w:right="0" w:firstLine="495"/>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 xml:space="preserve">As of the date of this filing, in addition to the factors discussed elsewhere in this report, we continue to be subject to the risk factors previously disclosed in </w:t>
      </w:r>
      <w:r>
        <w:fldChar w:fldCharType="begin"/>
      </w:r>
      <w:r>
        <w:rPr>
          <w:rStyle w:val="InternetLink"/>
          <w:sz w:val="20"/>
          <w:u w:val="single"/>
          <w:b w:val="false"/>
          <w:rFonts w:ascii="Times New Roman;sans-serif" w:hAnsi="Times New Roman;sans-serif"/>
        </w:rPr>
        <w:instrText> HYPERLINK "http://www.sec.gov/ix?doc=/Archives/edgar/data/1539838/000153983823000022/fang-20221231.htm" \l "ia595866015b4400388c840bd76dbe1a1_25"</w:instrText>
      </w:r>
      <w:r>
        <w:rPr>
          <w:rStyle w:val="InternetLink"/>
          <w:sz w:val="20"/>
          <w:u w:val="single"/>
          <w:b w:val="false"/>
          <w:rFonts w:ascii="Times New Roman;sans-serif" w:hAnsi="Times New Roman;sans-serif"/>
        </w:rPr>
        <w:fldChar w:fldCharType="separate"/>
      </w:r>
      <w:r>
        <w:rPr>
          <w:rStyle w:val="InternetLink"/>
          <w:rFonts w:ascii="Times New Roman;sans-serif" w:hAnsi="Times New Roman;sans-serif"/>
          <w:b w:val="false"/>
          <w:color w:val="0000FF"/>
          <w:sz w:val="20"/>
          <w:u w:val="single"/>
        </w:rPr>
        <w:t>Part I, Item 1A. Risk Factors in our Annual Report on Form 10-K</w:t>
      </w:r>
      <w:r>
        <w:rPr>
          <w:rStyle w:val="InternetLink"/>
          <w:sz w:val="20"/>
          <w:u w:val="single"/>
          <w:b w:val="false"/>
          <w:rFonts w:ascii="Times New Roman;sans-serif" w:hAnsi="Times New Roman;sans-serif"/>
        </w:rPr>
        <w:fldChar w:fldCharType="end"/>
      </w:r>
      <w:r>
        <w:rPr>
          <w:color w:val="000000"/>
        </w:rPr>
        <w:t xml:space="preserve"> </w:t>
      </w:r>
      <w:r>
        <w:rPr>
          <w:rFonts w:ascii="Times New Roman;sans-serif" w:hAnsi="Times New Roman;sans-serif"/>
          <w:b w:val="false"/>
          <w:color w:val="000000"/>
          <w:sz w:val="20"/>
        </w:rPr>
        <w:t xml:space="preserve">for the year ended December 31, 2022, filed with the SEC on February 23, 2023 and in subsequent filings we make with the SEC. There have been no material changes in our risk factors from those described in our </w:t>
      </w:r>
      <w:r>
        <w:fldChar w:fldCharType="begin"/>
      </w:r>
      <w:r>
        <w:rPr>
          <w:rStyle w:val="InternetLink"/>
          <w:sz w:val="20"/>
          <w:u w:val="single"/>
          <w:b w:val="false"/>
          <w:rFonts w:ascii="Times New Roman;sans-serif" w:hAnsi="Times New Roman;sans-serif"/>
        </w:rPr>
        <w:instrText> HYPERLINK "http://www.sec.gov/ix?doc=/Archives/edgar/data/1539838/000153983823000022/fang-20221231.htm" \l "ia595866015b4400388c840bd76dbe1a1_25"</w:instrText>
      </w:r>
      <w:r>
        <w:rPr>
          <w:rStyle w:val="InternetLink"/>
          <w:sz w:val="20"/>
          <w:u w:val="single"/>
          <w:b w:val="false"/>
          <w:rFonts w:ascii="Times New Roman;sans-serif" w:hAnsi="Times New Roman;sans-serif"/>
        </w:rPr>
        <w:fldChar w:fldCharType="separate"/>
      </w:r>
      <w:r>
        <w:rPr>
          <w:rStyle w:val="InternetLink"/>
          <w:rFonts w:ascii="Times New Roman;sans-serif" w:hAnsi="Times New Roman;sans-serif"/>
          <w:b w:val="false"/>
          <w:color w:val="0000FF"/>
          <w:sz w:val="20"/>
          <w:u w:val="single"/>
        </w:rPr>
        <w:t>Annual Report on Form 10-K</w:t>
      </w:r>
      <w:r>
        <w:rPr>
          <w:rStyle w:val="InternetLink"/>
          <w:sz w:val="20"/>
          <w:u w:val="single"/>
          <w:b w:val="false"/>
          <w:rFonts w:ascii="Times New Roman;sans-serif" w:hAnsi="Times New Roman;sans-serif"/>
        </w:rPr>
        <w:fldChar w:fldCharType="end"/>
      </w:r>
      <w:r>
        <w:rPr>
          <w:color w:val="000000"/>
        </w:rPr>
        <w:t xml:space="preserve"> </w:t>
      </w:r>
      <w:r>
        <w:rPr>
          <w:rFonts w:ascii="Times New Roman;sans-serif" w:hAnsi="Times New Roman;sans-serif"/>
          <w:b w:val="false"/>
          <w:color w:val="000000"/>
          <w:sz w:val="20"/>
        </w:rPr>
        <w:t>for the year ended December 31, 2022.</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Unregistered Sales of Equity Securities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Issuer Repurchases of Equity Securities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repurchase activity for the three months ended March 31, 2023 was as follows:</w:t>
      </w:r>
    </w:p>
    <w:p>
      <w:pPr>
        <w:pStyle w:val="TextBody"/>
        <w:spacing w:before="0" w:after="0"/>
        <w:ind w:left="0" w:right="0" w:firstLine="720"/>
        <w:jc w:val="both"/>
        <w:rPr/>
      </w:pPr>
      <w:r>
        <w:rPr/>
      </w:r>
    </w:p>
    <w:tbl>
      <w:tblPr>
        <w:tblW w:w="10205" w:type="dxa"/>
        <w:jc w:val="left"/>
        <w:tblInd w:w="0" w:type="dxa"/>
        <w:tblCellMar>
          <w:top w:w="28" w:type="dxa"/>
          <w:left w:w="28" w:type="dxa"/>
          <w:bottom w:w="28" w:type="dxa"/>
          <w:right w:w="28" w:type="dxa"/>
        </w:tblCellMar>
      </w:tblPr>
      <w:tblGrid>
        <w:gridCol w:w="576"/>
        <w:gridCol w:w="447"/>
        <w:gridCol w:w="452"/>
        <w:gridCol w:w="109"/>
        <w:gridCol w:w="109"/>
        <w:gridCol w:w="109"/>
        <w:gridCol w:w="482"/>
        <w:gridCol w:w="482"/>
        <w:gridCol w:w="483"/>
        <w:gridCol w:w="109"/>
        <w:gridCol w:w="109"/>
        <w:gridCol w:w="109"/>
        <w:gridCol w:w="282"/>
        <w:gridCol w:w="964"/>
        <w:gridCol w:w="145"/>
        <w:gridCol w:w="109"/>
        <w:gridCol w:w="109"/>
        <w:gridCol w:w="109"/>
        <w:gridCol w:w="705"/>
        <w:gridCol w:w="705"/>
        <w:gridCol w:w="708"/>
        <w:gridCol w:w="109"/>
        <w:gridCol w:w="109"/>
        <w:gridCol w:w="109"/>
        <w:gridCol w:w="527"/>
        <w:gridCol w:w="1543"/>
        <w:gridCol w:w="396"/>
      </w:tblGrid>
      <w:tr>
        <w:trPr/>
        <w:tc>
          <w:tcPr>
            <w:tcW w:w="576"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1543"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r>
      <w:tr>
        <w:trPr/>
        <w:tc>
          <w:tcPr>
            <w:tcW w:w="14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Total Number of Shares Purchased</w:t>
            </w:r>
            <w:r>
              <w:rPr>
                <w:rFonts w:ascii="Times New Roman;sans-serif" w:hAnsi="Times New Roman;sans-serif"/>
                <w:b/>
                <w:color w:val="000000"/>
                <w:sz w:val="12"/>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Average Price Paid Per Share</w:t>
            </w:r>
            <w:r>
              <w:rPr>
                <w:rFonts w:ascii="Times New Roman;sans-serif" w:hAnsi="Times New Roman;sans-serif"/>
                <w:b/>
                <w:color w:val="000000"/>
                <w:sz w:val="12"/>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 as Part of Publicly Announced Plan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Approximate Dollar Value of Shares that May Yet Be Purchased Under the Plan</w:t>
            </w:r>
            <w:r>
              <w:rPr>
                <w:rFonts w:ascii="Times New Roman;sans-serif" w:hAnsi="Times New Roman;sans-serif"/>
                <w:b/>
                <w:color w:val="000000"/>
                <w:sz w:val="12"/>
              </w:rPr>
              <w:t>(3)</w:t>
            </w:r>
          </w:p>
        </w:tc>
      </w:tr>
      <w:tr>
        <w:trPr/>
        <w:tc>
          <w:tcPr>
            <w:tcW w:w="14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3"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In millions, except per share amounts, shares in thousands)</w:t>
            </w:r>
          </w:p>
        </w:tc>
      </w:tr>
      <w:tr>
        <w:trPr/>
        <w:tc>
          <w:tcPr>
            <w:tcW w:w="14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2023 - January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133.89 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2,449 </w:t>
            </w:r>
          </w:p>
        </w:tc>
        <w:tc>
          <w:tcPr>
            <w:tcW w:w="3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2023 - February 28,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139.41 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2,385 </w:t>
            </w:r>
          </w:p>
        </w:tc>
        <w:tc>
          <w:tcPr>
            <w:tcW w:w="3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2023 -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129.95 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2,140 </w:t>
            </w:r>
          </w:p>
        </w:tc>
        <w:tc>
          <w:tcPr>
            <w:tcW w:w="3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131.83 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(1)Includes 119,129 shares of common stock repurchased from executives in order to satisfy tax withholding requirements. Such shares are cancelled and retired immediately upon repurchase.</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average price paid per share includes any commissions paid to repurchase stock.</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(3)In September 2021, the Company’s board of directors authorized a $2.0 billion common stock repurchase program. On July 28, 2022, our board of directors approved an increase in our common stock repurchase program from $2.0 billion to $4.0 billion. The stock repurchase program has no time limit and may be suspended, modified, or discontinued by the board of directors at any time.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rPr/>
      </w:pPr>
      <w:hyperlink w:anchor="i7011061f248747c88de11895562af037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rFonts w:ascii="Times New Roman;sans-serif" w:hAnsi="Times New Roman;sans-serif"/>
          <w:b/>
          <w:color w:val="000000"/>
          <w:sz w:val="19"/>
        </w:rPr>
      </w:pPr>
      <w:r>
        <w:rPr>
          <w:rFonts w:ascii="Times New Roman;sans-serif" w:hAnsi="Times New Roman;sans-serif"/>
          <w:b/>
          <w:color w:val="000000"/>
          <w:sz w:val="19"/>
        </w:rPr>
        <w:t>ITEM 6.    EXHIBITS</w:t>
      </w:r>
    </w:p>
    <w:p>
      <w:pPr>
        <w:pStyle w:val="TextBody"/>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EXHIBIT INDEX</w:t>
      </w:r>
    </w:p>
    <w:tbl>
      <w:tblPr>
        <w:tblW w:w="10205" w:type="dxa"/>
        <w:jc w:val="center"/>
        <w:tblInd w:w="0" w:type="dxa"/>
        <w:tblCellMar>
          <w:top w:w="28" w:type="dxa"/>
          <w:left w:w="28" w:type="dxa"/>
          <w:bottom w:w="28" w:type="dxa"/>
          <w:right w:w="28" w:type="dxa"/>
        </w:tblCellMar>
      </w:tblPr>
      <w:tblGrid>
        <w:gridCol w:w="345"/>
        <w:gridCol w:w="303"/>
        <w:gridCol w:w="304"/>
        <w:gridCol w:w="109"/>
        <w:gridCol w:w="109"/>
        <w:gridCol w:w="109"/>
        <w:gridCol w:w="2655"/>
        <w:gridCol w:w="2585"/>
        <w:gridCol w:w="3686"/>
      </w:tblGrid>
      <w:tr>
        <w:trPr/>
        <w:tc>
          <w:tcPr>
            <w:tcW w:w="345"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5" w:type="dxa"/>
            <w:tcBorders/>
            <w:shd w:fill="auto" w:val="clear"/>
            <w:vAlign w:val="center"/>
          </w:tcPr>
          <w:p>
            <w:pPr>
              <w:pStyle w:val="TableContents"/>
              <w:spacing w:before="0" w:after="283"/>
              <w:rPr>
                <w:sz w:val="4"/>
                <w:szCs w:val="4"/>
              </w:rPr>
            </w:pPr>
            <w:r>
              <w:rPr>
                <w:sz w:val="4"/>
                <w:szCs w:val="4"/>
              </w:rPr>
            </w:r>
          </w:p>
        </w:tc>
        <w:tc>
          <w:tcPr>
            <w:tcW w:w="2585" w:type="dxa"/>
            <w:tcBorders/>
            <w:shd w:fill="auto" w:val="clear"/>
            <w:vAlign w:val="center"/>
          </w:tcPr>
          <w:p>
            <w:pPr>
              <w:pStyle w:val="TableContents"/>
              <w:spacing w:before="0" w:after="283"/>
              <w:rPr>
                <w:sz w:val="4"/>
                <w:szCs w:val="4"/>
              </w:rPr>
            </w:pPr>
            <w:r>
              <w:rPr>
                <w:sz w:val="4"/>
                <w:szCs w:val="4"/>
              </w:rPr>
            </w:r>
          </w:p>
        </w:tc>
        <w:tc>
          <w:tcPr>
            <w:tcW w:w="3686" w:type="dxa"/>
            <w:tcBorders/>
            <w:shd w:fill="auto" w:val="clear"/>
            <w:vAlign w:val="center"/>
          </w:tcPr>
          <w:p>
            <w:pPr>
              <w:pStyle w:val="TableContents"/>
              <w:spacing w:before="0" w:after="283"/>
              <w:rPr>
                <w:sz w:val="4"/>
                <w:szCs w:val="4"/>
              </w:rPr>
            </w:pPr>
            <w:r>
              <w:rPr>
                <w:sz w:val="4"/>
                <w:szCs w:val="4"/>
              </w:rPr>
            </w:r>
          </w:p>
        </w:tc>
      </w:tr>
      <w:tr>
        <w:trPr/>
        <w:tc>
          <w:tcPr>
            <w:tcW w:w="95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120"/>
              <w:jc w:val="left"/>
              <w:rPr>
                <w:rFonts w:ascii="Times New Roman;sans-serif" w:hAnsi="Times New Roman;sans-serif"/>
                <w:b/>
                <w:color w:val="000000"/>
                <w:sz w:val="19"/>
              </w:rPr>
            </w:pPr>
            <w:r>
              <w:rPr>
                <w:rFonts w:ascii="Times New Roman;sans-serif" w:hAnsi="Times New Roman;sans-serif"/>
                <w:b/>
                <w:color w:val="000000"/>
                <w:sz w:val="19"/>
              </w:rPr>
              <w:t>Exhibit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120"/>
              <w:jc w:val="left"/>
              <w:rPr>
                <w:rFonts w:ascii="Times New Roman;sans-serif" w:hAnsi="Times New Roman;sans-serif"/>
                <w:b/>
                <w:color w:val="000000"/>
                <w:sz w:val="19"/>
              </w:rPr>
            </w:pPr>
            <w:r>
              <w:rPr>
                <w:rFonts w:ascii="Times New Roman;sans-serif" w:hAnsi="Times New Roman;sans-serif"/>
                <w:b/>
                <w:color w:val="000000"/>
                <w:sz w:val="19"/>
              </w:rPr>
              <w:t>Description</w:t>
            </w:r>
          </w:p>
        </w:tc>
      </w:tr>
      <w:tr>
        <w:trPr/>
        <w:tc>
          <w:tcPr>
            <w:tcW w:w="95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both"/>
              <w:rPr/>
            </w:pPr>
            <w:hyperlink r:id="rId3">
              <w:r>
                <w:rPr>
                  <w:rStyle w:val="InternetLink"/>
                  <w:rFonts w:ascii="Times New Roman;sans-serif" w:hAnsi="Times New Roman;sans-serif"/>
                  <w:b w:val="false"/>
                  <w:color w:val="0000FF"/>
                  <w:sz w:val="19"/>
                  <w:u w:val="single"/>
                </w:rPr>
                <w:t>Agreement and Plan of Merger, dated as of May 15, 2022, by and among Diamondback Energy, Inc., Rattler Midstream GP LLC, Bacchus Merger Sub Company and Rattler Midstream LP (incorporated by reference to Exhibit 2.1 of the Registrant’s Current Report on Form 8-K (File 001-38919) filed on May 16, 2022</w:t>
              </w:r>
            </w:hyperlink>
          </w:p>
        </w:tc>
      </w:tr>
      <w:tr>
        <w:trPr/>
        <w:tc>
          <w:tcPr>
            <w:tcW w:w="9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6" w:type="dxa"/>
            <w:gridSpan w:val="3"/>
            <w:tcBorders/>
            <w:shd w:fill="FFFFFF" w:val="clear"/>
            <w:tcMar>
              <w:top w:w="0" w:type="dxa"/>
              <w:left w:w="0" w:type="dxa"/>
              <w:bottom w:w="0" w:type="dxa"/>
              <w:right w:w="0" w:type="dxa"/>
            </w:tcMar>
            <w:vAlign w:val="center"/>
          </w:tcPr>
          <w:p>
            <w:pPr>
              <w:pStyle w:val="TableContents"/>
              <w:spacing w:lineRule="auto" w:line="288" w:before="0" w:after="0"/>
              <w:jc w:val="both"/>
              <w:rPr/>
            </w:pPr>
            <w:hyperlink r:id="rId4">
              <w:r>
                <w:rPr>
                  <w:rStyle w:val="InternetLink"/>
                  <w:rFonts w:ascii="Times New Roman;sans-serif" w:hAnsi="Times New Roman;sans-serif"/>
                  <w:b w:val="false"/>
                  <w:color w:val="0000FF"/>
                  <w:sz w:val="19"/>
                  <w:u w:val="single"/>
                </w:rPr>
                <w:t>Amended and Restated Certificate of Incorporation of the Company (incorporated by reference to Exhibit 3.1 to the Form 10-Q, File No. 001-35700, filed by the Company with the SEC on November 16, 2012).</w:t>
              </w:r>
            </w:hyperlink>
          </w:p>
        </w:tc>
      </w:tr>
      <w:tr>
        <w:trPr/>
        <w:tc>
          <w:tcPr>
            <w:tcW w:w="9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6" w:type="dxa"/>
            <w:gridSpan w:val="3"/>
            <w:tcBorders/>
            <w:shd w:fill="CCEEFF" w:val="clear"/>
            <w:tcMar>
              <w:top w:w="0" w:type="dxa"/>
              <w:left w:w="0" w:type="dxa"/>
              <w:bottom w:w="0" w:type="dxa"/>
              <w:right w:w="0" w:type="dxa"/>
            </w:tcMar>
            <w:vAlign w:val="center"/>
          </w:tcPr>
          <w:p>
            <w:pPr>
              <w:pStyle w:val="TableContents"/>
              <w:spacing w:lineRule="auto" w:line="288" w:before="0" w:after="0"/>
              <w:jc w:val="both"/>
              <w:rPr/>
            </w:pPr>
            <w:hyperlink r:id="rId5">
              <w:r>
                <w:rPr>
                  <w:rStyle w:val="InternetLink"/>
                  <w:rFonts w:ascii="Times New Roman;sans-serif" w:hAnsi="Times New Roman;sans-serif"/>
                  <w:b w:val="false"/>
                  <w:color w:val="0000FF"/>
                  <w:sz w:val="19"/>
                  <w:u w:val="single"/>
                </w:rPr>
                <w:t>Certificate of Amendment No. 1 of the Amended and Restated Certificate of Incorporation of the Company (incorporated by reference to Exhibit 3.1 to the Form 8-K, File No. 001-35700, filed by the Company with the SEC on December 12, 2016).</w:t>
              </w:r>
            </w:hyperlink>
          </w:p>
        </w:tc>
      </w:tr>
      <w:tr>
        <w:trPr/>
        <w:tc>
          <w:tcPr>
            <w:tcW w:w="9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3.3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6"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6">
              <w:r>
                <w:rPr>
                  <w:rStyle w:val="InternetLink"/>
                  <w:rFonts w:ascii="Times New Roman;sans-serif" w:hAnsi="Times New Roman;sans-serif"/>
                  <w:b w:val="false"/>
                  <w:color w:val="0000FF"/>
                  <w:sz w:val="19"/>
                  <w:u w:val="single"/>
                </w:rPr>
                <w:t>Certificate of Amendment No. 2 to the Amended and Restated Certificate of Incorporation of the Company (incorporated by reference to Exhibit 3.1 to the Form 8-K, File No. 001-35700, filed by the Company with the SEC on June 8, 2021).</w:t>
              </w:r>
            </w:hyperlink>
          </w:p>
        </w:tc>
      </w:tr>
      <w:tr>
        <w:trPr/>
        <w:tc>
          <w:tcPr>
            <w:tcW w:w="9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3.4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6" w:type="dxa"/>
            <w:gridSpan w:val="3"/>
            <w:tcBorders/>
            <w:shd w:fill="CCEEFF" w:val="clear"/>
            <w:tcMar>
              <w:top w:w="0" w:type="dxa"/>
              <w:left w:w="0" w:type="dxa"/>
              <w:bottom w:w="0" w:type="dxa"/>
              <w:right w:w="0" w:type="dxa"/>
            </w:tcMar>
            <w:vAlign w:val="center"/>
          </w:tcPr>
          <w:p>
            <w:pPr>
              <w:pStyle w:val="TableContents"/>
              <w:spacing w:lineRule="auto" w:line="288" w:before="0" w:after="0"/>
              <w:jc w:val="both"/>
              <w:rPr/>
            </w:pPr>
            <w:hyperlink r:id="rId7">
              <w:r>
                <w:rPr>
                  <w:rStyle w:val="InternetLink"/>
                  <w:rFonts w:ascii="Times New Roman;sans-serif" w:hAnsi="Times New Roman;sans-serif"/>
                  <w:b w:val="false"/>
                  <w:color w:val="0000FF"/>
                  <w:sz w:val="19"/>
                  <w:u w:val="single"/>
                </w:rPr>
                <w:t>Third Amended and Restated Bylaws of the Company, adopted as of September 28, 2022 (incorporated by reference to Exhibit 3.1 to the Form 8-K, File No. 001-35700, filed by the Company with the SEC on October 3, 2022).</w:t>
              </w:r>
            </w:hyperlink>
          </w:p>
        </w:tc>
      </w:tr>
      <w:tr>
        <w:trPr/>
        <w:tc>
          <w:tcPr>
            <w:tcW w:w="9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4.1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6" w:type="dxa"/>
            <w:gridSpan w:val="3"/>
            <w:tcBorders/>
            <w:shd w:fill="FFFFFF" w:val="clear"/>
            <w:tcMar>
              <w:top w:w="0" w:type="dxa"/>
              <w:left w:w="0" w:type="dxa"/>
              <w:bottom w:w="0" w:type="dxa"/>
              <w:right w:w="0" w:type="dxa"/>
            </w:tcMar>
            <w:vAlign w:val="center"/>
          </w:tcPr>
          <w:p>
            <w:pPr>
              <w:pStyle w:val="TableContents"/>
              <w:spacing w:lineRule="auto" w:line="288" w:before="0" w:after="0"/>
              <w:jc w:val="both"/>
              <w:rPr/>
            </w:pPr>
            <w:hyperlink r:id="rId8">
              <w:r>
                <w:rPr>
                  <w:rStyle w:val="InternetLink"/>
                  <w:rFonts w:ascii="Times New Roman;sans-serif" w:hAnsi="Times New Roman;sans-serif"/>
                  <w:b w:val="false"/>
                  <w:color w:val="0000FF"/>
                  <w:sz w:val="19"/>
                  <w:u w:val="single"/>
                </w:rPr>
                <w:t>Specimen certificate for shares of common stock, par value $0.01 per share, of the Company (incorporated by reference to Exhibit 4.1 to Amendment No. 4 to the Registration Statement on Form S-1, File No. 333-179502, filed by the Company with the SEC on August 20, 2012).</w:t>
              </w:r>
            </w:hyperlink>
          </w:p>
        </w:tc>
      </w:tr>
      <w:tr>
        <w:trPr/>
        <w:tc>
          <w:tcPr>
            <w:tcW w:w="9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4.2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6"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9">
              <w:r>
                <w:rPr>
                  <w:rStyle w:val="InternetLink"/>
                  <w:rFonts w:ascii="Times New Roman;sans-serif" w:hAnsi="Times New Roman;sans-serif"/>
                  <w:b w:val="false"/>
                  <w:color w:val="0000FF"/>
                  <w:sz w:val="19"/>
                  <w:u w:val="single"/>
                </w:rPr>
                <w:t>Registration Rights Agreement, dated as of February 26, 2021, by and among the Company, Guidon Operating LLC and Guidon Energy Holdings LP (incorporated by reference to Exhibit 4.3 to the Company’s Registration Statement on Form S-3, File No. 333-255731, filed by the Company with the SEC on May 3, 2021.</w:t>
              </w:r>
            </w:hyperlink>
          </w:p>
        </w:tc>
      </w:tr>
      <w:tr>
        <w:trPr/>
        <w:tc>
          <w:tcPr>
            <w:tcW w:w="9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4.3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6"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10">
              <w:r>
                <w:rPr>
                  <w:rStyle w:val="InternetLink"/>
                  <w:rFonts w:ascii="Times New Roman;sans-serif" w:hAnsi="Times New Roman;sans-serif"/>
                  <w:b w:val="false"/>
                  <w:color w:val="0000FF"/>
                  <w:sz w:val="19"/>
                  <w:u w:val="single"/>
                </w:rPr>
                <w:t>Letter Agreement, dated as of April 27, 2021, by and among the Company, Guidon Operating LLC and Guidon Energy Holdings LP relating to the Registration Rights Agreement referenced as Exhibit 4.2 hereto (incorporated by reference to Exhibit 4.4 to the Company’s Registration Statement on Form S-3, File No. 333-255731, filed by the Company with the SEC on May 3, 2021).</w:t>
              </w:r>
            </w:hyperlink>
          </w:p>
        </w:tc>
      </w:tr>
      <w:tr>
        <w:trPr/>
        <w:tc>
          <w:tcPr>
            <w:tcW w:w="9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4.4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6"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11">
              <w:r>
                <w:rPr>
                  <w:rStyle w:val="InternetLink"/>
                  <w:rFonts w:ascii="Times New Roman;sans-serif" w:hAnsi="Times New Roman;sans-serif"/>
                  <w:b w:val="false"/>
                  <w:color w:val="0000FF"/>
                  <w:sz w:val="19"/>
                  <w:u w:val="single"/>
                </w:rPr>
                <w:t>Sixth Supplemental Indenture, dated as of October 28, 2022, by and among the Company, Diamondback E&amp;P LLC and Computershare Trust Company, National Association, as successor trustee to Wells Fargo Bank, National Association, as trustee (incorporated by reference to Exhibit 4.2 to the Form 8-K, File No. 001-35700, filed by the Company with the SEC on October 28, 2022).</w:t>
              </w:r>
            </w:hyperlink>
          </w:p>
        </w:tc>
      </w:tr>
      <w:tr>
        <w:trPr/>
        <w:tc>
          <w:tcPr>
            <w:tcW w:w="9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10.1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6"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12">
              <w:r>
                <w:rPr>
                  <w:rStyle w:val="InternetLink"/>
                  <w:rFonts w:ascii="Times New Roman;sans-serif" w:hAnsi="Times New Roman;sans-serif"/>
                  <w:b w:val="false"/>
                  <w:color w:val="0000FF"/>
                  <w:sz w:val="19"/>
                  <w:u w:val="single"/>
                </w:rPr>
                <w:t>Thirteenth Amendment to Second Amended and Restated Credit Agreement, dated as of June 2, 2022, between Diamondback Energy, Inc., as parent guarantor, Diamondback E&amp;P LLC, as borrower, Wells Fargo Bank, National Association, as administrative agent, and the lenders party thereto (incorporated by reference to Exhibit 10.1 to the Form 8-K, File No. 001-35700, filed by the Company with the SEC on June 7, 2022).</w:t>
              </w:r>
            </w:hyperlink>
          </w:p>
        </w:tc>
      </w:tr>
      <w:tr>
        <w:trPr/>
        <w:tc>
          <w:tcPr>
            <w:tcW w:w="9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6" w:type="dxa"/>
            <w:gridSpan w:val="3"/>
            <w:tcBorders/>
            <w:shd w:fill="CCEEFF" w:val="clear"/>
            <w:tcMar>
              <w:top w:w="0" w:type="dxa"/>
              <w:left w:w="0" w:type="dxa"/>
              <w:bottom w:w="0" w:type="dxa"/>
              <w:right w:w="0" w:type="dxa"/>
            </w:tcMar>
            <w:vAlign w:val="center"/>
          </w:tcPr>
          <w:p>
            <w:pPr>
              <w:pStyle w:val="TableContents"/>
              <w:spacing w:lineRule="auto" w:line="288" w:before="0" w:after="0"/>
              <w:jc w:val="both"/>
              <w:rPr/>
            </w:pPr>
            <w:hyperlink r:id="rId13">
              <w:r>
                <w:rPr>
                  <w:rStyle w:val="InternetLink"/>
                  <w:rFonts w:ascii="Times New Roman;sans-serif" w:hAnsi="Times New Roman;sans-serif"/>
                  <w:b w:val="false"/>
                  <w:color w:val="0000FF"/>
                  <w:sz w:val="19"/>
                  <w:u w:val="single"/>
                </w:rPr>
                <w:t>List of Issuers and Guarantor Subsidiaries (incorporated by reference to Exhibit 22.1 to the Form 10-Q, File No. 001-35700, filed by the Company with the SEC on August 5, 2021).</w:t>
              </w:r>
            </w:hyperlink>
          </w:p>
        </w:tc>
      </w:tr>
      <w:tr>
        <w:trPr/>
        <w:tc>
          <w:tcPr>
            <w:tcW w:w="952" w:type="dxa"/>
            <w:gridSpan w:val="3"/>
            <w:tcBorders/>
            <w:shd w:fill="FFFFFF" w:val="clear"/>
            <w:tcMar>
              <w:top w:w="0" w:type="dxa"/>
              <w:left w:w="0" w:type="dxa"/>
              <w:bottom w:w="0" w:type="dxa"/>
              <w:right w:w="0" w:type="dxa"/>
            </w:tcMar>
            <w:vAlign w:val="center"/>
          </w:tcPr>
          <w:p>
            <w:pPr>
              <w:pStyle w:val="TableContents"/>
              <w:spacing w:lineRule="auto" w:line="240" w:before="0" w:after="120"/>
              <w:jc w:val="left"/>
              <w:rPr>
                <w:rFonts w:ascii="Times New Roman;sans-serif" w:hAnsi="Times New Roman;sans-serif"/>
                <w:b w:val="false"/>
                <w:color w:val="000000"/>
                <w:sz w:val="19"/>
              </w:rPr>
            </w:pPr>
            <w:r>
              <w:rPr>
                <w:rFonts w:ascii="Times New Roman;sans-serif" w:hAnsi="Times New Roman;sans-serif"/>
                <w:b w:val="false"/>
                <w:color w:val="000000"/>
                <w:sz w:val="19"/>
              </w:rPr>
              <w:t>31.1*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6" w:type="dxa"/>
            <w:gridSpan w:val="3"/>
            <w:tcBorders/>
            <w:shd w:fill="FFFFFF" w:val="clear"/>
            <w:tcMar>
              <w:top w:w="0" w:type="dxa"/>
              <w:left w:w="0" w:type="dxa"/>
              <w:bottom w:w="0" w:type="dxa"/>
              <w:right w:w="0" w:type="dxa"/>
            </w:tcMar>
            <w:vAlign w:val="center"/>
          </w:tcPr>
          <w:p>
            <w:pPr>
              <w:pStyle w:val="TableContents"/>
              <w:spacing w:lineRule="auto" w:line="288" w:before="0" w:after="0"/>
              <w:jc w:val="both"/>
              <w:rPr/>
            </w:pPr>
            <w:hyperlink w:anchor="q12023diamondback10-qxex311.htm">
              <w:r>
                <w:rPr>
                  <w:rStyle w:val="InternetLink"/>
                  <w:rFonts w:ascii="Times New Roman;sans-serif" w:hAnsi="Times New Roman;sans-serif"/>
                  <w:b w:val="false"/>
                  <w:color w:val="0000FF"/>
                  <w:sz w:val="19"/>
                  <w:u w:val="single"/>
                </w:rPr>
                <w:t>Certification of Chief Executive Officer of the Registrant pursuant to Rule 13a-14(a) promulgated under the Securities Exchange Act of 1934, as amended.</w:t>
              </w:r>
            </w:hyperlink>
          </w:p>
        </w:tc>
      </w:tr>
      <w:tr>
        <w:trPr/>
        <w:tc>
          <w:tcPr>
            <w:tcW w:w="952" w:type="dxa"/>
            <w:gridSpan w:val="3"/>
            <w:tcBorders/>
            <w:shd w:fill="CCEEFF" w:val="clear"/>
            <w:tcMar>
              <w:top w:w="0" w:type="dxa"/>
              <w:left w:w="0" w:type="dxa"/>
              <w:bottom w:w="0" w:type="dxa"/>
              <w:right w:w="0" w:type="dxa"/>
            </w:tcMar>
            <w:vAlign w:val="center"/>
          </w:tcPr>
          <w:p>
            <w:pPr>
              <w:pStyle w:val="TableContents"/>
              <w:spacing w:lineRule="auto" w:line="240" w:before="0" w:after="120"/>
              <w:jc w:val="left"/>
              <w:rPr>
                <w:rFonts w:ascii="Times New Roman;sans-serif" w:hAnsi="Times New Roman;sans-serif"/>
                <w:b w:val="false"/>
                <w:color w:val="000000"/>
                <w:sz w:val="19"/>
              </w:rPr>
            </w:pPr>
            <w:r>
              <w:rPr>
                <w:rFonts w:ascii="Times New Roman;sans-serif" w:hAnsi="Times New Roman;sans-serif"/>
                <w:b w:val="false"/>
                <w:color w:val="000000"/>
                <w:sz w:val="19"/>
              </w:rPr>
              <w:t>31.2*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6" w:type="dxa"/>
            <w:gridSpan w:val="3"/>
            <w:tcBorders/>
            <w:shd w:fill="CCEEFF" w:val="clear"/>
            <w:tcMar>
              <w:top w:w="0" w:type="dxa"/>
              <w:left w:w="0" w:type="dxa"/>
              <w:bottom w:w="0" w:type="dxa"/>
              <w:right w:w="0" w:type="dxa"/>
            </w:tcMar>
            <w:vAlign w:val="center"/>
          </w:tcPr>
          <w:p>
            <w:pPr>
              <w:pStyle w:val="TableContents"/>
              <w:spacing w:lineRule="auto" w:line="288" w:before="0" w:after="0"/>
              <w:jc w:val="both"/>
              <w:rPr/>
            </w:pPr>
            <w:hyperlink w:anchor="q12023diamondback10-qxex312.htm">
              <w:r>
                <w:rPr>
                  <w:rStyle w:val="InternetLink"/>
                  <w:rFonts w:ascii="Times New Roman;sans-serif" w:hAnsi="Times New Roman;sans-serif"/>
                  <w:b w:val="false"/>
                  <w:color w:val="0000FF"/>
                  <w:sz w:val="19"/>
                  <w:u w:val="single"/>
                </w:rPr>
                <w:t>Certification of Chief Financial Officer of the Registrant pursuant to Rule 13a-14(a) promulgated under the Securities Exchange Act of 1934, as amended.</w:t>
              </w:r>
            </w:hyperlink>
          </w:p>
        </w:tc>
      </w:tr>
      <w:tr>
        <w:trPr/>
        <w:tc>
          <w:tcPr>
            <w:tcW w:w="952" w:type="dxa"/>
            <w:gridSpan w:val="3"/>
            <w:tcBorders/>
            <w:shd w:fill="FFFFFF" w:val="clear"/>
            <w:tcMar>
              <w:top w:w="0" w:type="dxa"/>
              <w:left w:w="0" w:type="dxa"/>
              <w:bottom w:w="0" w:type="dxa"/>
              <w:right w:w="0" w:type="dxa"/>
            </w:tcMar>
            <w:vAlign w:val="center"/>
          </w:tcPr>
          <w:p>
            <w:pPr>
              <w:pStyle w:val="TableContents"/>
              <w:spacing w:lineRule="auto" w:line="240" w:before="0" w:after="120"/>
              <w:jc w:val="left"/>
              <w:rPr>
                <w:rFonts w:ascii="Times New Roman;sans-serif" w:hAnsi="Times New Roman;sans-serif"/>
                <w:b w:val="false"/>
                <w:color w:val="000000"/>
                <w:sz w:val="19"/>
              </w:rPr>
            </w:pPr>
            <w:r>
              <w:rPr>
                <w:rFonts w:ascii="Times New Roman;sans-serif" w:hAnsi="Times New Roman;sans-serif"/>
                <w:b w:val="false"/>
                <w:color w:val="000000"/>
                <w:sz w:val="19"/>
              </w:rPr>
              <w:t>32.1**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6" w:type="dxa"/>
            <w:gridSpan w:val="3"/>
            <w:tcBorders/>
            <w:shd w:fill="FFFFFF" w:val="clear"/>
            <w:tcMar>
              <w:top w:w="0" w:type="dxa"/>
              <w:left w:w="0" w:type="dxa"/>
              <w:bottom w:w="0" w:type="dxa"/>
              <w:right w:w="0" w:type="dxa"/>
            </w:tcMar>
            <w:vAlign w:val="center"/>
          </w:tcPr>
          <w:p>
            <w:pPr>
              <w:pStyle w:val="TableContents"/>
              <w:spacing w:lineRule="auto" w:line="288" w:before="0" w:after="0"/>
              <w:jc w:val="both"/>
              <w:rPr/>
            </w:pPr>
            <w:hyperlink w:anchor="q12023diamondback10-qxex321.htm">
              <w:r>
                <w:rPr>
                  <w:rStyle w:val="InternetLink"/>
                  <w:rFonts w:ascii="Times New Roman;sans-serif" w:hAnsi="Times New Roman;sans-serif"/>
                  <w:b w:val="false"/>
                  <w:color w:val="0000FF"/>
                  <w:sz w:val="19"/>
                  <w:u w:val="single"/>
                </w:rPr>
                <w:t>Certification of Chief Executive Officer of the Registrant pursuant to Rule 13a-14(b) promulgated under the Securities Exchange Act of 1934, as amended, and Section 1350 of Chapter 63 of Title 18 of the United States Code.</w:t>
              </w:r>
            </w:hyperlink>
          </w:p>
        </w:tc>
      </w:tr>
      <w:tr>
        <w:trPr/>
        <w:tc>
          <w:tcPr>
            <w:tcW w:w="952" w:type="dxa"/>
            <w:gridSpan w:val="3"/>
            <w:tcBorders/>
            <w:shd w:fill="CCEEFF" w:val="clear"/>
            <w:tcMar>
              <w:top w:w="0" w:type="dxa"/>
              <w:left w:w="0" w:type="dxa"/>
              <w:bottom w:w="0" w:type="dxa"/>
              <w:right w:w="0" w:type="dxa"/>
            </w:tcMar>
            <w:vAlign w:val="center"/>
          </w:tcPr>
          <w:p>
            <w:pPr>
              <w:pStyle w:val="TableContents"/>
              <w:spacing w:lineRule="auto" w:line="240" w:before="0" w:after="120"/>
              <w:jc w:val="left"/>
              <w:rPr>
                <w:rFonts w:ascii="Times New Roman;sans-serif" w:hAnsi="Times New Roman;sans-serif"/>
                <w:b w:val="false"/>
                <w:color w:val="000000"/>
                <w:sz w:val="19"/>
              </w:rPr>
            </w:pPr>
            <w:r>
              <w:rPr>
                <w:rFonts w:ascii="Times New Roman;sans-serif" w:hAnsi="Times New Roman;sans-serif"/>
                <w:b w:val="false"/>
                <w:color w:val="000000"/>
                <w:sz w:val="19"/>
              </w:rPr>
              <w:t>32.2**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6" w:type="dxa"/>
            <w:gridSpan w:val="3"/>
            <w:tcBorders/>
            <w:shd w:fill="CCEEFF" w:val="clear"/>
            <w:tcMar>
              <w:top w:w="0" w:type="dxa"/>
              <w:left w:w="0" w:type="dxa"/>
              <w:bottom w:w="0" w:type="dxa"/>
              <w:right w:w="0" w:type="dxa"/>
            </w:tcMar>
            <w:vAlign w:val="center"/>
          </w:tcPr>
          <w:p>
            <w:pPr>
              <w:pStyle w:val="TableContents"/>
              <w:spacing w:lineRule="auto" w:line="288" w:before="0" w:after="0"/>
              <w:jc w:val="both"/>
              <w:rPr/>
            </w:pPr>
            <w:hyperlink w:anchor="q12023diamondback10-qxex322.htm">
              <w:r>
                <w:rPr>
                  <w:rStyle w:val="InternetLink"/>
                  <w:rFonts w:ascii="Times New Roman;sans-serif" w:hAnsi="Times New Roman;sans-serif"/>
                  <w:b w:val="false"/>
                  <w:color w:val="0000FF"/>
                  <w:sz w:val="19"/>
                  <w:u w:val="single"/>
                </w:rPr>
                <w:t>Certification of Chief Financial Officer of the Registrant pursuant to Rule 13a-14(b) promulgated under the Securities Exchange Act of 1934, as amended, and Section 1350 of Chapter 63 of Title 18 of the United States Code.</w:t>
              </w:r>
            </w:hyperlink>
          </w:p>
        </w:tc>
      </w:tr>
      <w:tr>
        <w:trPr/>
        <w:tc>
          <w:tcPr>
            <w:tcW w:w="9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101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6"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The following financial information from the Company’s Quarterly Report on Form 10-Q for the quarter ended March 31, 2023, formatted in Inline XBRL: (i) Condensed Consolidated Balance Sheets, (ii) Condensed Consolidated Statements of Operations, (iii) Condensed Consolidated Statement of Changes in Stockholders’ Equity, (iv) Condensed Consolidated Statements of Cash Flows and (v) Condensed Notes to Consolidated Financial Statements.</w:t>
            </w:r>
          </w:p>
        </w:tc>
      </w:tr>
      <w:tr>
        <w:trPr/>
        <w:tc>
          <w:tcPr>
            <w:tcW w:w="9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104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6" w:type="dxa"/>
            <w:gridSpan w:val="3"/>
            <w:tcBorders/>
            <w:shd w:fill="CCEEFF" w:val="clear"/>
            <w:tcMar>
              <w:top w:w="0" w:type="dxa"/>
              <w:left w:w="0" w:type="dxa"/>
              <w:bottom w:w="0" w:type="dxa"/>
              <w:right w:w="0" w:type="dxa"/>
            </w:tcMar>
            <w:vAlign w:val="center"/>
          </w:tcPr>
          <w:p>
            <w:pPr>
              <w:pStyle w:val="TableContents"/>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Cover Page Interactive Data File (formatted as Inline XBRL and contained in Exhibit 101).</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w:t>
      </w:r>
    </w:p>
    <w:tbl>
      <w:tblPr>
        <w:tblW w:w="10205" w:type="dxa"/>
        <w:jc w:val="left"/>
        <w:tblInd w:w="0" w:type="dxa"/>
        <w:tblCellMar>
          <w:top w:w="28" w:type="dxa"/>
          <w:left w:w="28" w:type="dxa"/>
          <w:bottom w:w="28" w:type="dxa"/>
          <w:right w:w="28" w:type="dxa"/>
        </w:tblCellMar>
      </w:tblPr>
      <w:tblGrid>
        <w:gridCol w:w="124"/>
        <w:gridCol w:w="109"/>
        <w:gridCol w:w="109"/>
        <w:gridCol w:w="2884"/>
        <w:gridCol w:w="2884"/>
        <w:gridCol w:w="409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409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120"/>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120"/>
              <w:jc w:val="left"/>
              <w:rPr>
                <w:rFonts w:ascii="Times New Roman;sans-serif" w:hAnsi="Times New Roman;sans-serif"/>
                <w:b w:val="false"/>
                <w:color w:val="000000"/>
                <w:sz w:val="19"/>
              </w:rPr>
            </w:pPr>
            <w:r>
              <w:rPr>
                <w:rFonts w:ascii="Times New Roman;sans-serif" w:hAnsi="Times New Roman;sans-serif"/>
                <w:b w:val="false"/>
                <w:color w:val="000000"/>
                <w:sz w:val="19"/>
              </w:rPr>
              <w:t>Filed herewith.</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120"/>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120"/>
              <w:jc w:val="both"/>
              <w:rPr>
                <w:rFonts w:ascii="Times New Roman;sans-serif" w:hAnsi="Times New Roman;sans-serif"/>
                <w:b w:val="false"/>
                <w:color w:val="000000"/>
                <w:sz w:val="19"/>
              </w:rPr>
            </w:pPr>
            <w:r>
              <w:rPr>
                <w:rFonts w:ascii="Times New Roman;sans-serif" w:hAnsi="Times New Roman;sans-serif"/>
                <w:b w:val="false"/>
                <w:color w:val="000000"/>
                <w:sz w:val="19"/>
              </w:rPr>
              <w:t>The certifications attached as Exhibit 32.1 and Exhibit 32.2 accompany this Quarterly Report on Form 10-Q pursuant to 18 U.S.C. Section 1350, as adopted pursuant to Section 906 of the Sarbanes-Oxley Act of 2002, and shall not be deemed “filed” by the Registrant for purposes of Section 18 of the Securities Exchange Act of 1934, as amended.</w:t>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9863"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9863"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pPr>
      <w:hyperlink w:anchor="i7011061f248747c88de11895562af037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and Exchange Act of 1934, the Registrant has duly caused this report to be signed on its behalf by the undersigned thereunto duly authorized.</w:t>
      </w:r>
    </w:p>
    <w:p>
      <w:pPr>
        <w:pStyle w:val="TextBody"/>
        <w:spacing w:before="0" w:after="0"/>
        <w:ind w:left="0" w:right="0" w:firstLine="720"/>
        <w:jc w:val="both"/>
        <w:rPr/>
      </w:pPr>
      <w:r>
        <w:rPr/>
      </w:r>
    </w:p>
    <w:tbl>
      <w:tblPr>
        <w:tblW w:w="4588" w:type="dxa"/>
        <w:jc w:val="center"/>
        <w:tblInd w:w="0" w:type="dxa"/>
        <w:tblCellMar>
          <w:top w:w="28" w:type="dxa"/>
          <w:left w:w="28" w:type="dxa"/>
          <w:bottom w:w="28" w:type="dxa"/>
          <w:right w:w="28" w:type="dxa"/>
        </w:tblCellMar>
      </w:tblPr>
      <w:tblGrid>
        <w:gridCol w:w="200"/>
        <w:gridCol w:w="177"/>
        <w:gridCol w:w="178"/>
        <w:gridCol w:w="379"/>
        <w:gridCol w:w="379"/>
        <w:gridCol w:w="381"/>
        <w:gridCol w:w="847"/>
        <w:gridCol w:w="847"/>
        <w:gridCol w:w="1200"/>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1200"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DIAMONDBACK ENERGY, INC.</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3, 2023</w:t>
            </w:r>
          </w:p>
        </w:tc>
        <w:tc>
          <w:tcPr>
            <w:tcW w:w="28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Travis D. Stice</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Travis D. Stice</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3, 2023</w:t>
            </w:r>
          </w:p>
        </w:tc>
        <w:tc>
          <w:tcPr>
            <w:tcW w:w="28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Kaes Van’t Hof</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Kaes Van’t Hof</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 Travis D. Stice, certify that: </w:t>
      </w:r>
    </w:p>
    <w:p>
      <w:pPr>
        <w:pStyle w:val="TextBody"/>
        <w:spacing w:lineRule="auto" w:line="288" w:before="10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Diamondback Energy, Inc. </w:t>
      </w:r>
    </w:p>
    <w:p>
      <w:pPr>
        <w:pStyle w:val="TextBody"/>
        <w:spacing w:lineRule="auto" w:line="288" w:before="10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lineRule="auto" w:line="288" w:before="10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lineRule="auto" w:line="288" w:before="10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 </w:t>
      </w:r>
    </w:p>
    <w:p>
      <w:pPr>
        <w:pStyle w:val="TextBody"/>
        <w:spacing w:lineRule="auto" w:line="288" w:before="10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lineRule="auto" w:line="288" w:before="10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0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lineRule="auto" w:line="288" w:before="10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spacing w:lineRule="auto" w:line="288" w:before="10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spacing w:lineRule="auto" w:line="288" w:before="10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lineRule="auto" w:line="288" w:before="100" w:after="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spacing w:lineRule="auto" w:line="288" w:before="0" w:after="0"/>
        <w:rPr>
          <w:color w:val="000000"/>
        </w:rPr>
      </w:pPr>
      <w:r>
        <w:rPr>
          <w:color w:val="000000"/>
        </w:rPr>
        <w:t> </w:t>
      </w:r>
    </w:p>
    <w:tbl>
      <w:tblPr>
        <w:tblW w:w="4134" w:type="dxa"/>
        <w:jc w:val="left"/>
        <w:tblInd w:w="0" w:type="dxa"/>
        <w:tblCellMar>
          <w:top w:w="28" w:type="dxa"/>
          <w:left w:w="28" w:type="dxa"/>
          <w:bottom w:w="28" w:type="dxa"/>
          <w:right w:w="28" w:type="dxa"/>
        </w:tblCellMar>
      </w:tblPr>
      <w:tblGrid>
        <w:gridCol w:w="216"/>
        <w:gridCol w:w="191"/>
        <w:gridCol w:w="192"/>
        <w:gridCol w:w="379"/>
        <w:gridCol w:w="379"/>
        <w:gridCol w:w="381"/>
        <w:gridCol w:w="109"/>
        <w:gridCol w:w="109"/>
        <w:gridCol w:w="109"/>
        <w:gridCol w:w="603"/>
        <w:gridCol w:w="603"/>
        <w:gridCol w:w="863"/>
      </w:tblGrid>
      <w:tr>
        <w:trPr/>
        <w:tc>
          <w:tcPr>
            <w:tcW w:w="21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3,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Travis D. Stice</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Travis D. Stice</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 Kaes Van't Hof, certify that: </w:t>
      </w:r>
    </w:p>
    <w:p>
      <w:pPr>
        <w:pStyle w:val="TextBody"/>
        <w:spacing w:lineRule="auto" w:line="288" w:before="10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Diamondback Energy, Inc. </w:t>
      </w:r>
    </w:p>
    <w:p>
      <w:pPr>
        <w:pStyle w:val="TextBody"/>
        <w:spacing w:lineRule="auto" w:line="288" w:before="10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lineRule="auto" w:line="288" w:before="10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lineRule="auto" w:line="288" w:before="10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 </w:t>
      </w:r>
    </w:p>
    <w:p>
      <w:pPr>
        <w:pStyle w:val="TextBody"/>
        <w:spacing w:lineRule="auto" w:line="288" w:before="10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lineRule="auto" w:line="288" w:before="10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0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lineRule="auto" w:line="288" w:before="10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spacing w:lineRule="auto" w:line="288" w:before="10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spacing w:lineRule="auto" w:line="288" w:before="10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lineRule="auto" w:line="288" w:before="100" w:after="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spacing w:lineRule="auto" w:line="288" w:before="0" w:after="0"/>
        <w:rPr>
          <w:color w:val="000000"/>
        </w:rPr>
      </w:pPr>
      <w:r>
        <w:rPr>
          <w:color w:val="000000"/>
        </w:rPr>
        <w:t> </w:t>
      </w:r>
    </w:p>
    <w:tbl>
      <w:tblPr>
        <w:tblW w:w="4075" w:type="dxa"/>
        <w:jc w:val="left"/>
        <w:tblInd w:w="0" w:type="dxa"/>
        <w:tblCellMar>
          <w:top w:w="28" w:type="dxa"/>
          <w:left w:w="28" w:type="dxa"/>
          <w:bottom w:w="28" w:type="dxa"/>
          <w:right w:w="28" w:type="dxa"/>
        </w:tblCellMar>
      </w:tblPr>
      <w:tblGrid>
        <w:gridCol w:w="216"/>
        <w:gridCol w:w="191"/>
        <w:gridCol w:w="192"/>
        <w:gridCol w:w="379"/>
        <w:gridCol w:w="379"/>
        <w:gridCol w:w="381"/>
        <w:gridCol w:w="109"/>
        <w:gridCol w:w="109"/>
        <w:gridCol w:w="109"/>
        <w:gridCol w:w="588"/>
        <w:gridCol w:w="588"/>
        <w:gridCol w:w="834"/>
      </w:tblGrid>
      <w:tr>
        <w:trPr/>
        <w:tc>
          <w:tcPr>
            <w:tcW w:w="21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3,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Kaes Van't Hof</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Kaes Van't Hof</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PERIOD REPORT </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on Form 10-Q of Diamondback Energy, Inc. (the "Company"), as filed with the Securities and Exchange Commission on the date hereof (the "Report"), I, the undersigned, Travis D. Stice, Chief Executive Officer of Diamondback Energy, Inc., certify, pursuant to Section 906 of the Sarbanes-Oxley Act of 2002, 18 U.S.C. Section 1350, that, to the best of my knowledge: </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(1) The Report fully complies with the requirements of Section 13(a) or 15(d) of the Securities Exchange Act of 1934 (15 U.S.C. 78m(a) or 78o(d)); and </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(2) the information contained in the Report fairly presents, in all material respects, the financial condition and results of operations of the Company. </w:t>
      </w:r>
    </w:p>
    <w:p>
      <w:pPr>
        <w:pStyle w:val="TextBody"/>
        <w:spacing w:lineRule="auto" w:line="288" w:before="0" w:after="0"/>
        <w:rPr>
          <w:color w:val="000000"/>
        </w:rPr>
      </w:pPr>
      <w:r>
        <w:rPr>
          <w:color w:val="000000"/>
        </w:rPr>
        <w:t> </w:t>
      </w:r>
    </w:p>
    <w:tbl>
      <w:tblPr>
        <w:tblW w:w="4134" w:type="dxa"/>
        <w:jc w:val="left"/>
        <w:tblInd w:w="0" w:type="dxa"/>
        <w:tblCellMar>
          <w:top w:w="28" w:type="dxa"/>
          <w:left w:w="28" w:type="dxa"/>
          <w:bottom w:w="28" w:type="dxa"/>
          <w:right w:w="28" w:type="dxa"/>
        </w:tblCellMar>
      </w:tblPr>
      <w:tblGrid>
        <w:gridCol w:w="216"/>
        <w:gridCol w:w="191"/>
        <w:gridCol w:w="192"/>
        <w:gridCol w:w="379"/>
        <w:gridCol w:w="379"/>
        <w:gridCol w:w="381"/>
        <w:gridCol w:w="109"/>
        <w:gridCol w:w="109"/>
        <w:gridCol w:w="109"/>
        <w:gridCol w:w="603"/>
        <w:gridCol w:w="603"/>
        <w:gridCol w:w="863"/>
      </w:tblGrid>
      <w:tr>
        <w:trPr/>
        <w:tc>
          <w:tcPr>
            <w:tcW w:w="21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3,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Travis D. Stice</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Travis D. Stice</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spacing w:before="120" w:after="12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32.2 </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PERIOD REPORT </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on Form 10-Q of Diamondback Energy, Inc. (the "Company"), as filed with the Securities and Exchange Commission on the date hereof (the "Report"), I, the undersigned, Kaes Van't Hof, Chief Financial Officer of Diamondback Energy, Inc., certify, pursuant to Section 906 of the Sarbanes-Oxley Act of 2002, 18 U.S.C. Section 1350, that, to the best of my knowledge: </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(1) the Report fully complies with the requirements of Section 13(a) or 15(d) of the Securities Exchange Act of 1934 (15 U.S.C. 78m(a) or 78o(d)); and </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(2) the information contained in the Report fairly presents, in all material respects, the financial condition and results of operations of the Company. </w:t>
      </w:r>
    </w:p>
    <w:p>
      <w:pPr>
        <w:pStyle w:val="TextBody"/>
        <w:spacing w:lineRule="auto" w:line="288" w:before="0" w:after="0"/>
        <w:rPr>
          <w:color w:val="000000"/>
        </w:rPr>
      </w:pPr>
      <w:r>
        <w:rPr>
          <w:color w:val="000000"/>
        </w:rPr>
        <w:t> </w:t>
      </w:r>
    </w:p>
    <w:tbl>
      <w:tblPr>
        <w:tblW w:w="4075" w:type="dxa"/>
        <w:jc w:val="left"/>
        <w:tblInd w:w="0" w:type="dxa"/>
        <w:tblCellMar>
          <w:top w:w="28" w:type="dxa"/>
          <w:left w:w="28" w:type="dxa"/>
          <w:bottom w:w="28" w:type="dxa"/>
          <w:right w:w="28" w:type="dxa"/>
        </w:tblCellMar>
      </w:tblPr>
      <w:tblGrid>
        <w:gridCol w:w="216"/>
        <w:gridCol w:w="191"/>
        <w:gridCol w:w="192"/>
        <w:gridCol w:w="379"/>
        <w:gridCol w:w="379"/>
        <w:gridCol w:w="381"/>
        <w:gridCol w:w="109"/>
        <w:gridCol w:w="109"/>
        <w:gridCol w:w="109"/>
        <w:gridCol w:w="588"/>
        <w:gridCol w:w="588"/>
        <w:gridCol w:w="834"/>
      </w:tblGrid>
      <w:tr>
        <w:trPr/>
        <w:tc>
          <w:tcPr>
            <w:tcW w:w="21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3,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Kaes Van't Hof</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Kaes Van't Hof</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spacing w:before="300" w:after="283"/>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1539838/000153983823000022/fang-20221231.htm" TargetMode="External"/><Relationship Id="rId3" Type="http://schemas.openxmlformats.org/officeDocument/2006/relationships/hyperlink" Target="https://www.sec.gov/Archives/edgar/data/1748773/000119312522151937/d360984dex21.htm" TargetMode="External"/><Relationship Id="rId4" Type="http://schemas.openxmlformats.org/officeDocument/2006/relationships/hyperlink" Target="http://www.sec.gov/Archives/edgar/data/1539838/000153983812000004/exhibit31amendcertofincorp.htm" TargetMode="External"/><Relationship Id="rId5" Type="http://schemas.openxmlformats.org/officeDocument/2006/relationships/hyperlink" Target="http://www.sec.gov/Archives/edgar/data/1539838/000153983816000266/diamondbackex31-12x12x16.htm" TargetMode="External"/><Relationship Id="rId6" Type="http://schemas.openxmlformats.org/officeDocument/2006/relationships/hyperlink" Target="https://www.sec.gov/Archives/edgar/data/1539838/000153983821000095/diamondbackex31-6x2x21.htm" TargetMode="External"/><Relationship Id="rId7" Type="http://schemas.openxmlformats.org/officeDocument/2006/relationships/hyperlink" Target="https://www.sec.gov/Archives/edgar/data/1539838/000153983822000151/diamondbackex31-10x3x22.htm" TargetMode="External"/><Relationship Id="rId8" Type="http://schemas.openxmlformats.org/officeDocument/2006/relationships/hyperlink" Target="http://www.sec.gov/Archives/edgar/data/1539838/000119312512360997/d295327dex41.htm" TargetMode="External"/><Relationship Id="rId9" Type="http://schemas.openxmlformats.org/officeDocument/2006/relationships/hyperlink" Target="https://www.sec.gov/Archives/edgar/data/1539838/000119312521148164/d301323dex43.htm" TargetMode="External"/><Relationship Id="rId10" Type="http://schemas.openxmlformats.org/officeDocument/2006/relationships/hyperlink" Target="https://www.sec.gov/Archives/edgar/data/1539838/000119312521148164/d301323dex44.htm" TargetMode="External"/><Relationship Id="rId11" Type="http://schemas.openxmlformats.org/officeDocument/2006/relationships/hyperlink" Target="http://www.sec.gov/Archives/edgar/data/1539838/000110465922112432/tm2229096d1_ex4-2.htm" TargetMode="External"/><Relationship Id="rId12" Type="http://schemas.openxmlformats.org/officeDocument/2006/relationships/hyperlink" Target="http://www.sec.gov/Archives/edgar/data/1539838/000153983822000073/diamondback-ex101x6x2x22.htm" TargetMode="External"/><Relationship Id="rId13" Type="http://schemas.openxmlformats.org/officeDocument/2006/relationships/hyperlink" Target="https://www.sec.gov/Archives/edgar/data/1539838/000153983821000117/diamondback-ex211x821.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23349</Words>
  <CharactersWithSpaces>148975</CharactersWithSpaces>
  <Paragraphs>3285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