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434975</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340995</wp:posOffset>
            </wp:positionV>
            <wp:extent cx="68865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-199390</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108585</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UNDER SECTION 13 OR 15(d) OF THE SECURITIES EXCHANGE ACT OF 1934</w:t>
      </w:r>
    </w:p>
    <w:p>
      <w:pPr>
        <w:spacing w:after="0" w:line="63" w:lineRule="exact"/>
        <w:rPr>
          <w:rFonts w:ascii="MS PGothic" w:cs="MS PGothic" w:eastAsia="MS PGothic" w:hAnsi="MS PGothic"/>
          <w:sz w:val="22"/>
          <w:szCs w:val="22"/>
          <w:color w:val="auto"/>
        </w:rPr>
      </w:pPr>
    </w:p>
    <w:p>
      <w:pPr>
        <w:ind w:left="43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2019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UNDER SECTION 13 OR 15(d) OF SECURITIES EXCHANGE ACT OF 1934</w:t>
      </w:r>
    </w:p>
    <w:p>
      <w:pPr>
        <w:spacing w:after="0" w:line="63" w:lineRule="exact"/>
        <w:rPr>
          <w:rFonts w:ascii="MS PGothic" w:cs="MS PGothic" w:eastAsia="MS PGothic" w:hAnsi="MS PGothic"/>
          <w:sz w:val="22"/>
          <w:szCs w:val="22"/>
          <w:color w:val="auto"/>
        </w:rPr>
      </w:pPr>
    </w:p>
    <w:p>
      <w:pPr>
        <w:ind w:left="43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001-35700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-240665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73025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700" w:type="dxa"/>
            <w:vAlign w:val="bottom"/>
          </w:tcPr>
          <w:p>
            <w:pPr>
              <w:jc w:val="center"/>
              <w:ind w:left="503"/>
              <w:spacing w:after="0"/>
              <w:rPr>
                <w:sz w:val="20"/>
                <w:szCs w:val="20"/>
                <w:color w:val="auto"/>
              </w:rPr>
            </w:pPr>
            <w:r>
              <w:rPr>
                <w:rFonts w:ascii="Arial" w:cs="Arial" w:eastAsia="Arial" w:hAnsi="Arial"/>
                <w:sz w:val="16"/>
                <w:szCs w:val="16"/>
                <w:b w:val="1"/>
                <w:bCs w:val="1"/>
                <w:color w:val="auto"/>
              </w:rPr>
              <w:t>DE</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right"/>
              <w:ind w:right="1025"/>
              <w:spacing w:after="0"/>
              <w:rPr>
                <w:sz w:val="20"/>
                <w:szCs w:val="20"/>
                <w:color w:val="auto"/>
              </w:rPr>
            </w:pPr>
            <w:r>
              <w:rPr>
                <w:rFonts w:ascii="Arial" w:cs="Arial" w:eastAsia="Arial" w:hAnsi="Arial"/>
                <w:sz w:val="16"/>
                <w:szCs w:val="16"/>
                <w:b w:val="1"/>
                <w:bCs w:val="1"/>
                <w:color w:val="auto"/>
              </w:rPr>
              <w:t>45-4502447</w:t>
            </w:r>
          </w:p>
        </w:tc>
        <w:tc>
          <w:tcPr>
            <w:tcW w:w="0" w:type="dxa"/>
            <w:vAlign w:val="bottom"/>
          </w:tcPr>
          <w:p>
            <w:pPr>
              <w:spacing w:after="0"/>
              <w:rPr>
                <w:sz w:val="1"/>
                <w:szCs w:val="1"/>
                <w:color w:val="auto"/>
              </w:rPr>
            </w:pPr>
          </w:p>
        </w:tc>
      </w:tr>
      <w:tr>
        <w:trPr>
          <w:trHeight w:val="440"/>
        </w:trPr>
        <w:tc>
          <w:tcPr>
            <w:tcW w:w="7640" w:type="dxa"/>
            <w:vAlign w:val="bottom"/>
            <w:gridSpan w:val="4"/>
          </w:tcPr>
          <w:p>
            <w:pPr>
              <w:jc w:val="center"/>
              <w:ind w:right="236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(I.R.S. Employer Identification Number)</w:t>
            </w:r>
          </w:p>
        </w:tc>
        <w:tc>
          <w:tcPr>
            <w:tcW w:w="0" w:type="dxa"/>
            <w:vAlign w:val="bottom"/>
          </w:tcPr>
          <w:p>
            <w:pPr>
              <w:spacing w:after="0"/>
              <w:rPr>
                <w:sz w:val="1"/>
                <w:szCs w:val="1"/>
                <w:color w:val="auto"/>
              </w:rPr>
            </w:pPr>
          </w:p>
        </w:tc>
      </w:tr>
      <w:tr>
        <w:trPr>
          <w:trHeight w:val="627"/>
        </w:trPr>
        <w:tc>
          <w:tcPr>
            <w:tcW w:w="1500" w:type="dxa"/>
            <w:vAlign w:val="bottom"/>
          </w:tcPr>
          <w:p>
            <w:pPr>
              <w:spacing w:after="0"/>
              <w:rPr>
                <w:sz w:val="24"/>
                <w:szCs w:val="24"/>
                <w:color w:val="auto"/>
              </w:rPr>
            </w:pPr>
          </w:p>
        </w:tc>
        <w:tc>
          <w:tcPr>
            <w:tcW w:w="1700" w:type="dxa"/>
            <w:vAlign w:val="bottom"/>
          </w:tcPr>
          <w:p>
            <w:pPr>
              <w:jc w:val="center"/>
              <w:ind w:left="503"/>
              <w:spacing w:after="0"/>
              <w:rPr>
                <w:sz w:val="20"/>
                <w:szCs w:val="20"/>
                <w:color w:val="auto"/>
              </w:rPr>
            </w:pPr>
            <w:r>
              <w:rPr>
                <w:rFonts w:ascii="Arial" w:cs="Arial" w:eastAsia="Arial" w:hAnsi="Arial"/>
                <w:sz w:val="16"/>
                <w:szCs w:val="16"/>
                <w:b w:val="1"/>
                <w:bCs w:val="1"/>
                <w:color w:val="auto"/>
                <w:w w:val="87"/>
              </w:rPr>
              <w:t>500 West Texas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700" w:type="dxa"/>
            <w:vAlign w:val="bottom"/>
          </w:tcPr>
          <w:p>
            <w:pPr>
              <w:jc w:val="center"/>
              <w:ind w:left="503"/>
              <w:spacing w:after="0"/>
              <w:rPr>
                <w:sz w:val="20"/>
                <w:szCs w:val="20"/>
                <w:color w:val="auto"/>
              </w:rPr>
            </w:pPr>
            <w:r>
              <w:rPr>
                <w:rFonts w:ascii="Arial" w:cs="Arial" w:eastAsia="Arial" w:hAnsi="Arial"/>
                <w:sz w:val="16"/>
                <w:szCs w:val="16"/>
                <w:b w:val="1"/>
                <w:bCs w:val="1"/>
                <w:color w:val="auto"/>
                <w:w w:val="90"/>
              </w:rPr>
              <w:t>Suite 1200</w:t>
            </w: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700" w:type="dxa"/>
            <w:vAlign w:val="bottom"/>
          </w:tcPr>
          <w:p>
            <w:pPr>
              <w:ind w:left="480"/>
              <w:spacing w:after="0"/>
              <w:rPr>
                <w:sz w:val="20"/>
                <w:szCs w:val="20"/>
                <w:color w:val="auto"/>
              </w:rPr>
            </w:pPr>
            <w:r>
              <w:rPr>
                <w:rFonts w:ascii="Arial" w:cs="Arial" w:eastAsia="Arial" w:hAnsi="Arial"/>
                <w:sz w:val="16"/>
                <w:szCs w:val="16"/>
                <w:b w:val="1"/>
                <w:bCs w:val="1"/>
                <w:color w:val="auto"/>
              </w:rPr>
              <w:t>Midland, TX</w:t>
            </w: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tcPr>
          <w:p>
            <w:pPr>
              <w:jc w:val="right"/>
              <w:ind w:right="1205"/>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440"/>
        </w:trPr>
        <w:tc>
          <w:tcPr>
            <w:tcW w:w="7640" w:type="dxa"/>
            <w:vAlign w:val="bottom"/>
            <w:gridSpan w:val="4"/>
          </w:tcPr>
          <w:p>
            <w:pPr>
              <w:jc w:val="center"/>
              <w:ind w:right="23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ind w:left="96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606"/>
        </w:trPr>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0" w:type="dxa"/>
            <w:vAlign w:val="bottom"/>
            <w:gridSpan w:val="3"/>
          </w:tcPr>
          <w:p>
            <w:pPr>
              <w:ind w:left="260"/>
              <w:spacing w:after="0"/>
              <w:rPr>
                <w:sz w:val="20"/>
                <w:szCs w:val="20"/>
                <w:color w:val="auto"/>
              </w:rPr>
            </w:pPr>
            <w:r>
              <w:rPr>
                <w:rFonts w:ascii="Arial" w:cs="Arial" w:eastAsia="Arial" w:hAnsi="Arial"/>
                <w:sz w:val="14"/>
                <w:szCs w:val="14"/>
                <w:b w:val="1"/>
                <w:bCs w:val="1"/>
                <w:color w:val="auto"/>
              </w:rPr>
              <w:t xml:space="preserve">(Registrant Telephone Number, Including Area Code): </w:t>
            </w:r>
            <w:r>
              <w:rPr>
                <w:rFonts w:ascii="Arial" w:cs="Arial" w:eastAsia="Arial" w:hAnsi="Arial"/>
                <w:sz w:val="18"/>
                <w:szCs w:val="18"/>
                <w:b w:val="1"/>
                <w:bCs w:val="1"/>
                <w:color w:val="auto"/>
              </w:rPr>
              <w:t>(432) 221-7400</w:t>
            </w:r>
          </w:p>
        </w:tc>
        <w:tc>
          <w:tcPr>
            <w:tcW w:w="0" w:type="dxa"/>
            <w:vAlign w:val="bottom"/>
          </w:tcPr>
          <w:p>
            <w:pPr>
              <w:spacing w:after="0"/>
              <w:rPr>
                <w:sz w:val="1"/>
                <w:szCs w:val="1"/>
                <w:color w:val="auto"/>
              </w:rPr>
            </w:pPr>
          </w:p>
        </w:tc>
      </w:tr>
      <w:tr>
        <w:trPr>
          <w:trHeight w:val="380"/>
        </w:trPr>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40" w:type="dxa"/>
            <w:vAlign w:val="bottom"/>
            <w:gridSpan w:val="2"/>
          </w:tcPr>
          <w:p>
            <w:pPr>
              <w:ind w:left="4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340" w:type="dxa"/>
            <w:vAlign w:val="bottom"/>
            <w:vMerge w:val="restart"/>
          </w:tcPr>
          <w:p>
            <w:pPr>
              <w:jc w:val="center"/>
              <w:ind w:right="124"/>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vMerge w:val="restart"/>
          </w:tcPr>
          <w:p>
            <w:pPr>
              <w:spacing w:after="0"/>
              <w:rPr>
                <w:sz w:val="14"/>
                <w:szCs w:val="14"/>
                <w:color w:val="auto"/>
              </w:rPr>
            </w:pPr>
          </w:p>
        </w:tc>
        <w:tc>
          <w:tcPr>
            <w:tcW w:w="276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Name of Each Exchange on Which</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3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4"/>
                <w:szCs w:val="14"/>
                <w:color w:val="auto"/>
                <w:w w:val="93"/>
              </w:rPr>
              <w:t>Common Stock, par value</w:t>
            </w:r>
          </w:p>
        </w:tc>
        <w:tc>
          <w:tcPr>
            <w:tcW w:w="444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4"/>
              </w:rPr>
              <w:t>FANG</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$0.01 per share</w:t>
            </w:r>
          </w:p>
        </w:tc>
        <w:tc>
          <w:tcPr>
            <w:tcW w:w="4440" w:type="dxa"/>
            <w:vAlign w:val="bottom"/>
            <w:gridSpan w:val="2"/>
            <w:vMerge w:val="continue"/>
          </w:tcPr>
          <w:p>
            <w:pPr>
              <w:spacing w:after="0"/>
              <w:rPr>
                <w:sz w:val="15"/>
                <w:szCs w:val="15"/>
                <w:color w:val="auto"/>
              </w:rPr>
            </w:pPr>
          </w:p>
        </w:tc>
        <w:tc>
          <w:tcPr>
            <w:tcW w:w="2760" w:type="dxa"/>
            <w:vAlign w:val="bottom"/>
          </w:tcPr>
          <w:p>
            <w:pPr>
              <w:jc w:val="center"/>
              <w:ind w:right="2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jc w:val="center"/>
              <w:ind w:right="25"/>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40" w:type="dxa"/>
            <w:vAlign w:val="bottom"/>
            <w:gridSpan w:val="2"/>
          </w:tcPr>
          <w:p>
            <w:pPr>
              <w:ind w:left="240"/>
              <w:spacing w:after="0"/>
              <w:rPr>
                <w:sz w:val="20"/>
                <w:szCs w:val="20"/>
                <w:color w:val="auto"/>
              </w:rPr>
            </w:pPr>
            <w:r>
              <w:rPr>
                <w:rFonts w:ascii="Arial" w:cs="Arial" w:eastAsia="Arial" w:hAnsi="Arial"/>
                <w:sz w:val="14"/>
                <w:szCs w:val="14"/>
                <w:b w:val="1"/>
                <w:bCs w:val="1"/>
                <w:color w:val="auto"/>
                <w:w w:val="98"/>
              </w:rPr>
              <w:t>Securities registered pursuant to Section 12(g) of the Act: None</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7640" w:type="dxa"/>
            <w:vAlign w:val="bottom"/>
            <w:gridSpan w:val="4"/>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27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020" w:val="left"/>
          <w:tab w:leader="none" w:pos="758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2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96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w:t>
      </w:r>
    </w:p>
    <w:p>
      <w:pPr>
        <w:spacing w:after="0" w:line="159" w:lineRule="exact"/>
        <w:tabs>
          <w:tab w:leader="none" w:pos="3380" w:val="left"/>
        </w:tabs>
        <w:rPr>
          <w:sz w:val="20"/>
          <w:szCs w:val="20"/>
          <w:color w:val="auto"/>
        </w:rPr>
      </w:pPr>
      <w:r>
        <w:rPr>
          <w:rFonts w:ascii="Arial" w:cs="Arial" w:eastAsia="Arial" w:hAnsi="Arial"/>
          <w:sz w:val="14"/>
          <w:szCs w:val="14"/>
          <w:color w:val="auto"/>
        </w:rPr>
        <w:t>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28, 2019 was approximately $15.9 billion.</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14, 2020, 158,284,486 shares of the registrant’s common stock were outstanding.</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Portions of Diamondback Energy, Inc.’s Proxy Statement for the 2020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302895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208280</wp:posOffset>
            </wp:positionV>
            <wp:extent cx="68865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gridSpan w:val="6"/>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2"/>
            <w:shd w:val="clear" w:color="auto" w:fill="CCEEFF"/>
          </w:tcPr>
          <w:p>
            <w:pPr>
              <w:spacing w:after="0" w:line="16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Oil and Natural Gas Terms</w:t>
              </w:r>
            </w:hyperlink>
          </w:p>
        </w:tc>
        <w:tc>
          <w:tcPr>
            <w:tcW w:w="7880" w:type="dxa"/>
            <w:vAlign w:val="bottom"/>
            <w:tcBorders>
              <w:bottom w:val="single" w:sz="8" w:color="CCEEFF"/>
            </w:tcBorders>
            <w:gridSpan w:val="18"/>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5"/>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5"/>
            <w:shd w:val="clear" w:color="auto" w:fill="CCEEFF"/>
          </w:tcPr>
          <w:p>
            <w:pPr>
              <w:jc w:val="center"/>
              <w:ind w:right="260"/>
              <w:spacing w:after="0" w:line="20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vi</w:t>
              </w:r>
            </w:hyperlink>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320" w:type="dxa"/>
            <w:vAlign w:val="bottom"/>
            <w:gridSpan w:val="9"/>
            <w:shd w:val="clear" w:color="auto" w:fill="CCEEFF"/>
          </w:tcPr>
          <w:p>
            <w:pPr>
              <w:jc w:val="center"/>
              <w:ind w:right="4740"/>
              <w:spacing w:after="0" w:line="202" w:lineRule="exact"/>
              <w:rPr>
                <w:sz w:val="20"/>
                <w:szCs w:val="20"/>
                <w:color w:val="auto"/>
              </w:rPr>
            </w:pPr>
            <w:r>
              <w:rPr>
                <w:rFonts w:ascii="Arial" w:cs="Arial" w:eastAsia="Arial" w:hAnsi="Arial"/>
                <w:sz w:val="18"/>
                <w:szCs w:val="18"/>
                <w:b w:val="1"/>
                <w:bCs w:val="1"/>
                <w:color w:val="auto"/>
                <w:w w:val="98"/>
              </w:rPr>
              <w:t>PART I</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gridSpan w:val="21"/>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Items 1 and 2. Business and Properties</w:t>
              </w:r>
            </w:hyperlink>
          </w:p>
        </w:tc>
        <w:tc>
          <w:tcPr>
            <w:tcW w:w="580" w:type="dxa"/>
            <w:vAlign w:val="bottom"/>
            <w:tcBorders>
              <w:top w:val="single" w:sz="8" w:color="auto"/>
            </w:tcBorders>
          </w:tcPr>
          <w:p>
            <w:pPr>
              <w:spacing w:after="0"/>
              <w:rPr>
                <w:sz w:val="17"/>
                <w:szCs w:val="17"/>
                <w:color w:val="auto"/>
              </w:rPr>
            </w:pPr>
          </w:p>
        </w:tc>
        <w:tc>
          <w:tcPr>
            <w:tcW w:w="4740" w:type="dxa"/>
            <w:vAlign w:val="bottom"/>
            <w:tcBorders>
              <w:top w:val="single" w:sz="8" w:color="CCEEFF"/>
            </w:tcBorders>
            <w:gridSpan w:val="8"/>
          </w:tcPr>
          <w:p>
            <w:pPr>
              <w:spacing w:after="0"/>
              <w:rPr>
                <w:sz w:val="17"/>
                <w:szCs w:val="17"/>
                <w:color w:val="auto"/>
              </w:rPr>
            </w:pPr>
          </w:p>
        </w:tc>
        <w:tc>
          <w:tcPr>
            <w:tcW w:w="400" w:type="dxa"/>
            <w:vAlign w:val="bottom"/>
            <w:tcBorders>
              <w:top w:val="single" w:sz="8" w:color="CCEEFF"/>
            </w:tcBorders>
            <w:gridSpan w:val="3"/>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26</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1B. Unresolved Staff Comments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53</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3. Legal Proceedings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53</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4. Mine Safety Disclosures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53</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1"/>
          </w:tcPr>
          <w:p>
            <w:pPr>
              <w:jc w:val="center"/>
              <w:ind w:right="4680"/>
              <w:spacing w:after="0" w:line="202" w:lineRule="exact"/>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5. Market for Registrant's Common Equity, Related Stockholder Matters and Issuer Purchases of Equity Securities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54</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600" w:type="dxa"/>
            <w:vAlign w:val="bottom"/>
            <w:gridSpan w:val="2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6. Selected Financial Data</w:t>
              </w:r>
            </w:hyperlink>
          </w:p>
        </w:tc>
        <w:tc>
          <w:tcPr>
            <w:tcW w:w="2100" w:type="dxa"/>
            <w:vAlign w:val="bottom"/>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55</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000" w:type="dxa"/>
            <w:vAlign w:val="bottom"/>
            <w:gridSpan w:val="26"/>
            <w:shd w:val="clear" w:color="auto" w:fill="CCEEFF"/>
          </w:tcPr>
          <w:p>
            <w:pPr>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7. Management's Discussion and Analysis of Financial Condition and Results of Operations</w:t>
              </w:r>
            </w:hyperlink>
          </w:p>
        </w:tc>
        <w:tc>
          <w:tcPr>
            <w:tcW w:w="3700" w:type="dxa"/>
            <w:vAlign w:val="bottom"/>
            <w:gridSpan w:val="4"/>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57</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26"/>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7A. Quantitative and Qualitative Disclosures about Market Risk</w:t>
              </w:r>
            </w:hyperlink>
          </w:p>
        </w:tc>
        <w:tc>
          <w:tcPr>
            <w:tcW w:w="3700" w:type="dxa"/>
            <w:vAlign w:val="bottom"/>
            <w:gridSpan w:val="4"/>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80</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8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Item 8. Financial Statements and Supplementary Data</w:t>
              </w:r>
            </w:hyperlink>
          </w:p>
        </w:tc>
        <w:tc>
          <w:tcPr>
            <w:tcW w:w="6820" w:type="dxa"/>
            <w:vAlign w:val="bottom"/>
            <w:gridSpan w:val="15"/>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Item 9. Changes in and Disagreements with Accountants on Accounting and Financial Disclosure</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Item 9A. Controls and Procedures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82</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40" w:type="dxa"/>
            <w:vAlign w:val="bottom"/>
            <w:gridSpan w:val="9"/>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Item 9B. Other Information</w:t>
              </w:r>
            </w:hyperlink>
          </w:p>
        </w:tc>
        <w:tc>
          <w:tcPr>
            <w:tcW w:w="8260" w:type="dxa"/>
            <w:vAlign w:val="bottom"/>
            <w:gridSpan w:val="21"/>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85</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gridSpan w:val="12"/>
          </w:tcPr>
          <w:p>
            <w:pPr>
              <w:jc w:val="center"/>
              <w:ind w:right="4320"/>
              <w:spacing w:after="0" w:line="202" w:lineRule="exact"/>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74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Item 10. Directors, Executive Officers and Corporate Governance</w:t>
              </w:r>
            </w:hyperlink>
          </w:p>
        </w:tc>
        <w:tc>
          <w:tcPr>
            <w:tcW w:w="5960" w:type="dxa"/>
            <w:vAlign w:val="bottom"/>
            <w:gridSpan w:val="13"/>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86</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740" w:type="dxa"/>
            <w:vAlign w:val="bottom"/>
            <w:gridSpan w:val="17"/>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Item 11. Executive Compensation</w:t>
              </w:r>
            </w:hyperlink>
          </w:p>
        </w:tc>
        <w:tc>
          <w:tcPr>
            <w:tcW w:w="5960" w:type="dxa"/>
            <w:vAlign w:val="bottom"/>
            <w:gridSpan w:val="13"/>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86</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940" w:type="dxa"/>
            <w:vAlign w:val="bottom"/>
            <w:gridSpan w:val="28"/>
            <w:shd w:val="clear" w:color="auto" w:fill="CCEEFF"/>
          </w:tcPr>
          <w:p>
            <w:pPr>
              <w:spacing w:after="0" w:line="202"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Item 12. Security Ownership of Certain Beneficial Owners and Management and Related Stockholder Matters</w:t>
              </w:r>
            </w:hyperlink>
          </w:p>
        </w:tc>
        <w:tc>
          <w:tcPr>
            <w:tcW w:w="2760" w:type="dxa"/>
            <w:vAlign w:val="bottom"/>
            <w:gridSpan w:val="2"/>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86</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940" w:type="dxa"/>
            <w:vAlign w:val="bottom"/>
            <w:gridSpan w:val="28"/>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Item 13. Certain Relationships and Related Transactions, and Director Independence</w:t>
              </w:r>
            </w:hyperlink>
          </w:p>
        </w:tc>
        <w:tc>
          <w:tcPr>
            <w:tcW w:w="2760" w:type="dxa"/>
            <w:vAlign w:val="bottom"/>
            <w:gridSpan w:val="2"/>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86</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Item 14. Principal Accountant Fees and Services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87</w:t>
              </w:r>
            </w:hyperlink>
          </w:p>
        </w:tc>
        <w:tc>
          <w:tcPr>
            <w:tcW w:w="2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IV</w:t>
            </w:r>
          </w:p>
        </w:tc>
        <w:tc>
          <w:tcPr>
            <w:tcW w:w="4660" w:type="dxa"/>
            <w:vAlign w:val="bottom"/>
            <w:tcBorders>
              <w:bottom w:val="single" w:sz="8" w:color="CCEEFF"/>
            </w:tcBorders>
            <w:gridSpan w:val="6"/>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Item 15. Exhibits and Financial Statement Schedules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87</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16. Form 10-K Summary</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line="202"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Signatures</w:t>
              </w:r>
            </w:hyperlink>
          </w:p>
        </w:tc>
        <w:tc>
          <w:tcPr>
            <w:tcW w:w="1420" w:type="dxa"/>
            <w:vAlign w:val="bottom"/>
            <w:gridSpan w:val="4"/>
          </w:tcPr>
          <w:p>
            <w:pPr>
              <w:spacing w:after="0"/>
              <w:rPr>
                <w:sz w:val="17"/>
                <w:szCs w:val="17"/>
                <w:color w:val="auto"/>
              </w:rPr>
            </w:pPr>
          </w:p>
        </w:tc>
        <w:tc>
          <w:tcPr>
            <w:tcW w:w="8520" w:type="dxa"/>
            <w:vAlign w:val="bottom"/>
            <w:gridSpan w:val="25"/>
          </w:tcPr>
          <w:p>
            <w:pPr>
              <w:spacing w:after="0"/>
              <w:rPr>
                <w:sz w:val="17"/>
                <w:szCs w:val="17"/>
                <w:color w:val="auto"/>
              </w:rPr>
            </w:pPr>
          </w:p>
        </w:tc>
        <w:tc>
          <w:tcPr>
            <w:tcW w:w="680" w:type="dxa"/>
            <w:vAlign w:val="bottom"/>
            <w:gridSpan w:val="6"/>
          </w:tcPr>
          <w:p>
            <w:pPr>
              <w:jc w:val="center"/>
              <w:spacing w:after="0" w:line="202"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S-1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64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glossary of certain oil and natural gas industry terms used in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3-D seismic</w:t>
            </w:r>
          </w:p>
        </w:tc>
        <w:tc>
          <w:tcPr>
            <w:tcW w:w="83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1"/>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Basin</w:t>
            </w:r>
          </w:p>
        </w:tc>
        <w:tc>
          <w:tcPr>
            <w:tcW w:w="8300" w:type="dxa"/>
            <w:vAlign w:val="bottom"/>
          </w:tcPr>
          <w:p>
            <w:pPr>
              <w:ind w:left="34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Bbl</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Bbls/d</w:t>
            </w:r>
          </w:p>
        </w:tc>
        <w:tc>
          <w:tcPr>
            <w:tcW w:w="8300" w:type="dxa"/>
            <w:vAlign w:val="bottom"/>
          </w:tcPr>
          <w:p>
            <w:pPr>
              <w:ind w:left="340"/>
              <w:spacing w:after="0"/>
              <w:rPr>
                <w:sz w:val="20"/>
                <w:szCs w:val="20"/>
                <w:color w:val="auto"/>
              </w:rPr>
            </w:pPr>
            <w:r>
              <w:rPr>
                <w:rFonts w:ascii="Arial" w:cs="Arial" w:eastAsia="Arial" w:hAnsi="Arial"/>
                <w:sz w:val="18"/>
                <w:szCs w:val="18"/>
                <w:color w:val="auto"/>
              </w:rPr>
              <w:t>Barrels per day.</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Barrels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BOE/d</w:t>
            </w:r>
          </w:p>
        </w:tc>
        <w:tc>
          <w:tcPr>
            <w:tcW w:w="8300" w:type="dxa"/>
            <w:vAlign w:val="bottom"/>
          </w:tcPr>
          <w:p>
            <w:pPr>
              <w:ind w:left="340"/>
              <w:spacing w:after="0"/>
              <w:rPr>
                <w:sz w:val="20"/>
                <w:szCs w:val="20"/>
                <w:color w:val="auto"/>
              </w:rPr>
            </w:pPr>
            <w:r>
              <w:rPr>
                <w:rFonts w:ascii="Arial" w:cs="Arial" w:eastAsia="Arial" w:hAnsi="Arial"/>
                <w:sz w:val="18"/>
                <w:szCs w:val="18"/>
                <w:color w:val="auto"/>
              </w:rPr>
              <w:t>Barrels of oil equivalent per day.</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w:t>
            </w:r>
          </w:p>
        </w:tc>
        <w:tc>
          <w:tcPr>
            <w:tcW w:w="83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Brent sweet light crude oil.</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spacing w:after="0"/>
              <w:rPr>
                <w:sz w:val="15"/>
                <w:szCs w:val="15"/>
                <w:color w:val="auto"/>
              </w:rPr>
            </w:pPr>
          </w:p>
        </w:tc>
        <w:tc>
          <w:tcPr>
            <w:tcW w:w="83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British Thermal Unit or BTU</w:t>
            </w:r>
          </w:p>
        </w:tc>
        <w:tc>
          <w:tcPr>
            <w:tcW w:w="8300" w:type="dxa"/>
            <w:vAlign w:val="bottom"/>
          </w:tcPr>
          <w:p>
            <w:pPr>
              <w:ind w:left="340"/>
              <w:spacing w:after="0"/>
              <w:rPr>
                <w:sz w:val="20"/>
                <w:szCs w:val="20"/>
                <w:color w:val="auto"/>
              </w:rPr>
            </w:pPr>
            <w:r>
              <w:rPr>
                <w:rFonts w:ascii="Arial" w:cs="Arial" w:eastAsia="Arial" w:hAnsi="Arial"/>
                <w:sz w:val="18"/>
                <w:szCs w:val="18"/>
                <w:color w:val="auto"/>
                <w:w w:val="96"/>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of 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Condensate</w:t>
            </w:r>
          </w:p>
        </w:tc>
        <w:tc>
          <w:tcPr>
            <w:tcW w:w="8300" w:type="dxa"/>
            <w:vAlign w:val="bottom"/>
          </w:tcPr>
          <w:p>
            <w:pPr>
              <w:ind w:left="340"/>
              <w:spacing w:after="0"/>
              <w:rPr>
                <w:sz w:val="20"/>
                <w:szCs w:val="20"/>
                <w:color w:val="auto"/>
              </w:rPr>
            </w:pPr>
            <w:r>
              <w:rPr>
                <w:rFonts w:ascii="Arial" w:cs="Arial" w:eastAsia="Arial" w:hAnsi="Arial"/>
                <w:sz w:val="18"/>
                <w:szCs w:val="18"/>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Developed acreage</w:t>
            </w:r>
          </w:p>
        </w:tc>
        <w:tc>
          <w:tcPr>
            <w:tcW w:w="8300" w:type="dxa"/>
            <w:vAlign w:val="bottom"/>
          </w:tcPr>
          <w:p>
            <w:pPr>
              <w:ind w:left="340"/>
              <w:spacing w:after="0"/>
              <w:rPr>
                <w:sz w:val="20"/>
                <w:szCs w:val="20"/>
                <w:color w:val="auto"/>
              </w:rPr>
            </w:pPr>
            <w:r>
              <w:rPr>
                <w:rFonts w:ascii="Arial" w:cs="Arial" w:eastAsia="Arial" w:hAnsi="Arial"/>
                <w:sz w:val="18"/>
                <w:szCs w:val="18"/>
                <w:color w:val="auto"/>
              </w:rPr>
              <w:t>Acreage assignable to productive wells.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Differential</w:t>
            </w:r>
          </w:p>
        </w:tc>
        <w:tc>
          <w:tcPr>
            <w:tcW w:w="8300" w:type="dxa"/>
            <w:vAlign w:val="bottom"/>
          </w:tcPr>
          <w:p>
            <w:pPr>
              <w:ind w:left="340"/>
              <w:spacing w:after="0"/>
              <w:rPr>
                <w:sz w:val="20"/>
                <w:szCs w:val="20"/>
                <w:color w:val="auto"/>
              </w:rPr>
            </w:pPr>
            <w:r>
              <w:rPr>
                <w:rFonts w:ascii="Arial" w:cs="Arial" w:eastAsia="Arial" w:hAnsi="Arial"/>
                <w:sz w:val="18"/>
                <w:szCs w:val="18"/>
                <w:color w:val="auto"/>
                <w:w w:val="92"/>
              </w:rPr>
              <w:t>An adjustment to the price of oil or natural gas from an established spot market price to reflect differences in</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the quality and/or location of oil or natural gas.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Dry hole or dry well</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 well found to be incapable of producing hydrocarbons in sufficient quantities such that proceeds from the</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 of such production exceed production expenses and taxes.</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Estimated Ultimate Recovery or EUR</w:t>
            </w:r>
          </w:p>
        </w:tc>
        <w:tc>
          <w:tcPr>
            <w:tcW w:w="8300" w:type="dxa"/>
            <w:vAlign w:val="bottom"/>
          </w:tcPr>
          <w:p>
            <w:pPr>
              <w:ind w:left="340"/>
              <w:spacing w:after="0"/>
              <w:rPr>
                <w:sz w:val="20"/>
                <w:szCs w:val="20"/>
                <w:color w:val="auto"/>
              </w:rPr>
            </w:pPr>
            <w:r>
              <w:rPr>
                <w:rFonts w:ascii="Arial" w:cs="Arial" w:eastAsia="Arial" w:hAnsi="Arial"/>
                <w:sz w:val="18"/>
                <w:szCs w:val="18"/>
                <w:color w:val="auto"/>
                <w:w w:val="90"/>
              </w:rPr>
              <w:t>Estimated ultimate recovery is the sum of reserves remaining as of a given date and cumulative production as</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of that date.</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Exploitation</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Field</w:t>
            </w:r>
          </w:p>
        </w:tc>
        <w:tc>
          <w:tcPr>
            <w:tcW w:w="8300" w:type="dxa"/>
            <w:vAlign w:val="bottom"/>
          </w:tcPr>
          <w:p>
            <w:pPr>
              <w:ind w:left="340"/>
              <w:spacing w:after="0"/>
              <w:rPr>
                <w:sz w:val="20"/>
                <w:szCs w:val="20"/>
                <w:color w:val="auto"/>
              </w:rPr>
            </w:pPr>
            <w:r>
              <w:rPr>
                <w:rFonts w:ascii="Arial" w:cs="Arial" w:eastAsia="Arial" w:hAnsi="Arial"/>
                <w:sz w:val="18"/>
                <w:szCs w:val="18"/>
                <w:color w:val="auto"/>
                <w:w w:val="94"/>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individual geological structural feature and/or stratigraphic condition.</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Finding and development costs</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divided by proved reserve additions and revisions to proved reserves.</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8300" w:type="dxa"/>
            <w:vAlign w:val="bottom"/>
          </w:tcPr>
          <w:p>
            <w:pPr>
              <w:ind w:left="340"/>
              <w:spacing w:after="0"/>
              <w:rPr>
                <w:sz w:val="20"/>
                <w:szCs w:val="20"/>
                <w:color w:val="auto"/>
              </w:rPr>
            </w:pPr>
            <w:r>
              <w:rPr>
                <w:rFonts w:ascii="Arial" w:cs="Arial" w:eastAsia="Arial" w:hAnsi="Arial"/>
                <w:sz w:val="18"/>
                <w:szCs w:val="18"/>
                <w:color w:val="auto"/>
                <w:w w:val="97"/>
              </w:rPr>
              <w:t>The process of creating and preserving a fracture or system of fractures in a reservoir rock typically by</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injecting a fluid under pressure through a wellbore and into the targeted formation.</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300" w:type="dxa"/>
            <w:vAlign w:val="bottom"/>
          </w:tcPr>
          <w:p>
            <w:pPr>
              <w:ind w:left="340"/>
              <w:spacing w:after="0"/>
              <w:rPr>
                <w:sz w:val="20"/>
                <w:szCs w:val="20"/>
                <w:color w:val="auto"/>
              </w:rPr>
            </w:pPr>
            <w:r>
              <w:rPr>
                <w:rFonts w:ascii="Arial" w:cs="Arial" w:eastAsia="Arial" w:hAnsi="Arial"/>
                <w:sz w:val="18"/>
                <w:szCs w:val="18"/>
                <w:color w:val="auto"/>
                <w:w w:val="95"/>
              </w:rPr>
              <w:t>A drilling technique used in certain formations where a well is drilled vertically to a certain depth and then</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drilled at a right angle with a specified interval.</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vertical drilling mechanisms.</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Mb/d</w:t>
            </w:r>
          </w:p>
        </w:tc>
        <w:tc>
          <w:tcPr>
            <w:tcW w:w="8300" w:type="dxa"/>
            <w:vAlign w:val="bottom"/>
          </w:tcPr>
          <w:p>
            <w:pPr>
              <w:ind w:left="340"/>
              <w:spacing w:after="0"/>
              <w:rPr>
                <w:sz w:val="20"/>
                <w:szCs w:val="20"/>
                <w:color w:val="auto"/>
              </w:rPr>
            </w:pPr>
            <w:r>
              <w:rPr>
                <w:rFonts w:ascii="Arial" w:cs="Arial" w:eastAsia="Arial" w:hAnsi="Arial"/>
                <w:sz w:val="18"/>
                <w:szCs w:val="18"/>
                <w:color w:val="auto"/>
              </w:rPr>
              <w:t>Thousand barrels per day.</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MBbls</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MBOE</w:t>
            </w:r>
          </w:p>
        </w:tc>
        <w:tc>
          <w:tcPr>
            <w:tcW w:w="8300" w:type="dxa"/>
            <w:vAlign w:val="bottom"/>
          </w:tcPr>
          <w:p>
            <w:pPr>
              <w:ind w:left="340"/>
              <w:spacing w:after="0"/>
              <w:rPr>
                <w:sz w:val="20"/>
                <w:szCs w:val="20"/>
                <w:color w:val="auto"/>
              </w:rPr>
            </w:pPr>
            <w:r>
              <w:rPr>
                <w:rFonts w:ascii="Arial" w:cs="Arial" w:eastAsia="Arial" w:hAnsi="Arial"/>
                <w:sz w:val="18"/>
                <w:szCs w:val="18"/>
                <w:color w:val="auto"/>
                <w:w w:val="92"/>
              </w:rPr>
              <w:t>One thousand barrels of crude oil equivalent, determined using a ratio of six Mcf of natural gas to one Bbl of</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crude oil, condensate or natural gas liquids.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Thousand cubic feet of natural gas.</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Mcf/d</w:t>
            </w:r>
          </w:p>
        </w:tc>
        <w:tc>
          <w:tcPr>
            <w:tcW w:w="8300" w:type="dxa"/>
            <w:vAlign w:val="bottom"/>
          </w:tcPr>
          <w:p>
            <w:pPr>
              <w:ind w:left="340"/>
              <w:spacing w:after="0"/>
              <w:rPr>
                <w:sz w:val="20"/>
                <w:szCs w:val="20"/>
                <w:color w:val="auto"/>
              </w:rPr>
            </w:pPr>
            <w:r>
              <w:rPr>
                <w:rFonts w:ascii="Arial" w:cs="Arial" w:eastAsia="Arial" w:hAnsi="Arial"/>
                <w:sz w:val="18"/>
                <w:szCs w:val="18"/>
                <w:color w:val="auto"/>
              </w:rPr>
              <w:t>Thousand cubic feet of natural gas per day.</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extracted resources.</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MMBtu</w:t>
            </w:r>
          </w:p>
        </w:tc>
        <w:tc>
          <w:tcPr>
            <w:tcW w:w="830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120" w:type="dxa"/>
            <w:vAlign w:val="bottom"/>
          </w:tcPr>
          <w:p>
            <w:pPr>
              <w:spacing w:after="0"/>
              <w:rPr>
                <w:sz w:val="24"/>
                <w:szCs w:val="24"/>
                <w:color w:val="auto"/>
              </w:rPr>
            </w:pPr>
          </w:p>
        </w:tc>
        <w:tc>
          <w:tcPr>
            <w:tcW w:w="8300" w:type="dxa"/>
            <w:vAlign w:val="bottom"/>
          </w:tcPr>
          <w:p>
            <w:pPr>
              <w:ind w:left="254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MMcf</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cubic feet of natural gas.</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600" w:type="dxa"/>
            <w:vAlign w:val="bottom"/>
          </w:tcPr>
          <w:p>
            <w:pPr>
              <w:ind w:left="64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 interest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An owner’s interest in the revenues of a well after deducting proceeds allocated to royalty and overriding</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interests.</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royalty acres</w:t>
            </w:r>
          </w:p>
        </w:tc>
        <w:tc>
          <w:tcPr>
            <w:tcW w:w="8600" w:type="dxa"/>
            <w:vAlign w:val="bottom"/>
          </w:tcPr>
          <w:p>
            <w:pPr>
              <w:ind w:left="640"/>
              <w:spacing w:after="0"/>
              <w:rPr>
                <w:sz w:val="20"/>
                <w:szCs w:val="20"/>
                <w:color w:val="auto"/>
              </w:rPr>
            </w:pPr>
            <w:r>
              <w:rPr>
                <w:rFonts w:ascii="Arial" w:cs="Arial" w:eastAsia="Arial" w:hAnsi="Arial"/>
                <w:sz w:val="18"/>
                <w:szCs w:val="18"/>
                <w:color w:val="auto"/>
              </w:rPr>
              <w:t>Gross acreage multiplied by the average royalty interest.</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Operator</w:t>
            </w: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lease.</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Play</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hydrocarbon type.</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Refers to the sealing off of fluids in the strata penetrated by a well so that the fluids from one stratum will not</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PUD</w:t>
            </w: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Proved undeveloped.</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Productive well</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well that is found to be capable of producing hydrocarbons in sufficient quantities such that proceeds from</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the sale of the production exceed production expenses and taxes.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Prospect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A specific geographic area which, based on supporting geological, geophysical or other data and also</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the discovery of commercial hydrocarbons.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Proved developed 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Reserves that can be expected to be recovered through existing wells with existing equipment and operating</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methods.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demonstrate with reasonable certainty to be commercially recoverable in future years from known reservoirs</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Proved undeveloped 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1"/>
              </w:rPr>
              <w:t>Proved reserves that are expected to be recovered from new wells on undrilled acreage or from existing wells</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where a relatively major expenditure is required for recompletion.</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Recompletion</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The process of re-entering an existing wellbore that is either producing or not producing and completing new</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reservoirs in an attempt to establish or increase existing production.</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Reserves are estimated remaining quantities of oil and natural gas and related substances anticipated to be</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economically producible, as of a given date, by application of development projects to known accumulations.</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In addition, there must exist, or there must be a reasonable expectation that there will exist, the legal right to</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produce or a revenue interest in the production, installed means of delivering oil and natural gas or related</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0"/>
              </w:rPr>
              <w:t>substances to the market and all permits and financing required to implement the project. Reserves should not</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6"/>
              </w:rPr>
              <w:t>be assigned to adjacent reservoirs isolated by major, potentially sealing, faults until those reservoirs are</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penetrated and evaluated as economically producible. Reserves should not be assigned to areas that are</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clearly separated from a known accumulation by a non-productive reservoir (i.e., absence of reservoir,</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structurally low reservoir or negative test results). Such areas may contain prospective resources (i.e.,</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potentially recoverable resources from undiscovered accumulations).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7"/>
              </w:rPr>
              <w:t>and/or oil that is confined by impermeable rock or water barriers and is separate from other reservoirs.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Resource play</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hydrocarbon type.</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interest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An interest that gives an owner the right to receive a portion of the resources or revenues without having to</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carry any costs of development or operations.</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Spacing</w:t>
            </w:r>
          </w:p>
        </w:tc>
        <w:tc>
          <w:tcPr>
            <w:tcW w:w="8600" w:type="dxa"/>
            <w:vAlign w:val="bottom"/>
          </w:tcPr>
          <w:p>
            <w:pPr>
              <w:ind w:left="640"/>
              <w:spacing w:after="0"/>
              <w:rPr>
                <w:sz w:val="20"/>
                <w:szCs w:val="20"/>
                <w:color w:val="auto"/>
              </w:rPr>
            </w:pPr>
            <w:r>
              <w:rPr>
                <w:rFonts w:ascii="Arial" w:cs="Arial" w:eastAsia="Arial" w:hAnsi="Arial"/>
                <w:sz w:val="18"/>
                <w:szCs w:val="18"/>
                <w:color w:val="auto"/>
                <w:w w:val="91"/>
              </w:rPr>
              <w:t>The distance between wells producing from the same reservoir. Spacing is often expressed in terms of acres</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Tight formation</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formation with low permeability that produces natural gas with very low flow rates for long periods of</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time.</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Undeveloped acreage</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Lease acreage on which wells have not been drilled or completed to a point that would permit the production</w:t>
            </w: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3"/>
              </w:rPr>
              <w:t>of economic quantities of oil and natural gas regardless of whether such acreage contains proved reserves.</w:t>
            </w:r>
          </w:p>
        </w:tc>
      </w:tr>
      <w:tr>
        <w:trPr>
          <w:trHeight w:val="27"/>
        </w:trPr>
        <w:tc>
          <w:tcPr>
            <w:tcW w:w="282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r>
      <w:tr>
        <w:trPr>
          <w:trHeight w:val="426"/>
        </w:trPr>
        <w:tc>
          <w:tcPr>
            <w:tcW w:w="2820" w:type="dxa"/>
            <w:vAlign w:val="bottom"/>
          </w:tcPr>
          <w:p>
            <w:pPr>
              <w:spacing w:after="0"/>
              <w:rPr>
                <w:sz w:val="24"/>
                <w:szCs w:val="24"/>
                <w:color w:val="auto"/>
              </w:rPr>
            </w:pPr>
          </w:p>
        </w:tc>
        <w:tc>
          <w:tcPr>
            <w:tcW w:w="8600" w:type="dxa"/>
            <w:vAlign w:val="bottom"/>
          </w:tcPr>
          <w:p>
            <w:pPr>
              <w:ind w:left="282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interest</w:t>
            </w:r>
          </w:p>
        </w:tc>
        <w:tc>
          <w:tcPr>
            <w:tcW w:w="90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216"/>
        </w:trPr>
        <w:tc>
          <w:tcPr>
            <w:tcW w:w="2360" w:type="dxa"/>
            <w:vAlign w:val="bottom"/>
            <w:shd w:val="clear" w:color="auto" w:fill="CCEEFF"/>
          </w:tcPr>
          <w:p>
            <w:pPr>
              <w:spacing w:after="0"/>
              <w:rPr>
                <w:sz w:val="18"/>
                <w:szCs w:val="18"/>
                <w:color w:val="auto"/>
              </w:rPr>
            </w:pPr>
          </w:p>
        </w:tc>
        <w:tc>
          <w:tcPr>
            <w:tcW w:w="90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property and receive a share of production and requires the owner to pay a share of the costs of drilling and</w:t>
            </w: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production operations.</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WTI</w:t>
            </w:r>
          </w:p>
        </w:tc>
        <w:tc>
          <w:tcPr>
            <w:tcW w:w="9060" w:type="dxa"/>
            <w:vAlign w:val="bottom"/>
          </w:tcPr>
          <w:p>
            <w:pPr>
              <w:ind w:left="1100"/>
              <w:spacing w:after="0"/>
              <w:rPr>
                <w:sz w:val="20"/>
                <w:szCs w:val="20"/>
                <w:color w:val="auto"/>
              </w:rPr>
            </w:pPr>
            <w:r>
              <w:rPr>
                <w:rFonts w:ascii="Arial" w:cs="Arial" w:eastAsia="Arial" w:hAnsi="Arial"/>
                <w:sz w:val="18"/>
                <w:szCs w:val="18"/>
                <w:color w:val="auto"/>
              </w:rPr>
              <w:t>West Texas Intermediate.</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MEH</w:t>
            </w:r>
          </w:p>
        </w:tc>
        <w:tc>
          <w:tcPr>
            <w:tcW w:w="90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West Texas Intermediate Magellan East Houston.</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WTL</w:t>
            </w:r>
          </w:p>
        </w:tc>
        <w:tc>
          <w:tcPr>
            <w:tcW w:w="9060" w:type="dxa"/>
            <w:vAlign w:val="bottom"/>
          </w:tcPr>
          <w:p>
            <w:pPr>
              <w:ind w:left="1100"/>
              <w:spacing w:after="0"/>
              <w:rPr>
                <w:sz w:val="20"/>
                <w:szCs w:val="20"/>
                <w:color w:val="auto"/>
              </w:rPr>
            </w:pPr>
            <w:r>
              <w:rPr>
                <w:rFonts w:ascii="Arial" w:cs="Arial" w:eastAsia="Arial" w:hAnsi="Arial"/>
                <w:sz w:val="18"/>
                <w:szCs w:val="18"/>
                <w:color w:val="auto"/>
              </w:rPr>
              <w:t>West Texas Light</w:t>
            </w:r>
          </w:p>
        </w:tc>
      </w:tr>
      <w:tr>
        <w:trPr>
          <w:trHeight w:val="27"/>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r>
        <w:trPr>
          <w:trHeight w:val="763"/>
        </w:trPr>
        <w:tc>
          <w:tcPr>
            <w:tcW w:w="236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GLOSSARY OF CERTAIN OTHER TERMS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ASU</w:t>
            </w:r>
          </w:p>
        </w:tc>
        <w:tc>
          <w:tcPr>
            <w:tcW w:w="960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Company</w:t>
            </w:r>
          </w:p>
        </w:tc>
        <w:tc>
          <w:tcPr>
            <w:tcW w:w="9600" w:type="dxa"/>
            <w:vAlign w:val="bottom"/>
          </w:tcPr>
          <w:p>
            <w:pPr>
              <w:ind w:left="620"/>
              <w:spacing w:after="0"/>
              <w:rPr>
                <w:sz w:val="20"/>
                <w:szCs w:val="20"/>
                <w:color w:val="auto"/>
              </w:rPr>
            </w:pPr>
            <w:r>
              <w:rPr>
                <w:rFonts w:ascii="Arial" w:cs="Arial" w:eastAsia="Arial" w:hAnsi="Arial"/>
                <w:sz w:val="18"/>
                <w:szCs w:val="18"/>
                <w:color w:val="auto"/>
              </w:rPr>
              <w:t>Diamondback Energy, Inc., a Delaware corporation, together with its subsidiaries.</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Dodd-Frank Act</w:t>
            </w:r>
          </w:p>
        </w:tc>
        <w:tc>
          <w:tcPr>
            <w:tcW w:w="96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Dodd-Frank Wall Street Reform and Consumer Protection Act (HR 4173).</w:t>
            </w:r>
          </w:p>
        </w:tc>
        <w:tc>
          <w:tcPr>
            <w:tcW w:w="0" w:type="dxa"/>
            <w:vAlign w:val="bottom"/>
          </w:tcPr>
          <w:p>
            <w:pPr>
              <w:spacing w:after="0"/>
              <w:rPr>
                <w:sz w:val="1"/>
                <w:szCs w:val="1"/>
                <w:color w:val="auto"/>
              </w:rPr>
            </w:pPr>
          </w:p>
        </w:tc>
      </w:tr>
      <w:tr>
        <w:trPr>
          <w:trHeight w:val="405"/>
        </w:trPr>
        <w:tc>
          <w:tcPr>
            <w:tcW w:w="1820" w:type="dxa"/>
            <w:vAlign w:val="bottom"/>
          </w:tcPr>
          <w:p>
            <w:pPr>
              <w:ind w:left="40"/>
              <w:spacing w:after="0"/>
              <w:rPr>
                <w:sz w:val="20"/>
                <w:szCs w:val="20"/>
                <w:color w:val="auto"/>
              </w:rPr>
            </w:pPr>
            <w:r>
              <w:rPr>
                <w:rFonts w:ascii="Arial" w:cs="Arial" w:eastAsia="Arial" w:hAnsi="Arial"/>
                <w:sz w:val="18"/>
                <w:szCs w:val="18"/>
                <w:color w:val="auto"/>
              </w:rPr>
              <w:t>EPA</w:t>
            </w:r>
          </w:p>
        </w:tc>
        <w:tc>
          <w:tcPr>
            <w:tcW w:w="9600" w:type="dxa"/>
            <w:vAlign w:val="bottom"/>
          </w:tcPr>
          <w:p>
            <w:pPr>
              <w:ind w:left="62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Equity Plan</w:t>
            </w:r>
          </w:p>
        </w:tc>
        <w:tc>
          <w:tcPr>
            <w:tcW w:w="96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Company’s Equity Incentive Plan.</w:t>
            </w:r>
          </w:p>
        </w:tc>
        <w:tc>
          <w:tcPr>
            <w:tcW w:w="0" w:type="dxa"/>
            <w:vAlign w:val="bottom"/>
          </w:tcPr>
          <w:p>
            <w:pPr>
              <w:spacing w:after="0"/>
              <w:rPr>
                <w:sz w:val="1"/>
                <w:szCs w:val="1"/>
                <w:color w:val="auto"/>
              </w:rPr>
            </w:pPr>
          </w:p>
        </w:tc>
      </w:tr>
      <w:tr>
        <w:trPr>
          <w:trHeight w:val="169"/>
        </w:trPr>
        <w:tc>
          <w:tcPr>
            <w:tcW w:w="1820" w:type="dxa"/>
            <w:vAlign w:val="bottom"/>
            <w:tcBorders>
              <w:bottom w:val="single" w:sz="8" w:color="CCEEFF"/>
            </w:tcBorders>
            <w:vMerge w:val="continue"/>
            <w:shd w:val="clear" w:color="auto" w:fill="CCEEFF"/>
          </w:tcPr>
          <w:p>
            <w:pPr>
              <w:spacing w:after="0"/>
              <w:rPr>
                <w:sz w:val="14"/>
                <w:szCs w:val="14"/>
                <w:color w:val="auto"/>
              </w:rPr>
            </w:pPr>
          </w:p>
        </w:tc>
        <w:tc>
          <w:tcPr>
            <w:tcW w:w="9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820" w:type="dxa"/>
            <w:vAlign w:val="bottom"/>
          </w:tcPr>
          <w:p>
            <w:pPr>
              <w:ind w:left="40"/>
              <w:spacing w:after="0"/>
              <w:rPr>
                <w:sz w:val="20"/>
                <w:szCs w:val="20"/>
                <w:color w:val="auto"/>
              </w:rPr>
            </w:pPr>
            <w:r>
              <w:rPr>
                <w:rFonts w:ascii="Arial" w:cs="Arial" w:eastAsia="Arial" w:hAnsi="Arial"/>
                <w:sz w:val="18"/>
                <w:szCs w:val="18"/>
                <w:color w:val="auto"/>
              </w:rPr>
              <w:t>Exchange Act</w:t>
            </w:r>
          </w:p>
        </w:tc>
        <w:tc>
          <w:tcPr>
            <w:tcW w:w="9600" w:type="dxa"/>
            <w:vAlign w:val="bottom"/>
          </w:tcPr>
          <w:p>
            <w:pPr>
              <w:ind w:left="6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96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405"/>
        </w:trPr>
        <w:tc>
          <w:tcPr>
            <w:tcW w:w="1820" w:type="dxa"/>
            <w:vAlign w:val="bottom"/>
          </w:tcPr>
          <w:p>
            <w:pPr>
              <w:ind w:left="40"/>
              <w:spacing w:after="0"/>
              <w:rPr>
                <w:sz w:val="20"/>
                <w:szCs w:val="20"/>
                <w:color w:val="auto"/>
              </w:rPr>
            </w:pPr>
            <w:r>
              <w:rPr>
                <w:rFonts w:ascii="Arial" w:cs="Arial" w:eastAsia="Arial" w:hAnsi="Arial"/>
                <w:sz w:val="18"/>
                <w:szCs w:val="18"/>
                <w:color w:val="auto"/>
              </w:rPr>
              <w:t>FERC</w:t>
            </w:r>
          </w:p>
        </w:tc>
        <w:tc>
          <w:tcPr>
            <w:tcW w:w="9600" w:type="dxa"/>
            <w:vAlign w:val="bottom"/>
          </w:tcPr>
          <w:p>
            <w:pPr>
              <w:ind w:left="62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6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c>
          <w:tcPr>
            <w:tcW w:w="0" w:type="dxa"/>
            <w:vAlign w:val="bottom"/>
          </w:tcPr>
          <w:p>
            <w:pPr>
              <w:spacing w:after="0"/>
              <w:rPr>
                <w:sz w:val="1"/>
                <w:szCs w:val="1"/>
                <w:color w:val="auto"/>
              </w:rPr>
            </w:pPr>
          </w:p>
        </w:tc>
      </w:tr>
      <w:tr>
        <w:trPr>
          <w:trHeight w:val="229"/>
        </w:trPr>
        <w:tc>
          <w:tcPr>
            <w:tcW w:w="1820" w:type="dxa"/>
            <w:vAlign w:val="bottom"/>
          </w:tcPr>
          <w:p>
            <w:pPr>
              <w:ind w:left="40"/>
              <w:spacing w:after="0"/>
              <w:rPr>
                <w:sz w:val="20"/>
                <w:szCs w:val="20"/>
                <w:color w:val="auto"/>
              </w:rPr>
            </w:pPr>
            <w:r>
              <w:rPr>
                <w:rFonts w:ascii="Arial" w:cs="Arial" w:eastAsia="Arial" w:hAnsi="Arial"/>
                <w:sz w:val="18"/>
                <w:szCs w:val="18"/>
                <w:color w:val="auto"/>
              </w:rPr>
              <w:t>2024 Indenture</w:t>
            </w:r>
          </w:p>
        </w:tc>
        <w:tc>
          <w:tcPr>
            <w:tcW w:w="9600" w:type="dxa"/>
            <w:vAlign w:val="bottom"/>
          </w:tcPr>
          <w:p>
            <w:pPr>
              <w:ind w:left="620"/>
              <w:spacing w:after="0"/>
              <w:rPr>
                <w:sz w:val="20"/>
                <w:szCs w:val="20"/>
                <w:color w:val="auto"/>
              </w:rPr>
            </w:pPr>
            <w:r>
              <w:rPr>
                <w:rFonts w:ascii="Arial" w:cs="Arial" w:eastAsia="Arial" w:hAnsi="Arial"/>
                <w:sz w:val="18"/>
                <w:szCs w:val="18"/>
                <w:color w:val="auto"/>
                <w:w w:val="97"/>
              </w:rPr>
              <w:t>The indenture relating to the 2024 Senior Notes, dated as of October 28, 2016, among the Company, the subsidiary</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9600" w:type="dxa"/>
            <w:vAlign w:val="bottom"/>
          </w:tcPr>
          <w:p>
            <w:pPr>
              <w:ind w:left="620"/>
              <w:spacing w:after="0"/>
              <w:rPr>
                <w:sz w:val="20"/>
                <w:szCs w:val="20"/>
                <w:color w:val="auto"/>
              </w:rPr>
            </w:pPr>
            <w:r>
              <w:rPr>
                <w:rFonts w:ascii="Arial" w:cs="Arial" w:eastAsia="Arial" w:hAnsi="Arial"/>
                <w:sz w:val="18"/>
                <w:szCs w:val="18"/>
                <w:color w:val="auto"/>
              </w:rPr>
              <w:t>guarantors party thereto and Wells Fargo, as the trustee, as supplemented.</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 Indenture</w:t>
            </w:r>
          </w:p>
        </w:tc>
        <w:tc>
          <w:tcPr>
            <w:tcW w:w="96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The indenture relating to the 2025 Senior Notes, dated as of December 20, 2016, among the Company, the subsidiary</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p>
        </w:tc>
        <w:tc>
          <w:tcPr>
            <w:tcW w:w="96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guarantors party thereto and Wells Fargo, as the trustee, as supplemented.</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2019 Notes Indenture The indenture relating to the December 2019 Notes dated as of December 5, 2019, among the Company, the subsidiary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20" w:type="dxa"/>
            <w:vAlign w:val="bottom"/>
          </w:tcPr>
          <w:p>
            <w:pPr>
              <w:spacing w:after="0"/>
              <w:rPr>
                <w:sz w:val="20"/>
                <w:szCs w:val="20"/>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guarantors party thereto and Wells Fargo, as the trustee, as supplemented.</w:t>
            </w: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w:t>
            </w:r>
          </w:p>
        </w:tc>
        <w:tc>
          <w:tcPr>
            <w:tcW w:w="9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New York Mercantile Exchange.</w:t>
            </w:r>
          </w:p>
        </w:tc>
      </w:tr>
      <w:tr>
        <w:trPr>
          <w:trHeight w:val="405"/>
        </w:trPr>
        <w:tc>
          <w:tcPr>
            <w:tcW w:w="2120" w:type="dxa"/>
            <w:vAlign w:val="bottom"/>
          </w:tcPr>
          <w:p>
            <w:pPr>
              <w:ind w:left="40"/>
              <w:spacing w:after="0"/>
              <w:rPr>
                <w:sz w:val="20"/>
                <w:szCs w:val="20"/>
                <w:color w:val="auto"/>
              </w:rPr>
            </w:pPr>
            <w:r>
              <w:rPr>
                <w:rFonts w:ascii="Arial" w:cs="Arial" w:eastAsia="Arial" w:hAnsi="Arial"/>
                <w:sz w:val="18"/>
                <w:szCs w:val="18"/>
                <w:color w:val="auto"/>
              </w:rPr>
              <w:t>OSHA</w:t>
            </w:r>
          </w:p>
        </w:tc>
        <w:tc>
          <w:tcPr>
            <w:tcW w:w="9300" w:type="dxa"/>
            <w:vAlign w:val="bottom"/>
          </w:tcPr>
          <w:p>
            <w:pPr>
              <w:ind w:left="320"/>
              <w:spacing w:after="0"/>
              <w:rPr>
                <w:sz w:val="20"/>
                <w:szCs w:val="20"/>
                <w:color w:val="auto"/>
              </w:rPr>
            </w:pPr>
            <w:r>
              <w:rPr>
                <w:rFonts w:ascii="Arial" w:cs="Arial" w:eastAsia="Arial" w:hAnsi="Arial"/>
                <w:sz w:val="18"/>
                <w:szCs w:val="18"/>
                <w:color w:val="auto"/>
              </w:rPr>
              <w:t>Federal Occupational Safety and Health Act.</w:t>
            </w:r>
          </w:p>
        </w:tc>
      </w:tr>
      <w:tr>
        <w:trPr>
          <w:trHeight w:val="27"/>
        </w:trPr>
        <w:tc>
          <w:tcPr>
            <w:tcW w:w="2120" w:type="dxa"/>
            <w:vAlign w:val="bottom"/>
          </w:tcPr>
          <w:p>
            <w:pPr>
              <w:spacing w:after="0"/>
              <w:rPr>
                <w:sz w:val="2"/>
                <w:szCs w:val="2"/>
                <w:color w:val="auto"/>
              </w:rPr>
            </w:pPr>
          </w:p>
        </w:tc>
        <w:tc>
          <w:tcPr>
            <w:tcW w:w="9300" w:type="dxa"/>
            <w:vAlign w:val="bottom"/>
          </w:tcPr>
          <w:p>
            <w:pPr>
              <w:spacing w:after="0"/>
              <w:rPr>
                <w:sz w:val="2"/>
                <w:szCs w:val="2"/>
                <w:color w:val="auto"/>
              </w:rPr>
            </w:pPr>
          </w:p>
        </w:tc>
      </w:tr>
      <w:tr>
        <w:trPr>
          <w:trHeight w:val="412"/>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w:t>
            </w:r>
          </w:p>
        </w:tc>
        <w:tc>
          <w:tcPr>
            <w:tcW w:w="9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Rattler Midstream LP, a Delaware limited partnership.</w:t>
            </w:r>
          </w:p>
        </w:tc>
      </w:tr>
      <w:tr>
        <w:trPr>
          <w:trHeight w:val="391"/>
        </w:trPr>
        <w:tc>
          <w:tcPr>
            <w:tcW w:w="2120" w:type="dxa"/>
            <w:vAlign w:val="bottom"/>
          </w:tcPr>
          <w:p>
            <w:pPr>
              <w:ind w:left="40"/>
              <w:spacing w:after="0"/>
              <w:rPr>
                <w:sz w:val="20"/>
                <w:szCs w:val="20"/>
                <w:color w:val="auto"/>
              </w:rPr>
            </w:pPr>
            <w:r>
              <w:rPr>
                <w:rFonts w:ascii="Arial" w:cs="Arial" w:eastAsia="Arial" w:hAnsi="Arial"/>
                <w:sz w:val="18"/>
                <w:szCs w:val="18"/>
                <w:color w:val="auto"/>
              </w:rPr>
              <w:t>Rattler’s general partner</w:t>
            </w:r>
          </w:p>
        </w:tc>
        <w:tc>
          <w:tcPr>
            <w:tcW w:w="9300" w:type="dxa"/>
            <w:vAlign w:val="bottom"/>
          </w:tcPr>
          <w:p>
            <w:pPr>
              <w:ind w:left="320"/>
              <w:spacing w:after="0"/>
              <w:rPr>
                <w:sz w:val="20"/>
                <w:szCs w:val="20"/>
                <w:color w:val="auto"/>
              </w:rPr>
            </w:pPr>
            <w:r>
              <w:rPr>
                <w:rFonts w:ascii="Arial" w:cs="Arial" w:eastAsia="Arial" w:hAnsi="Arial"/>
                <w:sz w:val="18"/>
                <w:szCs w:val="18"/>
                <w:color w:val="auto"/>
                <w:w w:val="98"/>
              </w:rPr>
              <w:t>Rattler Midstream GP LLC, a Delaware limited liability company; the general partner of Rattler Midstream LP and a</w:t>
            </w:r>
          </w:p>
        </w:tc>
      </w:tr>
      <w:tr>
        <w:trPr>
          <w:trHeight w:val="230"/>
        </w:trPr>
        <w:tc>
          <w:tcPr>
            <w:tcW w:w="2120" w:type="dxa"/>
            <w:vAlign w:val="bottom"/>
          </w:tcPr>
          <w:p>
            <w:pPr>
              <w:spacing w:after="0"/>
              <w:rPr>
                <w:sz w:val="20"/>
                <w:szCs w:val="20"/>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wholly-owned subsidiary of the Company.</w:t>
            </w:r>
          </w:p>
        </w:tc>
      </w:tr>
      <w:tr>
        <w:trPr>
          <w:trHeight w:val="27"/>
        </w:trPr>
        <w:tc>
          <w:tcPr>
            <w:tcW w:w="2120" w:type="dxa"/>
            <w:vAlign w:val="bottom"/>
          </w:tcPr>
          <w:p>
            <w:pPr>
              <w:spacing w:after="0"/>
              <w:rPr>
                <w:sz w:val="2"/>
                <w:szCs w:val="2"/>
                <w:color w:val="auto"/>
              </w:rPr>
            </w:pPr>
          </w:p>
        </w:tc>
        <w:tc>
          <w:tcPr>
            <w:tcW w:w="9300" w:type="dxa"/>
            <w:vAlign w:val="bottom"/>
          </w:tcPr>
          <w:p>
            <w:pPr>
              <w:spacing w:after="0"/>
              <w:rPr>
                <w:sz w:val="2"/>
                <w:szCs w:val="2"/>
                <w:color w:val="auto"/>
              </w:rPr>
            </w:pPr>
          </w:p>
        </w:tc>
      </w:tr>
      <w:tr>
        <w:trPr>
          <w:trHeight w:val="412"/>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LLC</w:t>
            </w:r>
          </w:p>
        </w:tc>
        <w:tc>
          <w:tcPr>
            <w:tcW w:w="9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405"/>
        </w:trPr>
        <w:tc>
          <w:tcPr>
            <w:tcW w:w="2120" w:type="dxa"/>
            <w:vAlign w:val="bottom"/>
          </w:tcPr>
          <w:p>
            <w:pPr>
              <w:ind w:left="40"/>
              <w:spacing w:after="0"/>
              <w:rPr>
                <w:sz w:val="20"/>
                <w:szCs w:val="20"/>
                <w:color w:val="auto"/>
              </w:rPr>
            </w:pPr>
            <w:r>
              <w:rPr>
                <w:rFonts w:ascii="Arial" w:cs="Arial" w:eastAsia="Arial" w:hAnsi="Arial"/>
                <w:sz w:val="18"/>
                <w:szCs w:val="18"/>
                <w:color w:val="auto"/>
              </w:rPr>
              <w:t>Rattler LTIP</w:t>
            </w:r>
          </w:p>
        </w:tc>
        <w:tc>
          <w:tcPr>
            <w:tcW w:w="9300" w:type="dxa"/>
            <w:vAlign w:val="bottom"/>
          </w:tcPr>
          <w:p>
            <w:pPr>
              <w:ind w:left="320"/>
              <w:spacing w:after="0"/>
              <w:rPr>
                <w:sz w:val="20"/>
                <w:szCs w:val="20"/>
                <w:color w:val="auto"/>
              </w:rPr>
            </w:pPr>
            <w:r>
              <w:rPr>
                <w:rFonts w:ascii="Arial" w:cs="Arial" w:eastAsia="Arial" w:hAnsi="Arial"/>
                <w:sz w:val="18"/>
                <w:szCs w:val="18"/>
                <w:color w:val="auto"/>
              </w:rPr>
              <w:t>Rattler Midstream LP Long-Term Incentive Plan.</w:t>
            </w:r>
          </w:p>
        </w:tc>
      </w:tr>
      <w:tr>
        <w:trPr>
          <w:trHeight w:val="27"/>
        </w:trPr>
        <w:tc>
          <w:tcPr>
            <w:tcW w:w="2120" w:type="dxa"/>
            <w:vAlign w:val="bottom"/>
          </w:tcPr>
          <w:p>
            <w:pPr>
              <w:spacing w:after="0"/>
              <w:rPr>
                <w:sz w:val="2"/>
                <w:szCs w:val="2"/>
                <w:color w:val="auto"/>
              </w:rPr>
            </w:pPr>
          </w:p>
        </w:tc>
        <w:tc>
          <w:tcPr>
            <w:tcW w:w="9300" w:type="dxa"/>
            <w:vAlign w:val="bottom"/>
          </w:tcPr>
          <w:p>
            <w:pPr>
              <w:spacing w:after="0"/>
              <w:rPr>
                <w:sz w:val="2"/>
                <w:szCs w:val="2"/>
                <w:color w:val="auto"/>
              </w:rPr>
            </w:pPr>
          </w:p>
        </w:tc>
      </w:tr>
      <w:tr>
        <w:trPr>
          <w:trHeight w:val="405"/>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Rattler Offering</w:t>
            </w:r>
          </w:p>
        </w:tc>
        <w:tc>
          <w:tcPr>
            <w:tcW w:w="9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Rattler’s initial public offering.</w:t>
            </w:r>
          </w:p>
        </w:tc>
      </w:tr>
      <w:tr>
        <w:trPr>
          <w:trHeight w:val="27"/>
        </w:trPr>
        <w:tc>
          <w:tcPr>
            <w:tcW w:w="2120" w:type="dxa"/>
            <w:vAlign w:val="bottom"/>
            <w:shd w:val="clear" w:color="auto" w:fill="CCEEFF"/>
          </w:tcPr>
          <w:p>
            <w:pPr>
              <w:spacing w:after="0"/>
              <w:rPr>
                <w:sz w:val="2"/>
                <w:szCs w:val="2"/>
                <w:color w:val="auto"/>
              </w:rPr>
            </w:pPr>
          </w:p>
        </w:tc>
        <w:tc>
          <w:tcPr>
            <w:tcW w:w="93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Rattler’s Partnership Agreement The first amended and restated agreement of limited partnership, dated May 28,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Ryder Scott</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Ryder Scott Company, L.P.</w:t>
            </w:r>
          </w:p>
        </w:tc>
      </w:tr>
      <w:tr>
        <w:trPr>
          <w:trHeight w:val="405"/>
        </w:trPr>
        <w:tc>
          <w:tcPr>
            <w:tcW w:w="2360" w:type="dxa"/>
            <w:vAlign w:val="bottom"/>
          </w:tcPr>
          <w:p>
            <w:pPr>
              <w:ind w:left="40"/>
              <w:spacing w:after="0"/>
              <w:rPr>
                <w:sz w:val="20"/>
                <w:szCs w:val="20"/>
                <w:color w:val="auto"/>
              </w:rPr>
            </w:pPr>
            <w:r>
              <w:rPr>
                <w:rFonts w:ascii="Arial" w:cs="Arial" w:eastAsia="Arial" w:hAnsi="Arial"/>
                <w:sz w:val="18"/>
                <w:szCs w:val="18"/>
                <w:color w:val="auto"/>
              </w:rPr>
              <w:t>SEC</w:t>
            </w:r>
          </w:p>
        </w:tc>
        <w:tc>
          <w:tcPr>
            <w:tcW w:w="9060" w:type="dxa"/>
            <w:vAlign w:val="bottom"/>
          </w:tcPr>
          <w:p>
            <w:pPr>
              <w:ind w:left="8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41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Act</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The Securities Act of 1933, as amended.</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2024 Senior Notes</w:t>
            </w:r>
          </w:p>
        </w:tc>
        <w:tc>
          <w:tcPr>
            <w:tcW w:w="9060" w:type="dxa"/>
            <w:vAlign w:val="bottom"/>
          </w:tcPr>
          <w:p>
            <w:pPr>
              <w:ind w:left="80"/>
              <w:spacing w:after="0"/>
              <w:rPr>
                <w:sz w:val="20"/>
                <w:szCs w:val="20"/>
                <w:color w:val="auto"/>
              </w:rPr>
            </w:pPr>
            <w:r>
              <w:rPr>
                <w:rFonts w:ascii="Arial" w:cs="Arial" w:eastAsia="Arial" w:hAnsi="Arial"/>
                <w:sz w:val="18"/>
                <w:szCs w:val="18"/>
                <w:color w:val="auto"/>
              </w:rPr>
              <w:t>The Company’s 4.750% senior unsecured notes due 2024 in the aggregate principal amount of $1,250 million.</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Senior Notes</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The Company’s 5.375% senior unsecured notes due 2025 in the aggregate principal amount of $800 million.</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9060" w:type="dxa"/>
            <w:vAlign w:val="bottom"/>
          </w:tcPr>
          <w:p>
            <w:pPr>
              <w:ind w:left="80"/>
              <w:spacing w:after="0"/>
              <w:rPr>
                <w:sz w:val="20"/>
                <w:szCs w:val="20"/>
                <w:color w:val="auto"/>
              </w:rPr>
            </w:pPr>
            <w:r>
              <w:rPr>
                <w:rFonts w:ascii="Arial" w:cs="Arial" w:eastAsia="Arial" w:hAnsi="Arial"/>
                <w:sz w:val="18"/>
                <w:szCs w:val="18"/>
                <w:color w:val="auto"/>
              </w:rPr>
              <w:t>The 2024 Senior Notes, the 2025 Senior Notes and the Series of Senior Notes</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2019 Notes</w:t>
            </w:r>
          </w:p>
        </w:tc>
        <w:tc>
          <w:tcPr>
            <w:tcW w:w="9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The Company’s 2.875% senior unsecured notes due 2024 in the aggregate principal amount of $1.0 billion, the Company’s</w:t>
            </w:r>
          </w:p>
        </w:tc>
      </w:tr>
      <w:tr>
        <w:trPr>
          <w:trHeight w:val="216"/>
        </w:trPr>
        <w:tc>
          <w:tcPr>
            <w:tcW w:w="2360" w:type="dxa"/>
            <w:vAlign w:val="bottom"/>
            <w:shd w:val="clear" w:color="auto" w:fill="CCEEFF"/>
          </w:tcPr>
          <w:p>
            <w:pPr>
              <w:spacing w:after="0"/>
              <w:rPr>
                <w:sz w:val="18"/>
                <w:szCs w:val="18"/>
                <w:color w:val="auto"/>
              </w:rPr>
            </w:pPr>
          </w:p>
        </w:tc>
        <w:tc>
          <w:tcPr>
            <w:tcW w:w="9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3.250% senior unsecured notes due 2026 in the aggregate principal amount of $800 million and the Company’s 3.500%</w:t>
            </w: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unsecured notes due 2029 in the aggregate principal amount of $1.2 billion.</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Viper</w:t>
            </w:r>
          </w:p>
        </w:tc>
        <w:tc>
          <w:tcPr>
            <w:tcW w:w="9060" w:type="dxa"/>
            <w:vAlign w:val="bottom"/>
          </w:tcPr>
          <w:p>
            <w:pPr>
              <w:ind w:left="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Viper’s general partner</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 Partnership.</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Viper LLC</w:t>
            </w:r>
          </w:p>
        </w:tc>
        <w:tc>
          <w:tcPr>
            <w:tcW w:w="9060" w:type="dxa"/>
            <w:vAlign w:val="bottom"/>
          </w:tcPr>
          <w:p>
            <w:pPr>
              <w:ind w:left="80"/>
              <w:spacing w:after="0"/>
              <w:rPr>
                <w:sz w:val="20"/>
                <w:szCs w:val="20"/>
                <w:color w:val="auto"/>
              </w:rPr>
            </w:pPr>
            <w:r>
              <w:rPr>
                <w:rFonts w:ascii="Arial" w:cs="Arial" w:eastAsia="Arial" w:hAnsi="Arial"/>
                <w:sz w:val="18"/>
                <w:szCs w:val="18"/>
                <w:color w:val="auto"/>
              </w:rPr>
              <w:t>Viper Energy Partners LLC, a Delaware limited liability company and a subsidiary of the Partnership.</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LTIP</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Viper Energy Partners LP Long Term Incentive Plan.</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Viper Offering</w:t>
            </w:r>
          </w:p>
        </w:tc>
        <w:tc>
          <w:tcPr>
            <w:tcW w:w="9060" w:type="dxa"/>
            <w:vAlign w:val="bottom"/>
          </w:tcPr>
          <w:p>
            <w:pPr>
              <w:ind w:left="80"/>
              <w:spacing w:after="0"/>
              <w:rPr>
                <w:sz w:val="20"/>
                <w:szCs w:val="20"/>
                <w:color w:val="auto"/>
              </w:rPr>
            </w:pPr>
            <w:r>
              <w:rPr>
                <w:rFonts w:ascii="Arial" w:cs="Arial" w:eastAsia="Arial" w:hAnsi="Arial"/>
                <w:sz w:val="18"/>
                <w:szCs w:val="18"/>
                <w:color w:val="auto"/>
              </w:rPr>
              <w:t>Viper’s initial public offering.</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41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Viper’s Partnership Agreement</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The second amended and restated agreement of limited partnership, dated May 9, 2018, as amended as of May 10, 2018.</w:t>
            </w:r>
          </w:p>
        </w:tc>
      </w:tr>
      <w:tr>
        <w:trPr>
          <w:trHeight w:val="405"/>
        </w:trPr>
        <w:tc>
          <w:tcPr>
            <w:tcW w:w="236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9060" w:type="dxa"/>
            <w:vAlign w:val="bottom"/>
          </w:tcPr>
          <w:p>
            <w:pPr>
              <w:ind w:left="8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41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Wexford</w:t>
            </w:r>
          </w:p>
        </w:tc>
        <w:tc>
          <w:tcPr>
            <w:tcW w:w="9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Wexford Capital LP</w:t>
            </w:r>
          </w:p>
        </w:tc>
      </w:tr>
      <w:tr>
        <w:trPr>
          <w:trHeight w:val="20"/>
        </w:trPr>
        <w:tc>
          <w:tcPr>
            <w:tcW w:w="2360" w:type="dxa"/>
            <w:vAlign w:val="bottom"/>
            <w:shd w:val="clear" w:color="auto" w:fill="000000"/>
          </w:tcPr>
          <w:p>
            <w:pPr>
              <w:spacing w:after="0" w:line="20" w:lineRule="exact"/>
              <w:rPr>
                <w:sz w:val="1"/>
                <w:szCs w:val="1"/>
                <w:color w:val="auto"/>
              </w:rPr>
            </w:pPr>
          </w:p>
        </w:tc>
        <w:tc>
          <w:tcPr>
            <w:tcW w:w="9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27"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125" w:right="239" w:bottom="127"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Securities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Annual Report on Form 10–K, including under </w:t>
      </w:r>
      <w:r>
        <w:rPr>
          <w:rFonts w:ascii="Arial" w:cs="Arial" w:eastAsia="Arial" w:hAnsi="Arial"/>
          <w:sz w:val="17"/>
          <w:szCs w:val="17"/>
          <w:i w:val="1"/>
          <w:iCs w:val="1"/>
          <w:color w:val="auto"/>
        </w:rPr>
        <w:t>Part I, Item 1A.</w:t>
      </w:r>
      <w:r>
        <w:rPr>
          <w:rFonts w:ascii="Arial" w:cs="Arial" w:eastAsia="Arial" w:hAnsi="Arial"/>
          <w:sz w:val="17"/>
          <w:szCs w:val="17"/>
          <w:color w:val="auto"/>
        </w:rPr>
        <w:t xml:space="preserve"> “Risk Factors” in this report,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39"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recently completed drop-down transaction with our subsidiary Viper Energy Partners LP, or Viper;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 and effects of hedging arrangements;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reduced drilling activity;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or interruptions of 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markets and our ability to obtain capital on favorable terms or at all;</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business or industry conditions;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plans;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558" w:right="239" w:bottom="1440" w:gutter="0" w:footer="0" w:header="0"/>
        </w:sectPr>
      </w:pPr>
    </w:p>
    <w:bookmarkStart w:id="7" w:name="page8"/>
    <w:bookmarkEnd w:id="7"/>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report includes certain terms commonly used in the oil and gas industry, which are defined above in the “Glossary of Oil and Natural Gas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AND PROPERTIES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began operations in December 2007 with our acquisition of 4,174 net acres in the Permian Basin. At December 31, 2019, our total acreage position in the Permian Basin was approximately 455,378 gross (382,337 net) acres, which consisted primarily of approximately 218,138 gross (195,461 net) acres in the Midland Basin and approximately 196,171 gross (155,296 net) acres in the Delaware Basin. In addition, our publicly traded subsidiary Viper Energy Partners LP, which we refer to as Viper, owns mineral interests underlying approximately 814,224 gross acres and 24,304 net royalty acres in the Permian Basin and Eagle Ford Shale. Approximately 50% of these net royalty acres are operated by us. We own Viper Energy Partners GP LLC, the general partner of Viper, which we refer to as Viper’s general partner, and we own approximately 58% of the limited partner interest in Viper. Further, our publicly traded subsidiary Rattler Midstream Partners LP, which we refer to as Rattler, is focused on ownership, operation, development and acquisition of midstream infrastructure assets in the Midland and Delaware Basins of the Permian Basin. We own Rattler Midstream GP LLC, the general partner of Rattler, which we refer to as Rattler’s general partner, and we own approximately 71% of the limited partner interest in Rattler. As of December 31, 2019, Rattler owned and operated 867 miles of crude oil gathering pipelines, natural gas gathering pipelines and a fully integrated water system on acreage that overlays our seven core Midland and Delaware Basin development areas. To facilitate the transportation of produced water and hydrocarbon volumes away from the producing wellhead to ensuring the efficient operations of a crude oil or natural gas well, Rattler’s midstream infrastructure includes a network of gathering pipelines that collect and transport crude oil, natural gas and produced water from our operations in the Midland and Delaware Basins.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 Permian Basin is characterized by high oil and liquids rich natural gas, multiple vertical and horizontal target horizons, extensive production history, long-lived reserves and high drilling success rates.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2019, our estimated proved oil and natural gas reserves were 1,127,575 MBOE (which includes estimated reserves of 88,946 MBOE attributable to the mineral interests owned by Viper), based on reserve reports prepared by Ryder Scott Company, L.P., or Ryder Scott, our independent reserve engineers. Of these reserves, approximately 67% are classified as proved developed producing. Proved undeveloped, or PUD, reserves included in this estimate are from 477 gross (434 net) horizontal well locations in which we have a working interest, and 22 horizontal wells in which we own only a mineral interest through our subsidiary, Viper. As of December 31, 2019, our estimated proved reserves were approximately 63% oil, 20% natural gas liquids and 17% natural gas.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on our evaluation of applicable geologic and engineering data, we currently have approximately 12,310 gross (8,141 net) identified economic potential horizontal drilling locations in multiple horizons on our acreage at an assumed price of approximately $60.00 per Bbl WTI. We intend to continue to develop our reserves and increase production through development drilling and exploitation and exploration activities on this multi-year project inventory of identified potential drilling locations and through additional acquisitions that meet our strategic and financial objectives, targeting oil-weighted reserves.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2019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23, 2019, we completed our divestiture of 6,589 net acres of certain non-core Permian assets, which we acquired in our November 2018 merger with Energen Corporation, which we refer to as the Energen merger, for an aggregate sale price of $37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1, 2019, we completed our divestiture of 103,750 net acres of certain conventional and non-core Permian assets, which we acquired in the Energen merger, for an aggregate sale price of $285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October 1, 2019, we completed a transaction to divest certain mineral and royalty interests to Viper for approximately 18.3 million of Viper’s newly-issued Class B units, approximately 18.3 million newly-issued units of Viper LLC with </w:t>
      </w:r>
      <w:r>
        <w:rPr>
          <w:rFonts w:ascii="Arial" w:cs="Arial" w:eastAsia="Arial" w:hAnsi="Arial"/>
          <w:sz w:val="18"/>
          <w:szCs w:val="18"/>
          <w:color w:val="231F20"/>
        </w:rPr>
        <w:t>a fair value of</w:t>
      </w:r>
      <w:r>
        <w:rPr>
          <w:rFonts w:ascii="Arial" w:cs="Arial" w:eastAsia="Arial" w:hAnsi="Arial"/>
          <w:sz w:val="18"/>
          <w:szCs w:val="18"/>
          <w:color w:val="auto"/>
        </w:rPr>
        <w:t xml:space="preserve"> $497 million and $190 million in cash, after giving effect to closing adjustments for net title benefits, which we refer to as the Drop-Down. The mineral and royalty interests divested in the Drop-Down represent approximately 5,490 net royalty acres across the Midland and Delaware Basins, of which over 95% are operated by us, and have an average net royalty interest of approximately 3.2%.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Initial Public Offering</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May 2019, Rattler completed its initial public offering, which we refer to as the Rattler Offering, of an aggregate 43,700,000 common units at a price to the public of $17.50 per share, which common units are traded on the Nasdaq Global Select Market under the symbol “RTLR.” Rattler received aggregate net proceeds of approximately $720 million from the sale of these common units, after deducting the underwriting discount and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continue to profitably grow our business through the following:</w:t>
      </w:r>
    </w:p>
    <w:p>
      <w:pPr>
        <w:spacing w:after="0" w:line="221" w:lineRule="exact"/>
        <w:rPr>
          <w:sz w:val="20"/>
          <w:szCs w:val="20"/>
          <w:color w:val="auto"/>
        </w:rPr>
      </w:pPr>
    </w:p>
    <w:p>
      <w:pPr>
        <w:jc w:val="both"/>
        <w:ind w:left="980" w:hanging="324"/>
        <w:spacing w:after="0" w:line="266"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production and reserves by developing our oil-rich resource base. </w:t>
      </w:r>
      <w:r>
        <w:rPr>
          <w:rFonts w:ascii="Arial" w:cs="Arial" w:eastAsia="Arial" w:hAnsi="Arial"/>
          <w:sz w:val="18"/>
          <w:szCs w:val="18"/>
          <w:color w:val="auto"/>
        </w:rPr>
        <w:t>We intend to drill and develop our acreage base in an effort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its value and resource potential. Through the conversion of our undeveloped reserves to developed reserves, we will seek to increase our production, reserves and cash flow while generating favorable returns on invested capital.</w:t>
      </w:r>
    </w:p>
    <w:p>
      <w:pPr>
        <w:spacing w:after="0" w:line="176"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Focus on increasing hydrocarbon recovery through horizontal development of stacked horizons. </w:t>
      </w:r>
      <w:r>
        <w:rPr>
          <w:rFonts w:ascii="Arial" w:cs="Arial" w:eastAsia="Arial" w:hAnsi="Arial"/>
          <w:sz w:val="18"/>
          <w:szCs w:val="18"/>
          <w:color w:val="auto"/>
        </w:rPr>
        <w:t>We have been developing multiple pay</w:t>
      </w:r>
      <w:r>
        <w:rPr>
          <w:rFonts w:ascii="Arial" w:cs="Arial" w:eastAsia="Arial" w:hAnsi="Arial"/>
          <w:sz w:val="18"/>
          <w:szCs w:val="18"/>
          <w:b w:val="1"/>
          <w:bCs w:val="1"/>
          <w:color w:val="auto"/>
        </w:rPr>
        <w:t xml:space="preserve"> </w:t>
      </w:r>
      <w:r>
        <w:rPr>
          <w:rFonts w:ascii="Arial" w:cs="Arial" w:eastAsia="Arial" w:hAnsi="Arial"/>
          <w:sz w:val="18"/>
          <w:szCs w:val="18"/>
          <w:color w:val="auto"/>
        </w:rPr>
        <w:t>intervals in the Permian Basin through horizontal drilling and believe that there are opportunities to target additional intervals throughout the stratigraphic column. Our initial horizontal wells were completed in 2012, and since then we have been an active horizontal driller in the basin. We believe that our significant experience drilling, completing and operating horizontal wells will allow us to efficiently develop our remaining inventory and ultimately target other horizons that have limited development to date. The following table presents horizontal wells in which we have an interest in as of December 31, 2019:</w:t>
      </w:r>
    </w:p>
    <w:p>
      <w:pPr>
        <w:spacing w:after="0" w:line="13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Horizontal</w:t>
            </w:r>
          </w:p>
        </w:tc>
      </w:tr>
      <w:tr>
        <w:trPr>
          <w:trHeight w:val="234"/>
        </w:trPr>
        <w:tc>
          <w:tcPr>
            <w:tcW w:w="7280" w:type="dxa"/>
            <w:vAlign w:val="bottom"/>
          </w:tcPr>
          <w:p>
            <w:pPr>
              <w:ind w:left="3420"/>
              <w:spacing w:after="0"/>
              <w:rPr>
                <w:sz w:val="20"/>
                <w:szCs w:val="20"/>
                <w:color w:val="auto"/>
              </w:rPr>
            </w:pPr>
            <w:r>
              <w:rPr>
                <w:rFonts w:ascii="Arial" w:cs="Arial" w:eastAsia="Arial" w:hAnsi="Arial"/>
                <w:sz w:val="18"/>
                <w:szCs w:val="18"/>
                <w:b w:val="1"/>
                <w:bCs w:val="1"/>
                <w:color w:val="auto"/>
              </w:rPr>
              <w:t>Basin</w:t>
            </w:r>
          </w:p>
        </w:tc>
        <w:tc>
          <w:tcPr>
            <w:tcW w:w="2040" w:type="dxa"/>
            <w:vAlign w:val="bottom"/>
          </w:tcPr>
          <w:p>
            <w:pPr>
              <w:jc w:val="right"/>
              <w:ind w:right="730"/>
              <w:spacing w:after="0"/>
              <w:rPr>
                <w:sz w:val="20"/>
                <w:szCs w:val="20"/>
                <w:color w:val="auto"/>
              </w:rPr>
            </w:pPr>
            <w:r>
              <w:rPr>
                <w:rFonts w:ascii="Arial" w:cs="Arial" w:eastAsia="Arial" w:hAnsi="Arial"/>
                <w:sz w:val="18"/>
                <w:szCs w:val="18"/>
                <w:b w:val="1"/>
                <w:bCs w:val="1"/>
                <w:color w:val="auto"/>
              </w:rPr>
              <w:t>Wells</w:t>
            </w:r>
          </w:p>
        </w:tc>
      </w:tr>
      <w:tr>
        <w:trPr>
          <w:trHeight w:val="27"/>
        </w:trPr>
        <w:tc>
          <w:tcPr>
            <w:tcW w:w="7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72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0"/>
        </w:trPr>
        <w:tc>
          <w:tcPr>
            <w:tcW w:w="72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ind w:left="980" w:right="720"/>
        <w:spacing w:after="0" w:line="261" w:lineRule="auto"/>
        <w:tabs>
          <w:tab w:leader="none" w:pos="1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these 1,770 total horizontal wells, we are the operator of 1,489 producing wells and have a non-operated working interest in 281 additional wells.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500"/>
        <w:spacing w:after="0" w:line="277" w:lineRule="auto"/>
        <w:rPr>
          <w:sz w:val="20"/>
          <w:szCs w:val="20"/>
          <w:color w:val="auto"/>
        </w:rPr>
      </w:pPr>
      <w:r>
        <w:rPr>
          <w:rFonts w:ascii="Arial" w:cs="Arial" w:eastAsia="Arial" w:hAnsi="Arial"/>
          <w:sz w:val="18"/>
          <w:szCs w:val="18"/>
          <w:color w:val="auto"/>
        </w:rPr>
        <w:t>The following table presents the average number of days in which we were able to drill our horizontal wells to total depth specified below during the year ended December 31, 2019:</w:t>
      </w:r>
    </w:p>
    <w:p>
      <w:pPr>
        <w:spacing w:after="0" w:line="11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0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Average Days to Total</w:t>
            </w:r>
          </w:p>
        </w:tc>
      </w:tr>
      <w:tr>
        <w:trPr>
          <w:trHeight w:val="234"/>
        </w:trPr>
        <w:tc>
          <w:tcPr>
            <w:tcW w:w="7280" w:type="dxa"/>
            <w:vAlign w:val="bottom"/>
          </w:tcPr>
          <w:p>
            <w:pPr>
              <w:spacing w:after="0"/>
              <w:rPr>
                <w:sz w:val="20"/>
                <w:szCs w:val="20"/>
                <w:color w:val="auto"/>
              </w:rPr>
            </w:pPr>
          </w:p>
        </w:tc>
        <w:tc>
          <w:tcPr>
            <w:tcW w:w="2040" w:type="dxa"/>
            <w:vAlign w:val="bottom"/>
          </w:tcPr>
          <w:p>
            <w:pPr>
              <w:jc w:val="right"/>
              <w:ind w:right="690"/>
              <w:spacing w:after="0"/>
              <w:rPr>
                <w:sz w:val="20"/>
                <w:szCs w:val="20"/>
                <w:color w:val="auto"/>
              </w:rPr>
            </w:pPr>
            <w:r>
              <w:rPr>
                <w:rFonts w:ascii="Arial" w:cs="Arial" w:eastAsia="Arial" w:hAnsi="Arial"/>
                <w:sz w:val="18"/>
                <w:szCs w:val="18"/>
                <w:b w:val="1"/>
                <w:bCs w:val="1"/>
                <w:color w:val="auto"/>
              </w:rPr>
              <w:t>Depth</w:t>
            </w:r>
          </w:p>
        </w:tc>
      </w:tr>
      <w:tr>
        <w:trPr>
          <w:trHeight w:val="27"/>
        </w:trPr>
        <w:tc>
          <w:tcPr>
            <w:tcW w:w="72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Midland Basin</w:t>
            </w: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7,500 foot 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10,000 foot lateral</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13,000 foot 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Delaware Basin</w:t>
            </w: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7,500 foot 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10,000 foot lateral</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13,000 foot 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Further advances in drilling and completion technology may result in economic development of zones that are not currently viable.</w:t>
      </w:r>
    </w:p>
    <w:p>
      <w:pPr>
        <w:spacing w:after="0" w:line="221" w:lineRule="exact"/>
        <w:rPr>
          <w:sz w:val="20"/>
          <w:szCs w:val="20"/>
          <w:color w:val="auto"/>
        </w:rPr>
      </w:pPr>
    </w:p>
    <w:p>
      <w:pPr>
        <w:jc w:val="both"/>
        <w:ind w:left="980" w:hanging="324"/>
        <w:spacing w:after="0" w:line="271"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experience operating in the Permian Basin. </w:t>
      </w:r>
      <w:r>
        <w:rPr>
          <w:rFonts w:ascii="Arial" w:cs="Arial" w:eastAsia="Arial" w:hAnsi="Arial"/>
          <w:sz w:val="17"/>
          <w:szCs w:val="17"/>
          <w:color w:val="auto"/>
        </w:rPr>
        <w:t>Our executive team, which has an average of over 25 years of industry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per person and significant experience in the Permian Basin, intends to continue to seek ways to maximize hydrocarbon recovery by refining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174"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8"/>
          <w:szCs w:val="18"/>
          <w:color w:val="auto"/>
        </w:rPr>
        <w:t>Our acreage position is generally in contiguous blocks which allows us to develop this acreage efficiently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“manufacturing” strategy that takes advantage of economies of scale and uses centralized production and fluid handling facilities. We are the operator of approximately 97% of our acreage. This operational control allows us to manage more efficiently the pace of development activities and the gathering and marketing of our production and control operating costs and technical applications, including horizontal development. Our average 84% working interest in our acreage allows us to realize the majority of the benefits of these activities and cost efficiencies.</w:t>
      </w:r>
    </w:p>
    <w:p>
      <w:pPr>
        <w:spacing w:after="0" w:line="189" w:lineRule="exact"/>
        <w:rPr>
          <w:rFonts w:ascii="Arial" w:cs="Arial" w:eastAsia="Arial" w:hAnsi="Arial"/>
          <w:sz w:val="18"/>
          <w:szCs w:val="18"/>
          <w:b w:val="1"/>
          <w:bCs w:val="1"/>
          <w:color w:val="auto"/>
        </w:rPr>
      </w:pPr>
    </w:p>
    <w:p>
      <w:pPr>
        <w:jc w:val="both"/>
        <w:ind w:left="980" w:hanging="324"/>
        <w:spacing w:after="0" w:line="281" w:lineRule="auto"/>
        <w:tabs>
          <w:tab w:leader="none" w:pos="9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Pursue strategic acquisitions with substantial resource potential. </w:t>
      </w:r>
      <w:r>
        <w:rPr>
          <w:rFonts w:ascii="Arial" w:cs="Arial" w:eastAsia="Arial" w:hAnsi="Arial"/>
          <w:sz w:val="17"/>
          <w:szCs w:val="17"/>
          <w:color w:val="auto"/>
        </w:rPr>
        <w:t>We have a proven history of acquiring leasehold positions in the Permian</w:t>
      </w:r>
      <w:r>
        <w:rPr>
          <w:rFonts w:ascii="Arial" w:cs="Arial" w:eastAsia="Arial" w:hAnsi="Arial"/>
          <w:sz w:val="17"/>
          <w:szCs w:val="17"/>
          <w:b w:val="1"/>
          <w:bCs w:val="1"/>
          <w:color w:val="auto"/>
        </w:rPr>
        <w:t xml:space="preserve"> </w:t>
      </w:r>
      <w:r>
        <w:rPr>
          <w:rFonts w:ascii="Arial" w:cs="Arial" w:eastAsia="Arial" w:hAnsi="Arial"/>
          <w:sz w:val="17"/>
          <w:szCs w:val="17"/>
          <w:color w:val="auto"/>
        </w:rPr>
        <w:t>Basin that have substantial oil-weighted resource potential. Our executive team, with its extensive experience in the Permian Basin, has what we believe is a competitive advantage in identifying acquisition targets and a proven ability to evaluate resource potential. We regularly review acquisition opportunities and intend to pursue acquisitions that meet our strategic and financial targets.</w:t>
      </w:r>
    </w:p>
    <w:p>
      <w:pPr>
        <w:spacing w:after="0" w:line="164" w:lineRule="exact"/>
        <w:rPr>
          <w:rFonts w:ascii="Arial" w:cs="Arial" w:eastAsia="Arial" w:hAnsi="Arial"/>
          <w:sz w:val="17"/>
          <w:szCs w:val="17"/>
          <w:b w:val="1"/>
          <w:bCs w:val="1"/>
          <w:color w:val="auto"/>
        </w:rPr>
      </w:pPr>
    </w:p>
    <w:p>
      <w:pPr>
        <w:jc w:val="both"/>
        <w:ind w:left="980" w:hanging="324"/>
        <w:spacing w:after="0" w:line="261"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Maintain financial flexibility. </w:t>
      </w:r>
      <w:r>
        <w:rPr>
          <w:rFonts w:ascii="Arial" w:cs="Arial" w:eastAsia="Arial" w:hAnsi="Arial"/>
          <w:sz w:val="18"/>
          <w:szCs w:val="18"/>
          <w:color w:val="auto"/>
        </w:rPr>
        <w:t>We seek to maintain a conservative financial position. As of December 31, 2019, our borrowing base was set at</w:t>
      </w:r>
      <w:r>
        <w:rPr>
          <w:rFonts w:ascii="Arial" w:cs="Arial" w:eastAsia="Arial" w:hAnsi="Arial"/>
          <w:sz w:val="18"/>
          <w:szCs w:val="18"/>
          <w:b w:val="1"/>
          <w:bCs w:val="1"/>
          <w:color w:val="auto"/>
        </w:rPr>
        <w:t xml:space="preserve"> </w:t>
      </w:r>
      <w:r>
        <w:rPr>
          <w:rFonts w:ascii="Arial" w:cs="Arial" w:eastAsia="Arial" w:hAnsi="Arial"/>
          <w:sz w:val="18"/>
          <w:szCs w:val="18"/>
          <w:color w:val="auto"/>
        </w:rPr>
        <w:t>$2.0 billion and we had $1.99 billion available for borrowing. As of December 31, 2019, Viper LLC had $97 million in outstanding borrowings, and $678 million available for borrowing, under its revolving credit facility. As of December 31, 2019, Rattler LLC had $424 million in outstanding borrowings, and $176 million available for borrowing, under its revolving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21" w:lineRule="exact"/>
        <w:rPr>
          <w:sz w:val="20"/>
          <w:szCs w:val="20"/>
          <w:color w:val="auto"/>
        </w:rPr>
      </w:pPr>
    </w:p>
    <w:p>
      <w:pPr>
        <w:jc w:val="both"/>
        <w:ind w:left="980" w:hanging="324"/>
        <w:spacing w:after="0" w:line="261"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Permian Basin. Our production for the year ended December 31, 2019 was approximately 66% oil, 18% natural gas liquids and 16% natural gas. As of December 31, 2019,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estimated net proved reserves were comprised of approximately 63% oil, 20% natural gas liquids and 17% natural gas.</w:t>
      </w:r>
    </w:p>
    <w:p>
      <w:pPr>
        <w:spacing w:after="0" w:line="221" w:lineRule="exact"/>
        <w:rPr>
          <w:sz w:val="20"/>
          <w:szCs w:val="20"/>
          <w:color w:val="auto"/>
        </w:rPr>
      </w:pPr>
    </w:p>
    <w:p>
      <w:pPr>
        <w:jc w:val="both"/>
        <w:ind w:left="980" w:hanging="324"/>
        <w:spacing w:after="0" w:line="29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Multi-year drilling inventory in one of North America’s leading oil resource plays. </w:t>
      </w:r>
      <w:r>
        <w:rPr>
          <w:rFonts w:ascii="Arial" w:cs="Arial" w:eastAsia="Arial" w:hAnsi="Arial"/>
          <w:sz w:val="16"/>
          <w:szCs w:val="16"/>
          <w:color w:val="auto"/>
        </w:rPr>
        <w:t>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At an assumed price of approximately $60.00 per Bbl WTI, we currently have approximately 12,310 gross (8,141 net) identified economic potential horizontal drilling locations on our acreage based on our evaluation of applicable geologic and engineering data. These gross identified economic potential horizontal locations have an average lateral length of approximately 7,975 feet, with the actual length depending on lease geometry and other considerations. These locations exist across most of our acreage blocks and in multiple horizons. The ultimate inter-well spacing may vary from these distances due to different factors, which would result in a higher or lower location count. In addition, we have approximately 3,413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163"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 following table presents the number of identified economic potential horizontal drilling locations by basin:</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Identified Economic</w:t>
            </w:r>
          </w:p>
        </w:tc>
      </w:tr>
      <w:tr>
        <w:trPr>
          <w:trHeight w:val="216"/>
        </w:trPr>
        <w:tc>
          <w:tcPr>
            <w:tcW w:w="65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3"/>
              </w:rPr>
              <w:t>Potential Horizontal Drilling</w:t>
            </w:r>
          </w:p>
        </w:tc>
      </w:tr>
      <w:tr>
        <w:trPr>
          <w:trHeight w:val="234"/>
        </w:trPr>
        <w:tc>
          <w:tcPr>
            <w:tcW w:w="65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Locations</w:t>
            </w:r>
          </w:p>
        </w:tc>
      </w:tr>
      <w:tr>
        <w:trPr>
          <w:trHeight w:val="27"/>
        </w:trPr>
        <w:tc>
          <w:tcPr>
            <w:tcW w:w="65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Midland Basin</w:t>
            </w:r>
          </w:p>
        </w:tc>
        <w:tc>
          <w:tcPr>
            <w:tcW w:w="280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280"/>
              <w:spacing w:after="0" w:line="270" w:lineRule="exact"/>
              <w:rPr>
                <w:sz w:val="20"/>
                <w:szCs w:val="20"/>
                <w:color w:val="auto"/>
              </w:rPr>
            </w:pPr>
            <w:r>
              <w:rPr>
                <w:rFonts w:ascii="Arial" w:cs="Arial" w:eastAsia="Arial" w:hAnsi="Arial"/>
                <w:sz w:val="18"/>
                <w:szCs w:val="18"/>
                <w:color w:val="auto"/>
              </w:rPr>
              <w:t>Lower Spraberry</w:t>
            </w:r>
            <w:r>
              <w:rPr>
                <w:rFonts w:ascii="Arial" w:cs="Arial" w:eastAsia="Arial" w:hAnsi="Arial"/>
                <w:sz w:val="25"/>
                <w:szCs w:val="25"/>
                <w:color w:val="auto"/>
                <w:vertAlign w:val="superscript"/>
              </w:rPr>
              <w:t>(1)</w:t>
            </w:r>
          </w:p>
        </w:tc>
        <w:tc>
          <w:tcPr>
            <w:tcW w:w="280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0"/>
        </w:trPr>
        <w:tc>
          <w:tcPr>
            <w:tcW w:w="6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Middle Spraberry</w:t>
            </w:r>
            <w:r>
              <w:rPr>
                <w:rFonts w:ascii="Arial" w:cs="Arial" w:eastAsia="Arial" w:hAnsi="Arial"/>
                <w:sz w:val="25"/>
                <w:szCs w:val="25"/>
                <w:color w:val="auto"/>
                <w:vertAlign w:val="superscript"/>
              </w:rPr>
              <w:t>(2)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70"/>
        </w:trPr>
        <w:tc>
          <w:tcPr>
            <w:tcW w:w="6520" w:type="dxa"/>
            <w:vAlign w:val="bottom"/>
          </w:tcPr>
          <w:p>
            <w:pPr>
              <w:ind w:left="280"/>
              <w:spacing w:after="0" w:line="270" w:lineRule="exact"/>
              <w:rPr>
                <w:sz w:val="20"/>
                <w:szCs w:val="20"/>
                <w:color w:val="auto"/>
              </w:rPr>
            </w:pPr>
            <w:r>
              <w:rPr>
                <w:rFonts w:ascii="Arial" w:cs="Arial" w:eastAsia="Arial" w:hAnsi="Arial"/>
                <w:sz w:val="18"/>
                <w:szCs w:val="18"/>
                <w:color w:val="auto"/>
              </w:rPr>
              <w:t>Wolfcamp A</w:t>
            </w:r>
            <w:r>
              <w:rPr>
                <w:rFonts w:ascii="Arial" w:cs="Arial" w:eastAsia="Arial" w:hAnsi="Arial"/>
                <w:sz w:val="25"/>
                <w:szCs w:val="25"/>
                <w:color w:val="auto"/>
                <w:vertAlign w:val="superscript"/>
              </w:rPr>
              <w:t>(3)</w:t>
            </w:r>
          </w:p>
        </w:tc>
        <w:tc>
          <w:tcPr>
            <w:tcW w:w="280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70"/>
        </w:trPr>
        <w:tc>
          <w:tcPr>
            <w:tcW w:w="6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Wolfcamp B</w:t>
            </w:r>
            <w:r>
              <w:rPr>
                <w:rFonts w:ascii="Arial" w:cs="Arial" w:eastAsia="Arial" w:hAnsi="Arial"/>
                <w:sz w:val="25"/>
                <w:szCs w:val="25"/>
                <w:color w:val="auto"/>
                <w:vertAlign w:val="superscript"/>
              </w:rPr>
              <w:t>(4)</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Pr>
          <w:p>
            <w:pPr>
              <w:jc w:val="right"/>
              <w:spacing w:after="0"/>
              <w:rPr>
                <w:sz w:val="20"/>
                <w:szCs w:val="20"/>
                <w:color w:val="auto"/>
              </w:rPr>
            </w:pPr>
            <w:r>
              <w:rPr>
                <w:rFonts w:ascii="Arial" w:cs="Arial" w:eastAsia="Arial" w:hAnsi="Arial"/>
                <w:sz w:val="18"/>
                <w:szCs w:val="18"/>
                <w:color w:val="auto"/>
              </w:rPr>
              <w:t>2,237</w:t>
            </w:r>
          </w:p>
        </w:tc>
      </w:tr>
      <w:tr>
        <w:trPr>
          <w:trHeight w:val="27"/>
        </w:trPr>
        <w:tc>
          <w:tcPr>
            <w:tcW w:w="65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Midland Basin</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Delaware Basin</w:t>
            </w:r>
          </w:p>
        </w:tc>
        <w:tc>
          <w:tcPr>
            <w:tcW w:w="2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6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2nd Bone Springs</w:t>
            </w:r>
            <w:r>
              <w:rPr>
                <w:rFonts w:ascii="Arial" w:cs="Arial" w:eastAsia="Arial" w:hAnsi="Arial"/>
                <w:sz w:val="25"/>
                <w:szCs w:val="25"/>
                <w:color w:val="auto"/>
                <w:vertAlign w:val="superscript"/>
              </w:rPr>
              <w:t>(5)</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70"/>
        </w:trPr>
        <w:tc>
          <w:tcPr>
            <w:tcW w:w="6520" w:type="dxa"/>
            <w:vAlign w:val="bottom"/>
          </w:tcPr>
          <w:p>
            <w:pPr>
              <w:ind w:left="280"/>
              <w:spacing w:after="0" w:line="270" w:lineRule="exact"/>
              <w:rPr>
                <w:sz w:val="20"/>
                <w:szCs w:val="20"/>
                <w:color w:val="auto"/>
              </w:rPr>
            </w:pPr>
            <w:r>
              <w:rPr>
                <w:rFonts w:ascii="Arial" w:cs="Arial" w:eastAsia="Arial" w:hAnsi="Arial"/>
                <w:sz w:val="18"/>
                <w:szCs w:val="18"/>
                <w:color w:val="auto"/>
              </w:rPr>
              <w:t>3rd Bone Springs</w:t>
            </w:r>
            <w:r>
              <w:rPr>
                <w:rFonts w:ascii="Arial" w:cs="Arial" w:eastAsia="Arial" w:hAnsi="Arial"/>
                <w:sz w:val="25"/>
                <w:szCs w:val="25"/>
                <w:color w:val="auto"/>
                <w:vertAlign w:val="superscript"/>
              </w:rPr>
              <w:t>(5)</w:t>
            </w:r>
          </w:p>
        </w:tc>
        <w:tc>
          <w:tcPr>
            <w:tcW w:w="280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0"/>
        </w:trPr>
        <w:tc>
          <w:tcPr>
            <w:tcW w:w="65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Wolfcamp A</w:t>
            </w:r>
            <w:r>
              <w:rPr>
                <w:rFonts w:ascii="Arial" w:cs="Arial" w:eastAsia="Arial" w:hAnsi="Arial"/>
                <w:sz w:val="25"/>
                <w:szCs w:val="25"/>
                <w:color w:val="auto"/>
                <w:vertAlign w:val="superscript"/>
              </w:rPr>
              <w:t>(6)</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70"/>
        </w:trPr>
        <w:tc>
          <w:tcPr>
            <w:tcW w:w="6520" w:type="dxa"/>
            <w:vAlign w:val="bottom"/>
          </w:tcPr>
          <w:p>
            <w:pPr>
              <w:ind w:left="280"/>
              <w:spacing w:after="0" w:line="270" w:lineRule="exact"/>
              <w:rPr>
                <w:sz w:val="20"/>
                <w:szCs w:val="20"/>
                <w:color w:val="auto"/>
              </w:rPr>
            </w:pPr>
            <w:r>
              <w:rPr>
                <w:rFonts w:ascii="Arial" w:cs="Arial" w:eastAsia="Arial" w:hAnsi="Arial"/>
                <w:sz w:val="18"/>
                <w:szCs w:val="18"/>
                <w:color w:val="auto"/>
              </w:rPr>
              <w:t>Wolfcamp B</w:t>
            </w:r>
            <w:r>
              <w:rPr>
                <w:rFonts w:ascii="Arial" w:cs="Arial" w:eastAsia="Arial" w:hAnsi="Arial"/>
                <w:sz w:val="25"/>
                <w:szCs w:val="25"/>
                <w:color w:val="auto"/>
                <w:vertAlign w:val="superscript"/>
              </w:rPr>
              <w:t>(6)</w:t>
            </w:r>
          </w:p>
        </w:tc>
        <w:tc>
          <w:tcPr>
            <w:tcW w:w="280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Delaware Basin</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w:t>
            </w:r>
          </w:p>
        </w:tc>
      </w:tr>
      <w:tr>
        <w:trPr>
          <w:trHeight w:val="27"/>
        </w:trPr>
        <w:tc>
          <w:tcPr>
            <w:tcW w:w="65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r>
      <w:tr>
        <w:trPr>
          <w:trHeight w:val="20"/>
        </w:trPr>
        <w:tc>
          <w:tcPr>
            <w:tcW w:w="65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northeast Andrews, Howard and Glasscock counties, depending on the prospect area and 880 foot spacing in all other counties.</w:t>
      </w:r>
    </w:p>
    <w:p>
      <w:pPr>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is based on 660 foot spacing in Midland, Martin and northeast Andrews counties, depending on the prospect area and 880 foot spacing in all other counties.</w:t>
      </w:r>
    </w:p>
    <w:p>
      <w:pPr>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northeast Andrews, Howard and Glasscock counties, depending on the prospect area and 880 foot spacing in all other counties.</w:t>
      </w:r>
    </w:p>
    <w:p>
      <w:pPr>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in based on 660 foot to 880 foot spacing in Midland, Martin, northeast Andrews, Howard and Glasscock counties, depending on the prospect area and 880 foot spacing in all other counties.</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1,320 foot spacing.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1,056 foot spacing.</w:t>
      </w:r>
    </w:p>
    <w:p>
      <w:pPr>
        <w:spacing w:after="0" w:line="206"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an average of over 25 years of industry experience per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in addition to horizontal well reservoir and geologic expertise, which is of strategic importance as we expand our horizontal drilling activity. Prior to joining us, our Chief Executive Officer held management positions at Apache Corporation, Laredo Petroleum Holdings, Inc. and Burlington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980" w:hanging="324"/>
        <w:spacing w:after="0" w:line="261" w:lineRule="auto"/>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180" w:lineRule="exact"/>
        <w:rPr>
          <w:rFonts w:ascii="Arial" w:cs="Arial" w:eastAsia="Arial" w:hAnsi="Arial"/>
          <w:sz w:val="18"/>
          <w:szCs w:val="18"/>
          <w:b w:val="1"/>
          <w:bCs w:val="1"/>
          <w:color w:val="auto"/>
        </w:rPr>
      </w:pPr>
    </w:p>
    <w:p>
      <w:pPr>
        <w:jc w:val="both"/>
        <w:ind w:left="980" w:hanging="324"/>
        <w:spacing w:after="0" w:line="298"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High degree of operational control. </w:t>
      </w:r>
      <w:r>
        <w:rPr>
          <w:rFonts w:ascii="Arial" w:cs="Arial" w:eastAsia="Arial" w:hAnsi="Arial"/>
          <w:sz w:val="16"/>
          <w:szCs w:val="16"/>
          <w:color w:val="auto"/>
        </w:rPr>
        <w:t>We are the operator of approximately 97%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increase or decrease our capital expenditure program based on commodity price outlooks. This operating control also enables us to obtain data needed for efficient exploration of horizontal prospects.</w:t>
      </w:r>
    </w:p>
    <w:p>
      <w:pPr>
        <w:spacing w:after="0" w:line="154" w:lineRule="exact"/>
        <w:rPr>
          <w:rFonts w:ascii="Arial" w:cs="Arial" w:eastAsia="Arial" w:hAnsi="Arial"/>
          <w:sz w:val="16"/>
          <w:szCs w:val="16"/>
          <w:color w:val="auto"/>
        </w:rPr>
      </w:pPr>
    </w:p>
    <w:p>
      <w:pPr>
        <w:jc w:val="both"/>
        <w:ind w:left="98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Access to Midstream Infrastructure and Gathering and Transportation Pipelines</w:t>
      </w:r>
      <w:r>
        <w:rPr>
          <w:rFonts w:ascii="Arial" w:cs="Arial" w:eastAsia="Arial" w:hAnsi="Arial"/>
          <w:sz w:val="18"/>
          <w:szCs w:val="18"/>
          <w:color w:val="auto"/>
        </w:rPr>
        <w:t>. Through our publicly traded subsidiary Rattler,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access to midstream infrastructure and crude oil gathering and transportation pipelines tailored to our expected production growth ramp in order to allow us the operational flexibility to execute on our growth plan. Rattler is the primary provider of midstream services to us with an acreage dedication that spans a total of approximately 397,000 gross acres across all of Rattler’s service lines and over the core of the Midland and Delaware Basins.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total acreage position in the Permian Basin was approximately 455,378 gross (382,337 net) acres, which consisted primarily of approximately 218,138 gross (195,461 net) acres in the Midland Basin and approximately 196,171 gross (155,296 net) acres in the Delaware Basin at December 31, 2019. We are the operator of approximately 97% of this Permian Basin acreage. In addition, our publicly traded subsidiary Viper owns mineral interests underlying approximately 814,224 gross acres and 24,304 net royalty acres in the Permian Basin and Eagle Ford Shale. Approximately 50% of these net royalty acres are operated by us.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subsidiary Rattler is focused on ownership, operation, development and acquisition of the midstream infrastructure assets in the Midland and Delaware Basins of the Permian Basin. As of December 31, 2019, Rattler owned and operated 867 miles of crude oil gathering pipelines, natural gas gathering pipelines and a fully integrated water system on acreage that overlays our seven core Midland and Delaware Basin development areas. To facilitate the transportation of water and hydrocarbon volumes away from the producing wellhead to ensuring the efficient operations of a crude oil or natural gas well, Rattler’s midstream infrastructure includes a network of gathering pipelines that collect and transport crude oil, natural gas and produced water from our operations in the Midland and Delaware Basins.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December 31, 2019, Rattler also owned (i) a 10% equity interest in EPIC Crude Holdings LP, which is building a long-haul crude oil pipeline from the Permian Basin and the Eagle Ford Shale to Corpus Christi, Texas that, upon completion, will be capable of transporting approximately 590,000 Bbl/d and, with installation of additional pumps and storage, up to approximately 900,000 Bbl/d, which we refer to as the EPIC pipeline; (ii) a 10% equity interest in Gray Oak Pipeline, LLC, which is building a long-haul crude oil pipeline that, upon completion, will be capable for transporting 900,000 Bbl/d from the Permian Basin and the Eagle Ford Shale to points alongside the Texas Gulf Coast, including a marine terminal connection in Corpus Christi, Texas, which we refer to as the Gray Oak pipeline; (iii) a 4% equity interest in Wink to Webster Pipeline LLC, which is developing a crude oil pipeline that, upon completion, will be capable of transporting approximately 1,000,000 Bbl/d from origin points at Wink and Midland in the Permian Basin for delivery to multiple Houston area locations, (iv) a 60% equity interest in OMOG JV LLC, a newly formed joint venture entity that acquired Reliance Midstream LLC, which operates over 230 miles of crude oil gathering and regional transportation pipelines and approximately 200,000 barrels of crude oil storage in Midland, Martin, Andrews and Ector Counties, Texas, and (v) a 50% equity interest in Amarillo Rattler LLC, which will operate the Yellow Rose gas gathering and processing system with estimated total capacity of 40,000 Mcf/d and over 84 miles of gathering and regional transportation pipelines in Dawson, Martin and Andrews Counties, Texas. Each of the Epic and Gray Oak pipelines began interim operations in the second half of 2019, and we expect both to begin full commercial operations in the second quarter of 2020. The Wink to Webster project is expected to begin commercial operations in first half of 2021. We anticipate that the Yellow Rose system will commence full commercial operations in the middle of 2021.</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Permian Basin area covers a significant portion of western Texas and eastern New Mexico and is considered one of the major producing basins in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Since then we and most other operators are almost exclusively drilling horizontal wells in the development of unconventional reservoirs in the Permian Basin. As of December 31, 2019, we held working interests in 2,656 gross (2,202 net) producing wells and only royalty interests in 4,161 additional wells.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Greater Permian Basin formed as an area of rapid Pennsylvanian-Permian subsidence in response to dynamic structural influence of the Marathon Uplift and Ancestral Rockies. It is one of the most productive sedimentary basins in the U.S., with established oil and gas production from several stacked reservoirs of varying age ranges, most notably Permian aged sediments. In particular, the Permian aged Wolfcamp and Spraberry/Bone Spring Formations have been heavily targeted for several decades. First, through vertical comingling of these zones and, more recently, through horizontal exploitation of each individual horizon. Prior to deposition of Wolfcamp and Spraberry/Bone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were conducive to the deposition of organically rich mudstone such as the Devonian Woodford and Mississippian Barnett/Meramec. These formations are important sources and, more recently, reservoirs within the present-day Greater Permian Basin.</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Spraberry/Bone Spring was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and Spraberry/Bone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and Spraberry/Bone Spring intervals are a hybrid reservoir system that contains characteristics of both unconventional and conventional reservoirs.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successfully developed several hybrid reservoir intervals within the Clearfork, Spraberry/Bone Spring, Wolfcamp and Barnett/Meramec formations since we began horizontal drilling in 2012. The mudstones and some clastics exhibit low permeabilities which necessitate the need for hydraulic fracture stimulation to unlock the vast storage of hydrocarbons in these targets.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3,413 square miles of 3-D data. This data will continue to be utilized in the development of our horizontal drilling program and identification of additional resource to be exploited.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2019, net production from our Permian Basin acreage was 103,285 MBOE, or an average of 282,972 BOE/d, of which approximately 66% was oil, 18% was natural gas liquids and 16% was natural gas.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oil and natural gas processing facilities are typical of those found in the Permian Basin. Our facilities located at well locations include storage tank batteries, oil/natural gas/water separation equipment and pumping units.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publicly traded subsidiary Rattler owns the Fasken Center which has over 421,000 net rentable square feet within its two office towers and associated assets in Midland, Texas. We, Viper and Rattler are headquartered at the Fasken Center. We and unrelated third parties lease office space within the Fasken Center from Rattler under long-term lease agreements.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our subsidiaries also own field offices and related facilities in Midland and Reeves Counties, Texas. We believe that these facilities are adequate for our current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2020, we expect to complete an estimated 320 to 360 gross (288 to 324 net) operated horizontal wells on our acreage. We currently estimate that our capital expenditures in 2020 for drilling and infrastructure will be between $2.8 billion and $3.0 billion, consisting of $2.45 billion to $2.6 billion for horizontal drilling and completions including non-operated activity, $200 million to $225 million for midstream investments, excluding joint venture investments, and $150 million to $175 million will be spent on infrastructure and other expenditures, excluding the cost of any leasehold and mineral interest acquisitions. During the year ended December 31, 2019, we drilled 330 gross (296 net) and completed 317 gross (289 net) operated horizontal wells. During the year ended December 31, 2019, our capital expenditures for drilling, completing and equipping wells were $2.6 billion. In addition, we spent $364 million for oil and gas midstream and infrastructure and $776 million for leasehold and mineral rights acquisitions.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operating 23 drilling rigs now including two rigs drilling produced water disposal wells and currently intend to operate between 20 and 23 rigs on average in 2020. We will continue monitoring the ongoing commodity price environment and expect to retain the financial flexibility to adjust our drilling and completion plans in response to market conditions.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With our current development plan, we expect to continue our strong PUD conversion ratio in 2020 by converting an estimated 35% of our PUDs to a proved developed category, and develop approximately 66% of the consolidated 2019 year-end PUD reserves by the end of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historical reserve estimates as of December 31, 2019, 2018 and 2017 were prepared by Ryder Scott with respect to our assets and those of Viper.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reserves as of December 31, 2019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85%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15%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reports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Executive Vice President–Reservoir Engineering is primarily responsible for overseeing the preparation of all of our reserve estimates. Our Executive Vice President–Reservoir Engineering is a petroleum engineer with over 30 years of reservoir and operations experience and our geoscience staff has an average of approximately 20 years of industry experience per person. Our technical staff uses historical information for our properties such as ownership interest, oil and gas production, well test data, commodity prices and operating and development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reserve estimates by our Executive Vice President–Reservoir Engineering or under his direct supervision;</w:t>
      </w:r>
    </w:p>
    <w:p>
      <w:pPr>
        <w:spacing w:after="0" w:line="23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by our Executive Vice President–Reservoir Engineering of all of our reported proved reserves at the close of each quarter, including the review of all significant reserve changes and all new proved undeveloped reserves additions;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reporting responsibilities by our Executive Vice President–Reservoir Engineering to our Chief Executive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2019, 2018 and 2017 (including those attributable to Viper),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As of December 31,</w:t>
            </w:r>
          </w:p>
        </w:tc>
        <w:tc>
          <w:tcPr>
            <w:tcW w:w="154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6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64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proved developed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457,083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403,051</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141,246</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824,760</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705,084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190,740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165,173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125,509</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35,412</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759,716</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646,074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208,447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Estimated proved undeveloped reserves: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253,820</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223,885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91,935</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294,051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343,565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94,629</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65,030</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19,198</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367,859</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345,928</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126,905</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710,903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626,936</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233,181</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1,118,811</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1,048,649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285,369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230,203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190,291</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54,609</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(1)</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1,127,575</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992,001</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335,352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Percent proved developed</w:t>
            </w:r>
          </w:p>
        </w:tc>
        <w:tc>
          <w:tcPr>
            <w:tcW w:w="1640" w:type="dxa"/>
            <w:vAlign w:val="bottom"/>
          </w:tcPr>
          <w:p>
            <w:pPr>
              <w:jc w:val="right"/>
              <w:spacing w:after="0"/>
              <w:rPr>
                <w:sz w:val="20"/>
                <w:szCs w:val="20"/>
                <w:color w:val="auto"/>
              </w:rPr>
            </w:pPr>
            <w:r>
              <w:rPr>
                <w:rFonts w:ascii="Arial" w:cs="Arial" w:eastAsia="Arial" w:hAnsi="Arial"/>
                <w:sz w:val="18"/>
                <w:szCs w:val="18"/>
                <w:color w:val="auto"/>
              </w:rPr>
              <w:t>67%</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 w:lineRule="exact"/>
        <w:rPr>
          <w:sz w:val="20"/>
          <w:szCs w:val="20"/>
          <w:color w:val="auto"/>
        </w:rPr>
      </w:pPr>
    </w:p>
    <w:p>
      <w:pPr>
        <w:jc w:val="both"/>
        <w:ind w:left="340" w:hanging="332"/>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Estimates of reserves as of December 31, 2019, 2018 and 2017 were prepared using an average price equal to the unweighted arithmetic average of hydrocarbon prices received on a field-by-field basis on the first day of each month within the 12-month periods ended December 31, 2019, 2018 and 2017, respectively, in accordance with SEC guidelines applicable to reserves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Item 1A.“Risk Factors.” We have not filed any estimates of total, proved net oil or natural gas reserves with any federal authority or agency other than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2019, our proved undeveloped reserves totaled 253,820 MBbls of oil, 294,051 MMcf of natural gas and 65,030 MBbls of natural gas liquids, for a total of 367,859 MBOE. PUDs will be converted from undeveloped to developed as the applicable wells begin production.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3"/>
        </w:trPr>
        <w:tc>
          <w:tcPr>
            <w:tcW w:w="9720" w:type="dxa"/>
            <w:vAlign w:val="bottom"/>
            <w:gridSpan w:val="2"/>
          </w:tcPr>
          <w:p>
            <w:pPr>
              <w:ind w:left="660"/>
              <w:spacing w:after="0"/>
              <w:rPr>
                <w:sz w:val="20"/>
                <w:szCs w:val="20"/>
                <w:color w:val="auto"/>
              </w:rPr>
            </w:pPr>
            <w:r>
              <w:rPr>
                <w:rFonts w:ascii="Arial" w:cs="Arial" w:eastAsia="Arial" w:hAnsi="Arial"/>
                <w:sz w:val="18"/>
                <w:szCs w:val="18"/>
                <w:color w:val="auto"/>
              </w:rPr>
              <w:t>The following table includes the changes in PUD reserves for 2019:</w:t>
            </w:r>
          </w:p>
        </w:tc>
        <w:tc>
          <w:tcPr>
            <w:tcW w:w="17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(MBOE)</w:t>
            </w:r>
          </w:p>
        </w:tc>
      </w:tr>
      <w:tr>
        <w:trPr>
          <w:trHeight w:val="27"/>
        </w:trPr>
        <w:tc>
          <w:tcPr>
            <w:tcW w:w="12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2018</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345,928</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(120,920)</w:t>
            </w:r>
          </w:p>
        </w:tc>
      </w:tr>
      <w:tr>
        <w:trPr>
          <w:trHeight w:val="27"/>
        </w:trPr>
        <w:tc>
          <w:tcPr>
            <w:tcW w:w="12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(77,519)</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7"/>
        </w:trPr>
        <w:tc>
          <w:tcPr>
            <w:tcW w:w="12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Divestitures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221,500</w:t>
            </w:r>
          </w:p>
        </w:tc>
      </w:tr>
      <w:tr>
        <w:trPr>
          <w:trHeight w:val="27"/>
        </w:trPr>
        <w:tc>
          <w:tcPr>
            <w:tcW w:w="12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proved undeveloped reserves at December 31, 2019</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367,859</w:t>
            </w:r>
          </w:p>
        </w:tc>
      </w:tr>
      <w:tr>
        <w:trPr>
          <w:trHeight w:val="20"/>
        </w:trPr>
        <w:tc>
          <w:tcPr>
            <w:tcW w:w="1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proved undeveloped reserves was primarily attributable to extensions of 213,909 MBOE from 291 gross (262 net) wells in which we have a working interest and 7,591 MBOE from 97 gross wells in which Viper owns royalty interests. Of the 291 gross working interest wells, 64 were in the Delaware Basin. Transfers of 120,920 MBOE were the result of drilling or participating in 135 gross (119 net) horizontal wells in which we have a working interest and 79 gross wells in which we have a royalty interest or mineral interest through Viper. We own a working interest in 75 of the 79 gross Viper wells. Downward revisions of 77,519 MBOE resulted from 67,114 MBOE of PUD downgrades due to refinement of the PUD inventory following the Energen merger. These downgrades were offset with extensions. The remaining 10,405 MOE of downward revisions were mostly from lower benchmark commodity prices.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incurred relating to the development of PUDs were approximately $956 million during 2019. Estimated future development costs relating to the development of PUDs are projected to be approximately $1.2 billion in 2020, $721 million in 2021, $641 million in 2022 and $576 million in 2023. Since our current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all of our proved undeveloped reserves are scheduled to be developed within five years from the date they were initially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none of our total proved reserves were classified as proved developed non-producing.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tables set forth information regarding our net production of oil, natural gas and natural gas liquids by basin for each of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3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 2019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 2018</w:t>
            </w:r>
          </w:p>
        </w:tc>
        <w:tc>
          <w:tcPr>
            <w:tcW w:w="7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Midland</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Delaware</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Midland</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1"/>
        </w:trPr>
        <w:tc>
          <w:tcPr>
            <w:tcW w:w="3100" w:type="dxa"/>
            <w:vAlign w:val="bottom"/>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Basin</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Basin</w:t>
            </w:r>
          </w:p>
        </w:tc>
        <w:tc>
          <w:tcPr>
            <w:tcW w:w="1020" w:type="dxa"/>
            <w:vAlign w:val="bottom"/>
            <w:tcBorders>
              <w:bottom w:val="single" w:sz="8" w:color="auto"/>
            </w:tcBorders>
          </w:tcPr>
          <w:p>
            <w:pPr>
              <w:jc w:val="right"/>
              <w:ind w:right="19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5"/>
                <w:szCs w:val="25"/>
                <w:b w:val="1"/>
                <w:bCs w:val="1"/>
                <w:color w:val="auto"/>
                <w:vertAlign w:val="superscript"/>
              </w:rPr>
              <w:t>(1)</w:t>
            </w: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Basin</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Basin</w:t>
            </w:r>
          </w:p>
        </w:tc>
        <w:tc>
          <w:tcPr>
            <w:tcW w:w="1040" w:type="dxa"/>
            <w:vAlign w:val="bottom"/>
            <w:tcBorders>
              <w:bottom w:val="single" w:sz="8" w:color="auto"/>
            </w:tcBorders>
          </w:tcPr>
          <w:p>
            <w:pPr>
              <w:jc w:val="right"/>
              <w:ind w:right="230"/>
              <w:spacing w:after="0" w:line="262"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5"/>
                <w:szCs w:val="25"/>
                <w:b w:val="1"/>
                <w:bCs w:val="1"/>
                <w:color w:val="auto"/>
                <w:vertAlign w:val="superscript"/>
              </w:rPr>
              <w:t>(2)</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41,156</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25,951</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1,411</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68,518</w:t>
            </w:r>
          </w:p>
        </w:tc>
        <w:tc>
          <w:tcPr>
            <w:tcW w:w="1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24,698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9,288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381</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34,367</w:t>
            </w: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48,109</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48,447</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1,057</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21,674</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12,416</w:t>
            </w:r>
          </w:p>
        </w:tc>
        <w:tc>
          <w:tcPr>
            <w:tcW w:w="10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579</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10,485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7,826</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5,493</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1,866</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106</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7,465</w:t>
            </w: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59,659</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41,852</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1,774</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103,285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33,803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13,223</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584</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47,610</w:t>
            </w:r>
          </w:p>
        </w:tc>
      </w:tr>
      <w:tr>
        <w:trPr>
          <w:trHeight w:val="27"/>
        </w:trPr>
        <w:tc>
          <w:tcPr>
            <w:tcW w:w="3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Central Basin Platform, the Eagle Ford Shale and the Rockies.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Eagle Ford Shale.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1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December 31, 2017</w:t>
            </w:r>
          </w:p>
        </w:tc>
        <w:tc>
          <w:tcPr>
            <w:tcW w:w="13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Midland Basin</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Delaware Basin</w:t>
            </w:r>
          </w:p>
        </w:tc>
        <w:tc>
          <w:tcPr>
            <w:tcW w:w="1640" w:type="dxa"/>
            <w:vAlign w:val="bottom"/>
            <w:tcBorders>
              <w:bottom w:val="single" w:sz="8" w:color="auto"/>
            </w:tcBorders>
          </w:tcPr>
          <w:p>
            <w:pPr>
              <w:jc w:val="right"/>
              <w:ind w:right="650"/>
              <w:spacing w:after="0" w:line="264" w:lineRule="exact"/>
              <w:rPr>
                <w:sz w:val="20"/>
                <w:szCs w:val="20"/>
                <w:color w:val="auto"/>
              </w:rPr>
            </w:pPr>
            <w:r>
              <w:rPr>
                <w:rFonts w:ascii="Arial" w:cs="Arial" w:eastAsia="Arial" w:hAnsi="Arial"/>
                <w:sz w:val="18"/>
                <w:szCs w:val="18"/>
                <w:b w:val="1"/>
                <w:bCs w:val="1"/>
                <w:color w:val="auto"/>
              </w:rPr>
              <w:t>Other</w:t>
            </w:r>
            <w:r>
              <w:rPr>
                <w:rFonts w:ascii="Arial" w:cs="Arial" w:eastAsia="Arial" w:hAnsi="Arial"/>
                <w:sz w:val="25"/>
                <w:szCs w:val="25"/>
                <w:b w:val="1"/>
                <w:bCs w:val="1"/>
                <w:color w:val="auto"/>
                <w:vertAlign w:val="superscript"/>
              </w:rPr>
              <w:t>(1)</w:t>
            </w: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0" w:type="dxa"/>
            <w:vAlign w:val="bottom"/>
            <w:gridSpan w:val="2"/>
          </w:tcPr>
          <w:p>
            <w:pPr>
              <w:jc w:val="right"/>
              <w:ind w:right="1210"/>
              <w:spacing w:after="0"/>
              <w:rPr>
                <w:sz w:val="20"/>
                <w:szCs w:val="20"/>
                <w:color w:val="auto"/>
              </w:rPr>
            </w:pPr>
            <w:r>
              <w:rPr>
                <w:rFonts w:ascii="Arial" w:cs="Arial" w:eastAsia="Arial" w:hAnsi="Arial"/>
                <w:sz w:val="18"/>
                <w:szCs w:val="18"/>
                <w:b w:val="1"/>
                <w:bCs w:val="1"/>
                <w:color w:val="auto"/>
              </w:rPr>
              <w:t>(in thousands)</w:t>
            </w: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16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17,553</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3,865</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21,418</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15,893</w:t>
            </w:r>
          </w:p>
        </w:tc>
        <w:tc>
          <w:tcPr>
            <w:tcW w:w="1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4,761</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20,660</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3,673</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383</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4,056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23,875</w:t>
            </w:r>
          </w:p>
        </w:tc>
        <w:tc>
          <w:tcPr>
            <w:tcW w:w="1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5,042</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28,917</w:t>
            </w:r>
          </w:p>
        </w:tc>
      </w:tr>
      <w:tr>
        <w:trPr>
          <w:trHeight w:val="230"/>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(1)  Includes the Eagle Ford Shale.</w:t>
            </w: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Prices: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Oil ($ per Bbl)</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51.87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48.75</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 per Mcf)</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Natural gas liquids ($ per Bbl)</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14.42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22.20</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Combined ($ per BOE)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8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51.96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48.94</w:t>
            </w:r>
          </w:p>
        </w:tc>
      </w:tr>
      <w:tr>
        <w:trPr>
          <w:trHeight w:val="270"/>
        </w:trPr>
        <w:tc>
          <w:tcPr>
            <w:tcW w:w="69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5"/>
                <w:szCs w:val="25"/>
                <w:color w:val="auto"/>
                <w:vertAlign w:val="superscript"/>
              </w:rPr>
              <w:t>(1)</w:t>
            </w:r>
          </w:p>
        </w:tc>
        <w:tc>
          <w:tcPr>
            <w:tcW w:w="8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15.20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38.00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r>
      <w:tr>
        <w:trPr>
          <w:trHeight w:val="324"/>
        </w:trPr>
        <w:tc>
          <w:tcPr>
            <w:tcW w:w="6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Lease operating expense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Production and ad valorem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Gathering and transportation expense</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 cash component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97"/>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 - cash</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8.16</w:t>
            </w:r>
          </w:p>
        </w:tc>
      </w:tr>
      <w:tr>
        <w:trPr>
          <w:trHeight w:val="311"/>
        </w:trPr>
        <w:tc>
          <w:tcPr>
            <w:tcW w:w="69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0.88</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and integration expense</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98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4"/>
              </w:rPr>
              <w:t>16.13</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8890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 w:lineRule="exact"/>
        <w:rPr>
          <w:sz w:val="20"/>
          <w:szCs w:val="20"/>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-302260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Wells Drilled and Completed in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total number of operated horizontal wells drilled and completed during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Year Ended December 31, 2019</w:t>
            </w:r>
          </w:p>
        </w:tc>
      </w:tr>
      <w:tr>
        <w:trPr>
          <w:trHeight w:val="27"/>
        </w:trPr>
        <w:tc>
          <w:tcPr>
            <w:tcW w:w="812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740" w:type="dxa"/>
            <w:vAlign w:val="bottom"/>
            <w:gridSpan w:val="3"/>
          </w:tcPr>
          <w:p>
            <w:pPr>
              <w:ind w:left="540"/>
              <w:spacing w:after="0"/>
              <w:rPr>
                <w:sz w:val="20"/>
                <w:szCs w:val="20"/>
                <w:color w:val="auto"/>
              </w:rPr>
            </w:pPr>
            <w:r>
              <w:rPr>
                <w:rFonts w:ascii="Arial" w:cs="Arial" w:eastAsia="Arial" w:hAnsi="Arial"/>
                <w:sz w:val="18"/>
                <w:szCs w:val="18"/>
                <w:b w:val="1"/>
                <w:bCs w:val="1"/>
                <w:color w:val="auto"/>
              </w:rPr>
              <w:t>Drilled</w:t>
            </w:r>
          </w:p>
        </w:tc>
        <w:tc>
          <w:tcPr>
            <w:tcW w:w="15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Completed</w:t>
            </w:r>
          </w:p>
        </w:tc>
      </w:tr>
      <w:tr>
        <w:trPr>
          <w:trHeight w:val="27"/>
        </w:trPr>
        <w:tc>
          <w:tcPr>
            <w:tcW w:w="8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Area</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Gross</w:t>
            </w:r>
          </w:p>
        </w:tc>
        <w:tc>
          <w:tcPr>
            <w:tcW w:w="8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Gross</w:t>
            </w: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8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 Basin</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Delaware Basin</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159</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330</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317</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8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operated the following wells: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b w:val="1"/>
                <w:bCs w:val="1"/>
                <w:color w:val="auto"/>
              </w:rPr>
              <w:t>Vertical Wells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b w:val="1"/>
                <w:bCs w:val="1"/>
                <w:color w:val="auto"/>
              </w:rPr>
              <w:t>Horizontal Wells</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Area</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580" w:type="dxa"/>
            <w:vAlign w:val="bottom"/>
          </w:tcPr>
          <w:p>
            <w:pPr>
              <w:ind w:left="280"/>
              <w:spacing w:after="0"/>
              <w:rPr>
                <w:sz w:val="20"/>
                <w:szCs w:val="20"/>
                <w:color w:val="auto"/>
              </w:rPr>
            </w:pPr>
            <w:r>
              <w:rPr>
                <w:rFonts w:ascii="Arial" w:cs="Arial" w:eastAsia="Arial" w:hAnsi="Arial"/>
                <w:sz w:val="18"/>
                <w:szCs w:val="18"/>
                <w:b w:val="1"/>
                <w:bCs w:val="1"/>
                <w:color w:val="auto"/>
                <w:w w:val="96"/>
              </w:rPr>
              <w:t>Net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Gross</w:t>
            </w: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r>
      <w:tr>
        <w:trPr>
          <w:trHeight w:val="27"/>
        </w:trPr>
        <w:tc>
          <w:tcPr>
            <w:tcW w:w="4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 Basin</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833</w:t>
            </w: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1,837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Delaware Basin</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485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485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4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836</w:t>
            </w:r>
          </w:p>
        </w:tc>
        <w:tc>
          <w:tcPr>
            <w:tcW w:w="5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771</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1,489</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2,325</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2,137</w:t>
            </w:r>
          </w:p>
        </w:tc>
      </w:tr>
      <w:tr>
        <w:trPr>
          <w:trHeight w:val="20"/>
        </w:trPr>
        <w:tc>
          <w:tcPr>
            <w:tcW w:w="4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2019, we owned an average unweighted 83% working interest in 2,656 gross (2,202 net) productive wells and an average 3.1% royalty interest in 4,161 additional wells. Through our subsidiary Viper, we own an average unweighted 3.4% royalty or mineral interest in 5,807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productive wells by basin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20" w:type="dxa"/>
            <w:vAlign w:val="bottom"/>
            <w:gridSpan w:val="2"/>
          </w:tcPr>
          <w:p>
            <w:pPr>
              <w:ind w:left="400"/>
              <w:spacing w:after="0"/>
              <w:rPr>
                <w:sz w:val="20"/>
                <w:szCs w:val="20"/>
                <w:color w:val="auto"/>
              </w:rPr>
            </w:pPr>
            <w:r>
              <w:rPr>
                <w:rFonts w:ascii="Arial" w:cs="Arial" w:eastAsia="Arial" w:hAnsi="Arial"/>
                <w:sz w:val="18"/>
                <w:szCs w:val="18"/>
                <w:b w:val="1"/>
                <w:bCs w:val="1"/>
                <w:color w:val="auto"/>
              </w:rPr>
              <w:t>Gross Wells</w:t>
            </w: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Net Wells</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 Basin</w:t>
            </w:r>
          </w:p>
        </w:tc>
        <w:tc>
          <w:tcPr>
            <w:tcW w:w="58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Delaware Basin</w:t>
            </w:r>
          </w:p>
        </w:tc>
        <w:tc>
          <w:tcPr>
            <w:tcW w:w="5860" w:type="dxa"/>
            <w:vAlign w:val="bottom"/>
            <w:gridSpan w:val="2"/>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60" w:type="dxa"/>
            <w:vAlign w:val="bottom"/>
          </w:tcPr>
          <w:p>
            <w:pPr>
              <w:ind w:left="280"/>
              <w:spacing w:after="0"/>
              <w:rPr>
                <w:sz w:val="20"/>
                <w:szCs w:val="20"/>
                <w:color w:val="auto"/>
              </w:rPr>
            </w:pPr>
            <w:r>
              <w:rPr>
                <w:rFonts w:ascii="Arial" w:cs="Arial" w:eastAsia="Arial" w:hAnsi="Arial"/>
                <w:sz w:val="18"/>
                <w:szCs w:val="18"/>
                <w:color w:val="auto"/>
              </w:rPr>
              <w:t>Total productive wells</w:t>
            </w:r>
          </w:p>
        </w:tc>
        <w:tc>
          <w:tcPr>
            <w:tcW w:w="414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40" w:type="dxa"/>
            <w:vAlign w:val="bottom"/>
            <w:vMerge w:val="restart"/>
          </w:tcPr>
          <w:p>
            <w:pPr>
              <w:jc w:val="right"/>
              <w:ind w:right="2010"/>
              <w:spacing w:after="0"/>
              <w:rPr>
                <w:sz w:val="20"/>
                <w:szCs w:val="20"/>
                <w:color w:val="auto"/>
              </w:rPr>
            </w:pPr>
            <w:r>
              <w:rPr>
                <w:rFonts w:ascii="Arial" w:cs="Arial" w:eastAsia="Arial" w:hAnsi="Arial"/>
                <w:sz w:val="18"/>
                <w:szCs w:val="18"/>
                <w:color w:val="auto"/>
              </w:rPr>
              <w:t>12</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sets forth information with respect to the number of wells completed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9"/>
          </w:tcPr>
          <w:p>
            <w:pPr>
              <w:ind w:left="560"/>
              <w:spacing w:after="0"/>
              <w:rPr>
                <w:sz w:val="20"/>
                <w:szCs w:val="20"/>
                <w:color w:val="auto"/>
              </w:rPr>
            </w:pPr>
            <w:r>
              <w:rPr>
                <w:rFonts w:ascii="Arial" w:cs="Arial" w:eastAsia="Arial" w:hAnsi="Arial"/>
                <w:sz w:val="18"/>
                <w:szCs w:val="18"/>
                <w:b w:val="1"/>
                <w:bCs w:val="1"/>
                <w:color w:val="auto"/>
              </w:rPr>
              <w:t>Year Ended December 31, 2019</w:t>
            </w:r>
          </w:p>
        </w:tc>
        <w:tc>
          <w:tcPr>
            <w:tcW w:w="5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860" w:type="dxa"/>
            <w:vAlign w:val="bottom"/>
            <w:gridSpan w:val="4"/>
          </w:tcPr>
          <w:p>
            <w:pPr>
              <w:ind w:left="320"/>
              <w:spacing w:after="0"/>
              <w:rPr>
                <w:sz w:val="20"/>
                <w:szCs w:val="20"/>
                <w:color w:val="auto"/>
              </w:rPr>
            </w:pPr>
            <w:r>
              <w:rPr>
                <w:rFonts w:ascii="Arial" w:cs="Arial" w:eastAsia="Arial" w:hAnsi="Arial"/>
                <w:sz w:val="18"/>
                <w:szCs w:val="18"/>
                <w:b w:val="1"/>
                <w:bCs w:val="1"/>
                <w:color w:val="auto"/>
              </w:rPr>
              <w:t>Midland Basin</w:t>
            </w:r>
          </w:p>
        </w:tc>
        <w:tc>
          <w:tcPr>
            <w:tcW w:w="1820" w:type="dxa"/>
            <w:vAlign w:val="bottom"/>
            <w:gridSpan w:val="4"/>
          </w:tcPr>
          <w:p>
            <w:pPr>
              <w:ind w:left="280"/>
              <w:spacing w:after="0"/>
              <w:rPr>
                <w:sz w:val="20"/>
                <w:szCs w:val="20"/>
                <w:color w:val="auto"/>
              </w:rPr>
            </w:pPr>
            <w:r>
              <w:rPr>
                <w:rFonts w:ascii="Arial" w:cs="Arial" w:eastAsia="Arial" w:hAnsi="Arial"/>
                <w:sz w:val="18"/>
                <w:szCs w:val="18"/>
                <w:b w:val="1"/>
                <w:bCs w:val="1"/>
                <w:color w:val="auto"/>
              </w:rPr>
              <w:t>Delaware Basin</w:t>
            </w:r>
          </w:p>
        </w:tc>
        <w:tc>
          <w:tcPr>
            <w:tcW w:w="110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Total</w:t>
            </w:r>
          </w:p>
        </w:tc>
        <w:tc>
          <w:tcPr>
            <w:tcW w:w="5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Gross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Net</w:t>
            </w: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Dry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9"/>
          </w:tcPr>
          <w:p>
            <w:pPr>
              <w:ind w:left="560"/>
              <w:spacing w:after="0"/>
              <w:rPr>
                <w:sz w:val="20"/>
                <w:szCs w:val="20"/>
                <w:color w:val="auto"/>
              </w:rPr>
            </w:pPr>
            <w:r>
              <w:rPr>
                <w:rFonts w:ascii="Arial" w:cs="Arial" w:eastAsia="Arial" w:hAnsi="Arial"/>
                <w:sz w:val="18"/>
                <w:szCs w:val="18"/>
                <w:b w:val="1"/>
                <w:bCs w:val="1"/>
                <w:color w:val="auto"/>
              </w:rPr>
              <w:t>Year Ended December 31, 2018</w:t>
            </w:r>
          </w:p>
        </w:tc>
        <w:tc>
          <w:tcPr>
            <w:tcW w:w="5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860" w:type="dxa"/>
            <w:vAlign w:val="bottom"/>
            <w:gridSpan w:val="4"/>
          </w:tcPr>
          <w:p>
            <w:pPr>
              <w:ind w:left="320"/>
              <w:spacing w:after="0"/>
              <w:rPr>
                <w:sz w:val="20"/>
                <w:szCs w:val="20"/>
                <w:color w:val="auto"/>
              </w:rPr>
            </w:pPr>
            <w:r>
              <w:rPr>
                <w:rFonts w:ascii="Arial" w:cs="Arial" w:eastAsia="Arial" w:hAnsi="Arial"/>
                <w:sz w:val="18"/>
                <w:szCs w:val="18"/>
                <w:b w:val="1"/>
                <w:bCs w:val="1"/>
                <w:color w:val="auto"/>
              </w:rPr>
              <w:t>Midland Basin</w:t>
            </w:r>
          </w:p>
        </w:tc>
        <w:tc>
          <w:tcPr>
            <w:tcW w:w="1820" w:type="dxa"/>
            <w:vAlign w:val="bottom"/>
            <w:gridSpan w:val="4"/>
          </w:tcPr>
          <w:p>
            <w:pPr>
              <w:ind w:left="280"/>
              <w:spacing w:after="0"/>
              <w:rPr>
                <w:sz w:val="20"/>
                <w:szCs w:val="20"/>
                <w:color w:val="auto"/>
              </w:rPr>
            </w:pPr>
            <w:r>
              <w:rPr>
                <w:rFonts w:ascii="Arial" w:cs="Arial" w:eastAsia="Arial" w:hAnsi="Arial"/>
                <w:sz w:val="18"/>
                <w:szCs w:val="18"/>
                <w:b w:val="1"/>
                <w:bCs w:val="1"/>
                <w:color w:val="auto"/>
              </w:rPr>
              <w:t>Delaware Basin</w:t>
            </w:r>
          </w:p>
        </w:tc>
        <w:tc>
          <w:tcPr>
            <w:tcW w:w="110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Total</w:t>
            </w:r>
          </w:p>
        </w:tc>
        <w:tc>
          <w:tcPr>
            <w:tcW w:w="5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Gross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Net</w:t>
            </w: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Dry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9"/>
          </w:tcPr>
          <w:p>
            <w:pPr>
              <w:ind w:left="560"/>
              <w:spacing w:after="0"/>
              <w:rPr>
                <w:sz w:val="20"/>
                <w:szCs w:val="20"/>
                <w:color w:val="auto"/>
              </w:rPr>
            </w:pPr>
            <w:r>
              <w:rPr>
                <w:rFonts w:ascii="Arial" w:cs="Arial" w:eastAsia="Arial" w:hAnsi="Arial"/>
                <w:sz w:val="18"/>
                <w:szCs w:val="18"/>
                <w:b w:val="1"/>
                <w:bCs w:val="1"/>
                <w:color w:val="auto"/>
              </w:rPr>
              <w:t>Year Ended December 31, 2017</w:t>
            </w:r>
          </w:p>
        </w:tc>
        <w:tc>
          <w:tcPr>
            <w:tcW w:w="5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60" w:type="dxa"/>
            <w:vAlign w:val="bottom"/>
            <w:gridSpan w:val="4"/>
          </w:tcPr>
          <w:p>
            <w:pPr>
              <w:ind w:left="320"/>
              <w:spacing w:after="0"/>
              <w:rPr>
                <w:sz w:val="20"/>
                <w:szCs w:val="20"/>
                <w:color w:val="auto"/>
              </w:rPr>
            </w:pPr>
            <w:r>
              <w:rPr>
                <w:rFonts w:ascii="Arial" w:cs="Arial" w:eastAsia="Arial" w:hAnsi="Arial"/>
                <w:sz w:val="18"/>
                <w:szCs w:val="18"/>
                <w:b w:val="1"/>
                <w:bCs w:val="1"/>
                <w:color w:val="auto"/>
              </w:rPr>
              <w:t>Midland Basin</w:t>
            </w:r>
          </w:p>
        </w:tc>
        <w:tc>
          <w:tcPr>
            <w:tcW w:w="1820" w:type="dxa"/>
            <w:vAlign w:val="bottom"/>
            <w:gridSpan w:val="4"/>
          </w:tcPr>
          <w:p>
            <w:pPr>
              <w:ind w:left="280"/>
              <w:spacing w:after="0"/>
              <w:rPr>
                <w:sz w:val="20"/>
                <w:szCs w:val="20"/>
                <w:color w:val="auto"/>
              </w:rPr>
            </w:pPr>
            <w:r>
              <w:rPr>
                <w:rFonts w:ascii="Arial" w:cs="Arial" w:eastAsia="Arial" w:hAnsi="Arial"/>
                <w:sz w:val="18"/>
                <w:szCs w:val="18"/>
                <w:b w:val="1"/>
                <w:bCs w:val="1"/>
                <w:color w:val="auto"/>
              </w:rPr>
              <w:t>Delaware Basin</w:t>
            </w:r>
          </w:p>
        </w:tc>
        <w:tc>
          <w:tcPr>
            <w:tcW w:w="110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Total</w:t>
            </w:r>
          </w:p>
        </w:tc>
        <w:tc>
          <w:tcPr>
            <w:tcW w:w="5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Gross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Net</w:t>
            </w:r>
          </w:p>
        </w:tc>
      </w:tr>
      <w:tr>
        <w:trPr>
          <w:trHeight w:val="27"/>
        </w:trPr>
        <w:tc>
          <w:tcPr>
            <w:tcW w:w="3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352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Exploratory:</w:t>
            </w:r>
          </w:p>
        </w:tc>
        <w:tc>
          <w:tcPr>
            <w:tcW w:w="2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Productive</w:t>
            </w:r>
          </w:p>
        </w:tc>
        <w:tc>
          <w:tcPr>
            <w:tcW w:w="3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Dry</w:t>
            </w:r>
          </w:p>
        </w:tc>
        <w:tc>
          <w:tcPr>
            <w:tcW w:w="27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352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2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48"/>
        </w:trPr>
        <w:tc>
          <w:tcPr>
            <w:tcW w:w="3340" w:type="dxa"/>
            <w:vAlign w:val="bottom"/>
          </w:tcPr>
          <w:p>
            <w:pPr>
              <w:spacing w:after="0"/>
              <w:rPr>
                <w:sz w:val="24"/>
                <w:szCs w:val="24"/>
                <w:color w:val="auto"/>
              </w:rPr>
            </w:pP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as of December 31, 2019 relating to our leasehold acreage: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40" w:type="dxa"/>
            <w:vAlign w:val="bottom"/>
          </w:tcPr>
          <w:p>
            <w:pPr>
              <w:spacing w:after="0"/>
              <w:rPr>
                <w:sz w:val="24"/>
                <w:szCs w:val="24"/>
                <w:color w:val="auto"/>
              </w:rPr>
            </w:pPr>
          </w:p>
        </w:tc>
        <w:tc>
          <w:tcPr>
            <w:tcW w:w="2780" w:type="dxa"/>
            <w:vAlign w:val="bottom"/>
            <w:gridSpan w:val="4"/>
          </w:tcPr>
          <w:p>
            <w:pPr>
              <w:ind w:left="44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25"/>
                <w:szCs w:val="25"/>
                <w:b w:val="1"/>
                <w:bCs w:val="1"/>
                <w:color w:val="auto"/>
                <w:vertAlign w:val="superscript"/>
              </w:rPr>
              <w:t>(1)</w:t>
            </w:r>
          </w:p>
        </w:tc>
        <w:tc>
          <w:tcPr>
            <w:tcW w:w="2720" w:type="dxa"/>
            <w:vAlign w:val="bottom"/>
            <w:gridSpan w:val="4"/>
          </w:tcPr>
          <w:p>
            <w:pPr>
              <w:ind w:left="300"/>
              <w:spacing w:after="0"/>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25"/>
                <w:szCs w:val="25"/>
                <w:b w:val="1"/>
                <w:bCs w:val="1"/>
                <w:color w:val="auto"/>
                <w:vertAlign w:val="superscript"/>
              </w:rPr>
              <w:t>(2)</w:t>
            </w:r>
          </w:p>
        </w:tc>
        <w:tc>
          <w:tcPr>
            <w:tcW w:w="23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Total Acreage</w:t>
            </w:r>
            <w:r>
              <w:rPr>
                <w:rFonts w:ascii="Arial" w:cs="Arial" w:eastAsia="Arial" w:hAnsi="Arial"/>
                <w:sz w:val="25"/>
                <w:szCs w:val="25"/>
                <w:b w:val="1"/>
                <w:bCs w:val="1"/>
                <w:color w:val="auto"/>
                <w:vertAlign w:val="superscript"/>
              </w:rPr>
              <w:t>(3)</w:t>
            </w:r>
          </w:p>
        </w:tc>
      </w:tr>
      <w:tr>
        <w:trPr>
          <w:trHeight w:val="26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2"/>
          </w:tcPr>
          <w:p>
            <w:pPr>
              <w:ind w:left="30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500" w:type="dxa"/>
            <w:vAlign w:val="bottom"/>
            <w:gridSpan w:val="2"/>
          </w:tcPr>
          <w:p>
            <w:pPr>
              <w:ind w:left="38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26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460" w:type="dxa"/>
            <w:vAlign w:val="bottom"/>
            <w:gridSpan w:val="2"/>
          </w:tcPr>
          <w:p>
            <w:pPr>
              <w:ind w:left="36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24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140" w:type="dxa"/>
            <w:vAlign w:val="bottom"/>
          </w:tcPr>
          <w:p>
            <w:pPr>
              <w:jc w:val="right"/>
              <w:ind w:right="27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Conventional Permian</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1,154</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Delaware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92,408</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75,815</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103,763</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79,481</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196,171</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155,296</w:t>
            </w: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Midland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135,792</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123,159</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82,346</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72,302</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218,138</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195,461</w:t>
            </w:r>
          </w:p>
        </w:tc>
      </w:tr>
      <w:tr>
        <w:trPr>
          <w:trHeight w:val="27"/>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229,638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200,288</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225,740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182,049</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455,378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382,337</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jc w:val="both"/>
        <w:ind w:left="340" w:hanging="332"/>
        <w:spacing w:after="0" w:line="28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32"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as of December 31, 2019, that will expire over the next five years unless production is established within the spacing units covering the acreage or the lease is renewed or extended under continuous drilling provisions prior to the primary term expiration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680"/>
              <w:spacing w:after="0"/>
              <w:rPr>
                <w:sz w:val="20"/>
                <w:szCs w:val="20"/>
                <w:color w:val="auto"/>
              </w:rPr>
            </w:pPr>
            <w:r>
              <w:rPr>
                <w:rFonts w:ascii="Arial" w:cs="Arial" w:eastAsia="Arial" w:hAnsi="Arial"/>
                <w:sz w:val="18"/>
                <w:szCs w:val="18"/>
                <w:b w:val="1"/>
                <w:bCs w:val="1"/>
                <w:color w:val="auto"/>
                <w:w w:val="99"/>
              </w:rPr>
              <w:t>2024</w:t>
            </w:r>
          </w:p>
        </w:tc>
        <w:tc>
          <w:tcPr>
            <w:tcW w:w="5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Gross</w:t>
            </w:r>
          </w:p>
        </w:tc>
        <w:tc>
          <w:tcPr>
            <w:tcW w:w="66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Gross</w:t>
            </w: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rPr>
              <w:t>Net</w:t>
            </w:r>
          </w:p>
        </w:tc>
      </w:tr>
      <w:tr>
        <w:trPr>
          <w:trHeight w:val="27"/>
        </w:trPr>
        <w:tc>
          <w:tcPr>
            <w:tcW w:w="1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18,608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18,568</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4,405</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4,535</w:t>
            </w:r>
          </w:p>
        </w:tc>
        <w:tc>
          <w:tcPr>
            <w:tcW w:w="100" w:type="dxa"/>
            <w:vAlign w:val="bottom"/>
          </w:tcPr>
          <w:p>
            <w:pPr>
              <w:spacing w:after="0"/>
              <w:rPr>
                <w:sz w:val="21"/>
                <w:szCs w:val="21"/>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42,421</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7,626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4,919</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r>
      <w:tr>
        <w:trPr>
          <w:trHeight w:val="20"/>
        </w:trPr>
        <w:tc>
          <w:tcPr>
            <w:tcW w:w="1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typically sell production to a relatively small number of customers, as is customary in the exploration, development and production business. For the year ended December 31, 2019, three purchasers each accounted for more than 10% of our revenue: Shell Trading (US) Company, which we refer to as Shell (27%); Plains Marketing, which we refer to as Plains (23%); and Vitol Inc., which we refer to as Vitol (15%). For the year ended December 31, 2018, three purchasers each accounted for more than 10% of our revenue: Shell Trading (26%); Koch Supply &amp; Trading LP, which we refer to as Koch (15%); and Occidental Energy Marketing Inc. (11%). For the year ended December 31, 2017, three purchasers each accounted for more than 10% of our revenue: Shell (31%); Koch (19%); and Enterprise Crude Oil LLC (11%). No other customer accounted for more than 10% of our revenue during these periods. If a major customer decided to stop purchasing oil and natural gas from us, revenue could decline and our operating results and financial condition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Trafigura Trading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entered into a firm commitment oil purchase agreement with Trafigura Trading LLC, which we refer to as Trafigura, in which we agreed to sell and deliver a firm quantity of 25,000 barrels of crude oil per day to Trafigura during the term of the agreement. Under this agreement, which has a seven-year term beginning on August 1, 2018, the price per barrel of oil paid to us by Trafigura is based on the average of the published settlement quotations for NYMEX CMA, as adjusted for different delivery methods and periods. If during the term of the agreement we fail to deliver the required quantities of oil for any month other than for specified force majeure events, we have agreed to pay Trafigura a deficiency payment equal to any unfavorable difference between the contract price and the spot price, multiplied by the deficiency volume.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Plains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July 2019, our wholly-owned subsidiary, Energen Resources Corporation, which we refer to as Energen Resources, entered into a long-term crude oil sales agreement with Plains pursuant to which, among other things, our existing agreements with Plains were terminated. Our new agreement with Plains requires that we make available 50,000 barrels of crude oil per day until the date occurring ten years following the date service commences for ExxonMobil Oil Corporation, which we refer to as Exxon, pursuant to the transportation service agreement between Exxon and the Wink to Webster pipeline carrier (plus extensions for force majeure). If during the term of our agreement we fail to deliver the required quantities of oil for any month other than for specified force majeure events or acts or omissions of Plains, we have agreed to pay Plains a specified per barrel amount, subject to escalation, multiplied by the deficiency volume. If during the term of the agreement we fail to deliver the quantities of oil for any month that we have committed for such month other than for specified force majeure events or acts or omissions of Plains, we have agreed to pay Plains a deficiency payment. We have also dedicated certain crude oil production attributable to certain of our interests to Plains in connection with this agreement. Pricing for our production under the Plains agreement (i) prior to the date service commences for Exxon pursuant to the transportation service agreement between Exxon and the Wink to Webster pipeline carrier, is at a Midland WTI or WTL, as applicable, base price less certain costs and (ii) following the date service commences for Exxon pursuant to the transportation service agreement between Exxon and the Wink to Webster pipeline carrier, for volumes up to 100,000 barrels of crude oil per day, is at a MEH WTI or WTL base price, as applicable, less certain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Shell</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December 2018, we entered into an oil purchase agreement with Shell, which was amended and restated in December 2019, in which Shell agreed to transport crude oil it purchases from us through the EPIC pipeline, with which we have an agreement for the transportation of certain crude oil. Our agreement with Shell provides for different purchase obligations during the pre-commencement and service commencement periods for the EPIC pipeline, and provides for a three-year term beginning on the service commencement date for the EPIC pipeline. Shell has the option to extend its purchase obligations for up to three one-year terms, but not beyond March 31, 2026 except in the event of force majeure. Our delivery obligation (i) prior to the full service commencement of the EPIC pipeline will be, subject to certain conditions, including our right to repurchase certain volumes, either 30,000 or 40,000 barrels of crude oil per day and (ii) during the full service term will not exceed 50,000 barrels of crude oil per day. In addition, our wholly-owned subsidiary Energen Resources has signed an agreement with Shell in which all or a portion of the 50,000 barrels of crude oil per day referenced in the previous sentence may also be satisfied by Energen Resources. During different pre-commencement periods, Shell has agreed to pay us the price per barrel of oil based on the arithmetic average of the daily settlement price for the “Light Sweet Crude Oil” Prompt Month future contracts reported by the NYMEX over the applicable one-month period, subject to certain adjustments, plus a Corpus Christi differential determined based on Shell’s average sales price for its WTI barrels in Corpus Christi less certain other costs, expenses and fees. During the full service term, the price per barrel of oil payable by Shell to us is based on calendar dated Brent pricing plus a negotiated differential generally based on certain Argus WTI Houston CIF Rotterdam and Platts Midland DAP Rotterdam pricing, less certain adjustments.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Vitol</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October 18, 2018, we entered into an agreement with Vitol to, among other things, sell an average of 23,750 barrels of crude oil per day plus other agreed upon volumes. We are continuing to sell crude oil to Vitol on a month-to-month basis and expect to continue to do so under our existing agreement with Vitol until our new agreement with Vitol becomes effective. Under our new agreement with Vitol, we agreed to sell, and Vitol agreed to purchase, (i) subject to certain conditions, including accelerated commissioning service on the Gray Oak pipeline and completion of certain infrastructure connections, 50,000 barrels of crude oil per day on average during each month occurring during the first seven years of full service on the Gray Oak pipeline,</w:t>
      </w:r>
    </w:p>
    <w:p>
      <w:pPr>
        <w:spacing w:after="0" w:line="2" w:lineRule="exact"/>
        <w:rPr>
          <w:sz w:val="20"/>
          <w:szCs w:val="20"/>
          <w:color w:val="auto"/>
        </w:rPr>
      </w:pPr>
    </w:p>
    <w:p>
      <w:pPr>
        <w:jc w:val="both"/>
        <w:ind w:firstLine="8"/>
        <w:spacing w:after="0" w:line="285" w:lineRule="auto"/>
        <w:tabs>
          <w:tab w:leader="none" w:pos="3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certain conditions and the satisfaction of other conditions, including full service on the Gray Oak Pipeline and completion of certain infrastructure connections, an additional 50,000 barrels of crude oil per day on average during each month occurring during the first seven years following satisfaction of such conditions, (iii) subject to certain conditions, including notice that transportation services on the EPIC pipeline are ready to commence and completion of certain infrastructure connections, an additional 50,000 barrels of crude oil per day on average during each month occurring during the first seven years following satisfaction of such conditions and (iv) such other volumes of crude oil as agreed by the parties. We are entitled to receive payment for such crude oil under netback pricing, whereby the price for our crude oil is determined based on a formula which takes into consideration the final purchase price obtained by Vitol in marketing such crude oil in certain third party transactions less certain costs. In connection therewith, Vitol has agreed to, among other things, use commercially reasonable efforts to (i) maximize the final purchase price to us and mitigate any costs factored into the price determination and (ii) acquire third party crude oil to cover any shortfall below our volumes commitments. Vitol also agrees to (i) use the same care and apply the same policies as it would exercise and apply if it were trading the subject crude oil for Vitol’s own account and (ii) transport such crude oil on certain designated pipelines, including the Gray Oak pipeline pursuant to rights we have obtained through our Gray Oak transportation services agreement described below under “—Transportation”, under third party shipper rights or term assignments, as applicable, prior to Vitol’s downstream marketing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is intensely competitive, and in our upstream segment,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our midstream operations segment, as Rattler seeks to expand its crude oil, natural gas and water-related midstream services, it faces a high level of competition, including major integrated crude oil and natural gas companies, interstate and intrastate pipelines and companies that gather, compress, treat, process, transport, store or market oil and natural gas. As Rattler seeks to expand to provide midstream services to third party producers, it similarly faces a high level of competition. Competition is often the greatest in geographic areas experiencing robust drilling by producers and during periods of high commodity prices for crude oil, natural gas or NGLs. Within the acreage dedicated by Rattler to us, Rattler does not compete with other midstream companies to provide us with midstream services as a result of our relationship and long-term dedications to Rattler’s midstream assets. However, we may continue to use third party service providers for certain midstream services within such dedicated acreage until the expiration or termination of certain pre-existing dedications.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initial development of our fields we evaluate all gathering and delivery infrastructure in the areas of our production. Currently, a majority of our production in the Midland and Delaware Basins are transported to purchasers by pipeline.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average percentage of produced oil sold by pipeline and the average percentage of produced water connected to saltwater disposals by pipeline: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Midland Basin</w:t>
            </w:r>
          </w:p>
        </w:tc>
        <w:tc>
          <w:tcPr>
            <w:tcW w:w="18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Delaware Basin</w:t>
            </w: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produced oil sold by pipeline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 of produced water connected to pipeline</w:t>
            </w: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a total of approximately 397,000 gross acres across all Rattler’s service lines across the Midland and Delaware Basins.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also party to a transportation services agreement with Gray Oak Pipeline, LLC, pursuant to which we agreed to the accelerated commissioning service, or the ACS, on the Gray Oak pipeline in the amount of 50,000 barrels of crude oil per day. Under the ACS program, shippers must make a deficiency payment for any barrels not shipped during the ACS term, which expires the day before the Gray Oak pipeline goes into full service, which is currently anticipated to occur in the second quarter of 2020. ACS commenced in November 2019 and is ongoing. Due to restrictive API gravity provisions and the lack of markets, we have been unable to ship any volumes over the Gray Oak pipeline since the inception of the ACS.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Once full service commences on the Gray Oak pipeline, subject to the terms and conditions of this transportation services agreement, we will be required to ship 50,000 barrels per day of crude oil on the Gray Oak pipeline or pay a deficiency payment for any shortfall in volumes as measured on a quarterly basis. Such deficiency payments can be used as a credit against future shipments in excess of our minimum contract volume each quarter, subject to certain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12.50% to 30.00%, resulting in a net revenue interest to us generally ranging from 70.00% to 87.50%.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 In our midstream operations business, the volumes of condensate produced at Rattler’s processing facilities fluctuate seasonally, with volumes generally increasing in the winter months and decreasing in the summer months as a result of the physical properties of natural gas and comingled liquids. Severe or prolonged summers may adversely affect our results of operations in the midstream operations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Waste Handling. </w:t>
      </w:r>
      <w:r>
        <w:rPr>
          <w:rFonts w:ascii="Arial" w:cs="Arial" w:eastAsia="Arial" w:hAnsi="Arial"/>
          <w:sz w:val="16"/>
          <w:szCs w:val="16"/>
          <w:color w:val="auto"/>
        </w:rPr>
        <w:t>The Resource Conservation and Recovery Act, as amended, and comparable state statutes and regulations promulgated thereunder,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Resource Conservation and Recovery Act, sometimes in conjunction with their own, more stringent requirements. Although most wastes associated with the exploration, development and production of crude oil and natural gas are exempt from regulation as hazardous wastes under the Resource Conservation and Recovery Act,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gas waste. However, in April 2019, the EPA concluded that revisions to the federal regulations for the management of oil and gas waste are not necessary at this time. Any such changes in the laws and regulations could have a material adverse effect on our capital expenditures and operating expenses.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the Safe Drinking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the Oil Pollution Act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Clean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Water Act and regulations implemented thereunder also prohibit the discharge of dredge and fill material into regulated waters, including jurisdictional wetlands, unless authorized by an appropriately issued permit. On June 29, 2015, the EPA and the U.S. Army Corps of Engineers, or the Corps, jointly promulgated final rules redefining the scope of waters protected under the Clean Water Act. However, on October 22, 2019, the agencies published a final rule to repeal the 2015 rules. The 2015 rule and the 2019 repeal are subject to several ongoing legal challenges. Also, on January 23, 2020, the EPA and the Corps released a final rule replacing the 2015 rule, and significantly reducing the waters subject to federal regulation under the Clean Water Act. The rule is anticipated to generate further legal challenges. Further, on April 23, 2019, the EPA published an interpretive statement and request for comment, clarifying that the Clean Water Act’s permitting program for pollutant discharges does not apply to releases of pollutants to groundwater. As a result of such recent developments, substantial uncertainty exists regarding the scope of waters protected under the Clean Water Act. To the extent the rules expand the range of properties subject to the Clean Water Act’s jurisdiction, we could face increased costs and delays with respect to obtaining permits for dredge and fill activities in wetland areas.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Non-compliance with the Clean Water Act or the Oil Pollution Act may result in substantial administrative, civil and criminal penalties, as well as injunctive obligations. We believe we are in material compliance with the requirements of each of these laws.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The federal Clean Air Act, as amended, and comparable state laws and regulations, regulate emissions of various air pollutants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“–Regulation of Hydraulic Fracturing.” Also, on May 12, 2016, the EPA issued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Climate Change. </w:t>
      </w:r>
      <w:r>
        <w:rPr>
          <w:rFonts w:ascii="Arial" w:cs="Arial" w:eastAsia="Arial" w:hAnsi="Arial"/>
          <w:sz w:val="16"/>
          <w:szCs w:val="16"/>
          <w:color w:val="auto"/>
        </w:rPr>
        <w:t>In recent years, federal, state and local governments have taken steps to reduce emissions of greenhouse gases. The EPA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cooperate and report actions to reduce greenhouse gas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On November 4, 2019, the Trump Administration submitted its formal notification of withdrawal to the United Nations. It is not clear what steps, if any, will be taken to negotiate a new agreement, or what terms would be included in such an agreement. In response to the announcement, many state and local leaders have stated their intent to intensify efforts to uphold the commitments set forth in the international accord.</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in a March 28, 2017 executive order, President Trump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On June 16, 2017, the EPA published a proposed rule to stay for two years certain requirements of the 2016 regulations, including fugitive emission requirements. Also, on October 15, 2018, the EPA published a proposed rule to significantly reduce regulatory burdens imposed by the 2016 regulations, including, for example, reducing the monitoring frequency for fugitive emissions and revising the requirements for pneumatic pumps at well sites. In addition, on August 28, 2019, the EPA proposed amendments to the 2012 and 2016 New Source Performance standards to ease regulatory burdens, including rescinding standards applicable to transmission or storage segments and eliminating methane requirements altogether. Legal challenges are anticipated and thus substantial uncertainty exists regarding the scope of these New Source Performance standards for oil and natural gas operations. The 2012 and 2016 New Source Performance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3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On August 12, 2019, the U.S. Fish and Wildlife Service and the National Oceanic and Atmospheric Administration’s National Marine Fisheries Service jointly published final rules that, among other things, tighten the critical habitat designation process and eliminate certain automatic protections for threatened species going forward. Nevertheless, the designation of previously unprotected species in areas where we operate as threatened or endangered could result in the imposition of restrictions on our operations and consequently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Drilling and Production. </w:t>
      </w:r>
      <w:r>
        <w:rPr>
          <w:rFonts w:ascii="Arial" w:cs="Arial" w:eastAsia="Arial" w:hAnsi="Arial"/>
          <w:sz w:val="18"/>
          <w:szCs w:val="18"/>
          <w:color w:val="auto"/>
        </w:rPr>
        <w:t>Our operations are subject to various types of regulation at the federal, state and local level. These types of regulation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requiring permits for the drilling of wells, drilling bonds and reports concerning operations. The state, and some counties and municipalities, in which we operate also regulate one or more of the following:</w:t>
      </w:r>
    </w:p>
    <w:p>
      <w:pPr>
        <w:spacing w:after="0" w:line="181" w:lineRule="exact"/>
        <w:rPr>
          <w:sz w:val="20"/>
          <w:szCs w:val="20"/>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Sales and Transportation. </w:t>
      </w:r>
      <w:r>
        <w:rPr>
          <w:rFonts w:ascii="Arial" w:cs="Arial" w:eastAsia="Arial" w:hAnsi="Arial"/>
          <w:sz w:val="17"/>
          <w:szCs w:val="17"/>
          <w:color w:val="auto"/>
        </w:rPr>
        <w:t>Historically, federal legislation and regulatory controls have affected the price of the natural gas we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Natural Gas Gathering. </w:t>
      </w:r>
      <w:r>
        <w:rPr>
          <w:rFonts w:ascii="Arial" w:cs="Arial" w:eastAsia="Arial" w:hAnsi="Arial"/>
          <w:sz w:val="17"/>
          <w:szCs w:val="17"/>
          <w:color w:val="auto"/>
        </w:rPr>
        <w:t>Although FERC has not made a formal determination with respect to the facilities Rattler LLC considers to be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pipelines, Rattler believes that its natural gas gathering pipelines meet the traditional tests that FERC has used to determine that pipelines perform primarily a gathering function and are, therefore, not subject to FERC jurisdiction. The distinction between FERC-regulated interstate transportation services and federally unregulated gathering services, however, has been the subject of substantial litigation, and FERC determines whether facilities are gathering facilities on a case-by-case basis, so the classification and regulation of gathering facilities is subject to change based on future determinations by FERC, the courts or Congress. If FERC were to consider the status of an individual facility and determine that the facility or services provided by it are not exempt from FERC regulation under the Natural Gas Act of 1938, or NGA, and that the facility provides interstate transportation service, the rates for, and terms and conditions of, services provided by such facility would be subject to regulation by FERC under the NGA or the Natural Gas Policy Act, or NGPA. Such regulation could decrease revenue, increase operating costs and, depending upon the facility in question, adversely affect results of operations and cash flow. In addition, if any of the facilities were found to have provided services or otherwise operated in violation of the NGA or NGPA, this could result in the imposition of substantial civil penalties, as well as a requirement to disgorge revenues collected for such services in excess of the maximum rates established by FERC.</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though Rattler LLC considers its natural gas gathering pipelines to be exempt from the jurisdiction of FERC under the NGA, FERC regulation of interstate natural gas transportation pipelines may indirectly impact gathering services. FERC’s policies and practices across the range of its natural gas regulatory activities, including, for example, its policies on interstate open access transportation, ratemaking, capacity release and market center promotion may indirectly affect intrastate markets and gathering services. In recent years, FERC has pursued pro-competitive policies in its regulation of interstate natural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gas pipelines. However, there can be no assurance that the FERC will continue to pursue this approach as it considers matters such as pipeline rates and rules and policies that may indirectly affect the natural gas gathering services.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Natural gas gathering may receive greater regulatory scrutiny at the state level; therefore, Rattler LLC’s natural gas gathering operations could be adversely affected should they become subject to the application of state regulation of rates and services. Gathering operations could also be subject to safety and operational regulations relating to the design, construction, testing, operation, replacement and maintenance of gathering facilities. We cannot predict what effect, if any, such changes might have on Rattler’s or our operations, but additional capital expenditures and increased operating costs may result depending on future legislative and regulatory changes.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our subsidiary Rattler Midstream Operating LLC has a tariff on file with FERC to perform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Further, interstate and intrastate common carrier oil pipelines, including our subsidiary Rattler Midstream Operating LLC,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81"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b w:val="1"/>
          <w:bCs w:val="1"/>
          <w:i w:val="1"/>
          <w:iCs w:val="1"/>
          <w:color w:val="auto"/>
        </w:rPr>
        <w:t xml:space="preserve">Safety and Maintenance Regulation. </w:t>
      </w:r>
      <w:r>
        <w:rPr>
          <w:rFonts w:ascii="Arial" w:cs="Arial" w:eastAsia="Arial" w:hAnsi="Arial"/>
          <w:sz w:val="16"/>
          <w:szCs w:val="16"/>
          <w:color w:val="auto"/>
        </w:rPr>
        <w:t>In our midstream operations, Rattler LLC is subject to regulation by the U.S. Department of Transportation,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DOT, under the Hazardous Liquids Pipeline Safety Act of 1979, or HLPSA, and comparable state statutes with respect to design, installation, testing, construction, operation, replacement and management of pipeline facilities. HLPSA covers petroleum and petroleum products, including NGLs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3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Rattler LLC is also subject to the Natural Gas Pipeline Safety Act of 1968, or NGPSA, and the Pipeline Safety Improvement Act of 2002. The NGPSA regulates safety requirements in the design, construction, operation and maintenance of natural gas pipeline facilities while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Pipeline Safety and Job Creation Act, enacted in 2011, and the Protecting our Infrastructure of Pipelines and Enhancing Safety Act of 2016, also known as the PIPES Act, enacted in 2016, amended the HLPSA and NGPSA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$218,647 and $2,186,465,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PHMSA has undertaken rulemakings to address many areas of this legislation. For example, on October 1, 2019, PHMSA published final rules to expand its integrity management requirements and impose new pressure testing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The Railroad Commission of Texas is the agency vested with intrastate natural gas pipeline regulatory and enforcement authority in Texas. The Commission’s regulations adopt by reference the minimum federal safety standards for the transportation of natural gas. In addition, on December 17, 2019, the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general liability, commercial automobile, workers compensation, pollution liability (claims made coverage with a policy retroactive date), excess umbrella liability and other coverage.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Factors–Risks Related to the Oil and Natural Gas Industry and Our Business–Operating hazards and uninsured risks may result in substantial losses and could prevent us from realizing profits.”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we had approximately 712 full time employees.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corporate headquarters is located in Midland, Texas. We also lease additional office space in Birmingham, Alabama, Houston, Texas, Midland, Texas and Oklahoma City, Oklahoma. We believe that our facilities are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Form 10-K and should not be considered part of this or any other report that we file with or furnish to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nature of our business activities subjects us to certain hazards and risks. The following is a summary of some of the material risks relating to our business activities. Other risks are described in Item 1. “Business and Properties” and Item 7A. “Quantitative and Qualitative Disclosures About Market Risk.” These risks are not the only risks we face. We could also face additional risks and uncertainties not currently known to the Company or that we currently deem to be immaterial. If any of these risks actually occurs, it could materially harm our business, financial condition or results of operations and the trading price of our shares could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operating results, profitability, future rate of growth and the carrying value of our oil and natural gas properties depend significantly upon the prevailing prices for oil and natural gas. Historically, oil and natural gas prices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been volatile and are subject to fluctuations in response to changes in supply and demand, market uncertainty and a variety of additional factors that are beyond our control,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members of the Organization of Petroleum Exporting Countries to agree to and maintain oil price and production controls;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or national health concerns, including the outbreak of pandemic or contagious disease, such as the coronavirus;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cost, availability and capacity of oil and natural gas pipelines and other transportation facilities;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factors and the volatility of the energy markets make it extremely difficult to predict future oil and natural gas price movements with any certainty. During the past five years, the posted price for West Texas intermediate light sweet crude oil, which we refer to as WTI Futures Contract 1 price for crude oil has ranged from a low of $26.21 per barrel, or Bbl, in February 2016 to a high of $76.41 per Bbl in October 2018. The Natural Gas Futures Contract 1 price spot market price of natural gas has ranged from a low of $1.64 per MMBtu in March 2016 to a high of $4.84 per MMBtu in November 2018. During 2019, WTI Futures Contract 1 prices ranged from $46.54 to $66.30 per Bbl and the Natural Gas Futures Contract 1 spot market price of natural gas ranged from $2.07 to $3.59 per MMBtu. On January 31, 2020, the WTI Futures Contract 1 posted price for crude oil was $51.56 per Bbl and the Natural Gas Futures Contract 1 spot market price of natural gas was $1.84 per MMBtu, representing decreases of 22% and 49%, respectively, from the high of $66.30 per Bbl of oil and $3.59 per MMBtu for natural gas during 2019. In response to recent volatility in commodity prices, many producers have reduced their capital expenditure budgets. If the prices of oil and natural gas decline further, our operations, financial condition and level of expenditures for the development of our oil and natural gas reserves may be materially and adversely affected.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activities are curtailed, full cost accounting rules may require us to write down, as a non-cash charge to earnings, the carrying value of our oil and natural gas properties. Reductions in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reserves could also negatively impact the borrowing base under our revolving credit facility, which could further limit our liquidity and ability to conduct additional exploration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Concerns over general economic, business or industry conditions may have a material adverse effect on our results of operations, liquidity and financial condition.</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Concerns over global economic conditions, energy costs, geopolitical issues, inflation, the availability and cost of credit, the European, Asian and the United States financial markets have in the past contributed, and may in the future contribute, to economic uncertainty and diminished expectations for the global economy. In addition, continued hostilities in the Middle East, the occurrence or threat of terrorist attacks in the United States or other countries and global or national health concerns could adversely affect the global economy. These factors, combined with volatility in commodity prices, business and consumer confidence and unemployment rates, may precipitate an economic slowdown. Concerns about global economic growth may have an adverse impact on global financial markets and commodity prices. If the economic climate in the United States or abroad deteriorates, worldwide demand for petroleum products could diminish, which could impact the price at which we can sell our production, affect the ability of our vendors, suppliers and customers to continue operations and ultimately adversely impact our results of operations, liquidity and financial condition.</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2019, our total capital expenditures, including expenditures for leasehold acquisitions, drilling and infrastructure, were approximately $3.1 billion. Our 2020 capital budget for drilling, completion and infrastructure, including investments in water disposal infrastructure and gathering line projects, is currently estimated to be approximately $2.8 billion to $3.0 billion, representing an increase of 1% over our 2019 capital budget. Since completing our initial public offering in October 2012, we have financed capital expenditures primarily with borrowings under our revolving credit facility, cash generated by operations and the net proceeds from public offerings of our common stock and the senior notes.</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intend to finance our future capital expenditures with cash flow from operations, proceeds from offerings of our debt and equity securities and borrowings under our revolving credit facility. Our cash flow from operations and access to capital are subject to a number of variables, including:</w:t>
      </w:r>
    </w:p>
    <w:p>
      <w:pPr>
        <w:spacing w:after="0" w:line="14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oil and natural gas we are able to produce from existing wells;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at which our oil and natural gas are sold;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acquire, locate and produce economically new reserves;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borrow under our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you that our operations and other capital resources will provide cash in sufficient amounts to maintain planned or future levels of capital expenditures. Further, our actual capital expenditures in 2020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oil and natural gas prices and their applicable differentials;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environmental and other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assurance can be given that we will be able to identify additional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and results of operations. The inability to effectively manage the integration of acquisitions, including our recently completed and pending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project areas are in various stages of development, ranging from project areas with current drilling or production activity to project areas that consist of recently acquired leasehold acreage or that have limited drilling or production history. If future wells or the wells in the process of being completed do not produce sufficient revenues to return a profit or if we drill dry holes in the future, our business may be materially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At an assumed price of approximately $60.00 per Bbl WTI, we currently have approximately 12,310 gross (8,141 net) identified economic potential horizontal drilling locations in multiple horizons on our acreage. As of December 31, 2019, only 477 of our gross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we have identified approximately 3,382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2019, we are the operator of, have participated in, or have acquired a total of 1,770 horizontal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may result in volatility in our operating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our quarterly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December 31, 2019, we had leases representing 42,421 net acres expiring in 2020, 7,626 net acres expiring in 2021, 2,387 net acres expiring in 2022, 4,919 net acres expiring in 2023 and no net acres expiring in 2024.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2020, we will need to operate at least a one-rig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entered into fixed price swap contracts, fixed price basis swap contracts, double-up swap contracts and three-way collars with corresponding put, short put and call options and may in the future enter into forward sale contracts or additional fixed price swap, fixed price basis swap, double-up swap derivatives or three-way collars for a portion of our production. Although we have hedged a portion of our estimated 2020 and 2021 production, we may still be adversely affected by continuing and prolonged declines in the price of oil.</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fixed price swap contracts, fixed price basis swap contracts, double-up swap contracts and three-way collars with corresponding put, short put and call options to reduce price volatility associated with certain of our oil and natural gas sales. Under these swap contracts, we receive a fixed price per barrel of oil and pay a floating market price per barrel of oil to the counterparty based on NYMEX WTI pricing. The fixed-price payment and the floating-price payment are offset, resulting in a net amount due to or from the counterparty. Under our three-way collar contracts, the counterparty is required to make a payment to us if the settlement price for any settlement period is less than the ceiling price to a maximum of the difference between the floor price and the short put price. We are required to make a payment to the counterparty if the settlement price for any settlement period is greater than the ceiling price. If the settlement price is between the floor and the ceiling price, there is no payment required.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prices of oil and natural gas remain at current levels or decline further, we may not be able to economically hedge future production at the same level as our current hedges, and our results of operations and financial condition may be negatively impacted. For additional information regarding our outstanding derivative contracts as of December 31, 2019, see Note 15—Derivatives to our consolidated financial statements included elsewhere in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derivative transactions expose us to counterparty credit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using derivative instruments to economically hedge exposure to changes in commodity prices, we expose ourselves to credit risk. Credit risk is the failure of the counterparty to perform under the terms of the derivative contract. When the fair value of a derivative contract is positive, the counterparty owes us, which creates credit risk. We do not require collateral from our counterparties. We have entered into derivative instruments only with counterparties that are also lenders in our credit facility and have been deemed an acceptable credit risk by us.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 which will result in deficiency payments to the counterparty and may have an adverse effect on our operations.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long-term crude oil agreements with Trafigura, Plains, Shell and Vitol under which, subject to certain terms and conditions, we are obligated to deliver specified quantities of oil to such companies. Our maximum delivery obligation under these agreements varies for different periods and depends in some cases upon certain conditions, such as the in-service dates for the Gray Oak pipeline and the EPIC pipeline as described in this report. See “Business and Properties—Marketing and Customers” above. If production from our Permian Basin acreage decreases due to decreased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$186 million at December 31, 2019) and receivables from purchasers of our oil and natural gas production (approximately $429 million at December 31, 2019).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For the year ended December 31, 2019, three purchasers each accounted for more than 10% of our revenue: Shell (27%); Plains (23%); and Vitol (15%). For the year ended December 31, 2018, three purchasers each accounted for more than 10% of our revenue: Shell (26%); Koch (15%); and Occidental Energy Marketing Inc. (11%). For the year ended December 31, 2017, three purchasers each accounted for more than 10% of our revenue: Shell (31%); Koch (19%); and Enterprise Crude Oil LLC (11%). No other customer accounted for more than 10% of our revenue during these periods.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$13.54, $12.62 and $11.11 for the years ended December 31, 2019, 2018 and 2017, respectively. Depreciation, depletion and amortization expense for oil and natural gas properties for the years ended December 31, 2019, 2018 and 2017 was $1.4 billion, $595 million and $321 million, respectively.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capitalized costs of proved oil and natural gas properties are subject to a full cost ceiling limitation in which the costs are not allowed to exceed their related estimated future net revenues discounted at 10%. To the extent capitalized costs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impairment on proved oil and natural gas properties of $790 million was recorded for the year ended December 31, 2019. No impairments on proved oil and natural gas properties were recorded for the years ended December 31, 2018 and 2017. See Item 7. “Management’s Discussion and Analysis of Financial Condition and Results of Operations—Critical Accounting Policies and Estimates—Method of accounting for oil and natural gas properties” for a more detailed description of our method of accounting.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as of December 31, 2019, 2018 and 2017 (which include those attributable to Viper) are based on reports prepared by Ryder Scott, which conducted a well-by-well review of all our properties for the periods covered by its reserve reports using information provided by us.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estimates of reserves as of December 31, 2019, 2018 and 2017 included in this report were prepared using an average price equal to the unweighted arithmetic average of hydrocarbon prices received on a field-by-field basis on the first day of each month within the 12-month periods December 31, 2019, 2018 and 2017, respectively, in accordance with the SEC guidelines applicable to reserve estimates for such periods.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and our PV-10 are not necessarily the same as the current market value of our estimated proved oil reserves.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present value of future net cash flow from our proved reserves, or standardized measure, and our related PV-10 calculation,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rules could limit our ability to book additional proved undeveloped reserves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 rules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 because they have become uneconomic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33% of our total estimated proved reserves as of December 31, 2019,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2019, all of our proved reserves were attributable to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year ended December 31, 2019, three purchasers each accounted for more than 10% of our revenue: Shell (27%); Plains (23%); and Vitol (15%). For the year ended December 31, 2018, three purchasers each accounted for more than 10% of our revenue: Shell (26%); Koch (15%); and Occidental Energy Marketing Inc. (11%). For the year ended December 31, 2017, three purchasers each accounted for more than 10% of our revenue: Shell (31%); Koch (19%); and Enterprise Crude Oil LLC (11%). No other customer accounted for more than 10% of our revenue during these periods. We cannot assure you that we will continue to have ready access to suitable markets for our future oil and natural gas production.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managing growth in our business, which could adversely affect our financial condition and results of operations.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operations have grown substantially since our initial public offering in October 2012 and we expect our business operations to continue to grow in the future.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In addition, to the extent we engage in horizontal drilling, those activities may adversely affect our ability to successfully drill in one or more of our identified vertical drilling locations. 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which interconnects with third party pipelines. Our natural gas production is generally transported by our gathering lines from the wellhead to an interconnection point with the purchaser.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are subject to various governmental laws and regulations which require compliance that can be burdensome and expensive.</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imposed strict requirements for water and air pollution control and solid waste management. Significant expenditures may be required to comply with governmental laws and regulations applicable to us. Even if federal regulatory burdens temporarily ease, the historic trend of more expansive and stricter environmental legislation and regulations may continue in the long-term, and at the state and local levels. See Item 1. “Business—Regulation” for a description of certain laws and regulations that affect 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For a more detailed discussion of federal laws concerning hydraulic fracturing, see “Items 1 and 2. Business and Properties—Regulation—Regulation of Hydraulic Fracturing.”</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For a more detailed discussion of state and local laws and initiatives concerning hydraulic fracturing, see “Items 1 and 2. Business and Properties— Regulation—Regulation of Hydraulic Fracturing.” We use hydraulic fracturing extensively in connection with the development and production of certain of our oil and natural gas properties and any increased federal, state, local, foreign or international regulation of hydraulic fracturing could reduce the volumes of oil and natural gas that we can economically recover, which could materially and adversely affect our revenues and results of operations.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ecologically or seismically sensitive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Derivatives reform legislation and related regulations could have an adverse effect on our ability to hedge risks associated with our business.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The July 2010 Dodd-Frank Wall Street Reform and Consumer Protection Act, which we refer to as Dodd-Frank Act, provides for federal oversight of the over-the-counter derivatives market and entities that participate in that market and mandates that the Commodity Futures Trading Commission, which we refer to as the CFTC, the SEC, and federal regulators of financial institutions, which we refer to as the Prudential Regulators, adopt rules or regulations implementing the Dodd-Frank Act and providing definitions of terms used in the Dodd-Frank Act. The Dodd-Frank Act establishes margin requirements and requires clearing and trade execution practices for certain market participants and may result in certain market participants needing to curtail or cease their derivatives activities.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12529"/>
        </w:rPr>
        <w:t>Although some of the rules necessary to implement the Dodd-Frank Act remain to be adopted, the CFTC, the SEC and the Prudential Regulators have issued many rules to implement the Dodd-Frank Act, including a rule, which we refer to as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Mandatory Clearing Rule, requiring clearing of hedges, or swaps, that are subject to it (currently, only certain interest rate and credit default swaps, which we do not presently have), a rule, which we refer to as the End User Exception, establishing an “end user” exception to the Mandatory Clearing Rule, a rule, which we refer to as the Margin Rule, setting forth collateral requirements in connection with swaps that are not cleared and also an exception to the Margin Rule for end users that are not financial end users, which exception we refer to as the Non-Financial End User Exception, and a rule, subsequently vacated by the United States District Court for the District of Columbia and remanded to the CFTC for further proceedings, imposing position limits. The CFTC has three times proposed a new version of this rule, with respect to which the comment period closed but the rule was not adopted, and another version of this rule, which we refer to as the Latest-Proposed Position Limit Rule, with respect to which the comment period will close on April 29, 2020 unless extended and a final rule may or may not be issued. The Latest-Proposed Position Limit Rule provides an exemption from the position limits for swaps that constitute “bona fide hedging positions” within the definition of such term under the Latest-Proposed Position Limit Rule, subject to the party claiming the exemption complying with the applicable filing, recordkeeping and reporting requirements of the Latest-Proposed Position Limit Rule.</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212529"/>
        </w:rPr>
        <w:t>We qualify for the End User Exception and will utilize it if the Mandatory Clearing Rule is expanded to cover swaps in which we participate, we qualify for the Non-Financial End User Exception and will not be required to post margin in connection with uncleared swaps under the Margin Rule, and our existing and anticipated hedging positions constitute “bona fide hedging positions” under the Re-Proposed Position Limit Rule and we intend to undertake the filing, recordkeeping and reporting necessary to utilize the bona fide hedging position exemption under the Latest-Proposed Position Limit Rule if and when it becomes effective, so we do not expect to be directly affected by any of such rules. However, most if not all of our hedge counterparties will be subject to mandatory clearing in connection with their hedging activities with parties who do not qualify for the End User Exception and will be required to post margin in connection with their hedging activities with other swap dealers, major swap participants, financial end users and other persons that do not qualify for the Non-Financial End User Exception. In addition, the European Union and other non-U.S. jurisdictions have enacted laws and regulations (including laws and regulations giving the European Union financial authorities the power to write down amounts we may be owed on hedging agreements with counterparties subject to such laws and regulations and/or require that we accept equity interests in such counterparties in lieu of cash in satisfaction of such amounts), which we refer to collectively as Foreign Regulations, which may apply to our transactions with counterparties subject to such Foreign Regulations, which we refer to as Foreign Counterparties, and the U.S. adopted law and rules, which we call the U.S. Resolution Stay Rules, clarifying similar rights of U.S. banking authorities with respect to banking institutions subject to their regulation. The Dodd-Frank Act, the rules which have been adopted and not vacated, and, to the extent that the Latest-Proposed Position Limit Rule is effected, such proposed rule and the U.S. Resolution Stay Rules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The Foreign Regulations could have similar effects. If we reduce our use of derivatives as a result of the Dodd-Frank Act and regulation, the U.S. Resolution Stay Rules and Foreign Regulations, our results of operations may become more volatile and our cash flows may be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U.S. tax legislation as well as future U.S. tax legislations may adversely affect our business, results of operations, financial condition and cash flow.</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President signed into law Public Law No. 115-97, a comprehensive tax reform bill commonly referred to as the Tax Cuts and Jobs Act, which we refer to as the Tax Act, that significantly reforms the Internal Revenue Code of 1986, as amended, which we refer to as the Code. Among other changes, the Tax Act (i) reduces the maximum U.S. corporate income tax rate from 35% to 21%, (ii) preserves long-standing upstream oil and gas tax provisions such as immediate deduction of intangible drilling, (iii) allows for immediate expensing of capital expenditures for tangible personal property for a period of time, (iv) modifies the provisions related to the limitations on deductions for executive compensation of publicly traded corporations and (v) enacts new limitations regarding the deductibility of interest expense. The Tax Act is complex and far-reaching, and while we have evaluated the resulting impact of its enactment on us and recorded adjustments as required in our financial statements, aspects of the Tax Act are unclear and may not be clarified for some time. The ultimate impact of the Tax Act may differ from our estimates due to changes in interpretations and assumptions made by us as well as additional regulatory guidance that may be issued, and any such changes in our interpretations and assumptions could have an adverse effect on our business, results of operations, financial condition and cash flow.</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from time to time, legislation has been proposed that, if enacted into law, would make significant changes to U.S. federal and state income tax laws affecting the oil and gas industry, including (i) eliminating the immediate deduction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drilling and development costs, (ii) the repeal of the percentage depletion allowance for oil and natural gas properties; and (iii) an extension of the amortization period for certain geological and geophysical expenditures. While these specific changes are not included in the Tax Act,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of greenhouse gas emissions could result in increased operating costs and reduced demand for the oil and natural gas we produce.</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While we are subject to certain federal greenhouse gas monitoring and reporting requirements, our operations currently are not adversely impacted by existing federal, state and local climate change initiatives. For a description of existing and proposed greenhouse gas rules and regulations, see “Items 1 and 2. Business and Properties— Regulation—Environmental Regulation—Climate Change.”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On November 4, 2019, the Trump Administration submitted its formal notification of withdrawal to the United Nations. It is not clear what steps, if any, will be taken to negotiate a new agreement, or what terms would be included in such an agreement. In response to the announcement, many state and local leaders have stated their intent to intensify efforts to uphold the commitments set forth in the international accord.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Legislation or regulatory initiatives intended to address seismic activity could restrict our drilling and production activities, as well as our ability to dispose of produced water gathered from such activities, which could have a material adverse effect on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and federal regulatory agencies have recently focused on a possible connection between hydraulic fracturing related activities, particularly the underground injection of wastewater into disposal wells, and the increased occurrence of seismic activity, and regulatory agencies at all levels are continuing to study the possible linkage between oil and gas activity and induced seismicity. In addition, a number of lawsuits have been filed in some states, most recently in Oklahoma,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 For example, on October 28, 2014, the Texas Railroad Commission adopted disposal well rule amendments designed, among other things, to require applicants for new disposal wells that will receive non-hazardous produced water or other oil and gas waste to conduct seismic activity searches utilizing the U.S. Geological Survey. The searches are intended to determine the potential for earthquakes within a circular area of 100 square miles around a proposed new disposal well. If the permittee or an applicant of a disposal well permit fails to demonstrate that the produced water or other fluids are confined to the disposal zone or if scientific data indicates such a disposal well is likely to be or determined to be contributing to seismic activity, then the agency may deny, modify, suspend or terminate the permit application or existing operating permit for that well. The Commission has used this authority to deny permits for waste disposal wells.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dispose of large volumes of produced water gathered from our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use hydraulic fracturing or dispose of produced water gathered from our drilling and production activities by owned disposal wells, could have a material adverse effect on our business, financial condition and results of operations.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124" w:lineRule="exact"/>
        <w:rPr>
          <w:sz w:val="20"/>
          <w:szCs w:val="20"/>
          <w:color w:val="auto"/>
        </w:rPr>
      </w:pPr>
    </w:p>
    <w:p>
      <w:pPr>
        <w:jc w:val="both"/>
        <w:ind w:left="40" w:firstLine="608"/>
        <w:spacing w:after="0" w:line="287" w:lineRule="auto"/>
        <w:rPr>
          <w:sz w:val="20"/>
          <w:szCs w:val="20"/>
          <w:color w:val="auto"/>
        </w:rPr>
      </w:pPr>
      <w:r>
        <w:rPr>
          <w:rFonts w:ascii="Arial" w:cs="Arial" w:eastAsia="Arial" w:hAnsi="Arial"/>
          <w:sz w:val="16"/>
          <w:szCs w:val="16"/>
          <w:color w:val="auto"/>
        </w:rPr>
        <w:t>Although FERC has not made a formal determination with respect to the facilities we consider to be natural gas gathering pipelines, we believe that our subsidiary Rattler LLC’s natural gas gathering pipelines meet the traditional tests that FERC has used to determine that pipelines perform primarily a gathering function and are, therefore, not subject to FERC jurisdiction. The distinction between FERC-regulated interstate transportation services and federally unregulated gathering services, however, has been the subject of substantial litigation, and FERC determines whether facilities are gathering facilities on a case-by-case basis, so the classification and regulation of our gathering facilities is subject to change based on future determinations by FERC, the courts or Congress. If FERC were to consider the status of an individual facility and determine that the facility or services provided by it are not exempt from FERC regulation under the NGA, and that the facility provides interstate transportation service, the rates for, and terms and conditions of, services provided by such facility would be subject to regulation by FERC under the NGA or the Natural Gas Policy Act, or NGPA. Such regulation could decrease revenue, increase operating costs, and, depending upon the facility in question, adversely affect our results of operations and cash flow. In addition, if any of Rattler LLC’s facilities were found to have provided services or otherwise operated in violation of the NGA or NGPA, this could result in the imposition of substantial civil penalties, as well as a requirement to disgorge revenues collected for such services in excess of the maximum rates established by FERC.</w:t>
      </w:r>
    </w:p>
    <w:p>
      <w:pPr>
        <w:spacing w:after="0" w:line="173" w:lineRule="exact"/>
        <w:rPr>
          <w:sz w:val="20"/>
          <w:szCs w:val="20"/>
          <w:color w:val="auto"/>
        </w:rPr>
      </w:pPr>
    </w:p>
    <w:p>
      <w:pPr>
        <w:jc w:val="both"/>
        <w:ind w:left="40" w:firstLine="608"/>
        <w:spacing w:after="0" w:line="273" w:lineRule="auto"/>
        <w:rPr>
          <w:sz w:val="20"/>
          <w:szCs w:val="20"/>
          <w:color w:val="auto"/>
        </w:rPr>
      </w:pPr>
      <w:r>
        <w:rPr>
          <w:rFonts w:ascii="Arial" w:cs="Arial" w:eastAsia="Arial" w:hAnsi="Arial"/>
          <w:sz w:val="17"/>
          <w:szCs w:val="17"/>
          <w:color w:val="auto"/>
        </w:rPr>
        <w:t>Even though we consider Rattler LLC’s natural gas gathering pipelines to be exempt from the jurisdiction of FERC under the NGA, FERC regulation of interstate natural gas transportation pipelines may indirectly impact gathering services. FERC’s policies and practices across the range of its natural gas regulatory activities, including, for example, its policies on interstate open access transportation, ratemaking, capacity release, and market center promotion may indirectly affect intrastate markets and gathering services. In recent years, FERC has pursued pro-competitive policies in its regulation of interstate natural gas pipelines. However, we cannot assure you that the FERC will continue to pursue this approach as it considers matters such as pipeline rates and rules and policies that may indirectly affect the natural gas gathering services.</w:t>
      </w:r>
    </w:p>
    <w:p>
      <w:pPr>
        <w:spacing w:after="0" w:line="178" w:lineRule="exact"/>
        <w:rPr>
          <w:sz w:val="20"/>
          <w:szCs w:val="20"/>
          <w:color w:val="auto"/>
        </w:rPr>
      </w:pPr>
    </w:p>
    <w:p>
      <w:pPr>
        <w:jc w:val="both"/>
        <w:ind w:left="40" w:firstLine="648"/>
        <w:spacing w:after="0" w:line="264" w:lineRule="auto"/>
        <w:rPr>
          <w:sz w:val="20"/>
          <w:szCs w:val="20"/>
          <w:color w:val="auto"/>
        </w:rPr>
      </w:pPr>
      <w:r>
        <w:rPr>
          <w:rFonts w:ascii="Arial" w:cs="Arial" w:eastAsia="Arial" w:hAnsi="Arial"/>
          <w:sz w:val="18"/>
          <w:szCs w:val="18"/>
          <w:color w:val="auto"/>
        </w:rPr>
        <w:t>Natural gas gathering may receive greater regulatory scrutiny at the state level; therefore, our natural gas gathering operations could be adversely affected should they become subject to the application of state regulation of rates and services. Rattler LLC’s gathering operations could also be subject to safety and operational regulations relating to the design, construction,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testing, operation, replacement and maintenance of gathering facilities. We cannot predict what effect, if any, such changes might have on our or Rattler LLC’s operations, but we could be required to incur additional capital expenditures and increased operating costs depending on future legislative and regulatory changes.</w:t>
      </w:r>
    </w:p>
    <w:p>
      <w:pPr>
        <w:spacing w:after="0" w:line="181" w:lineRule="exact"/>
        <w:rPr>
          <w:sz w:val="20"/>
          <w:szCs w:val="20"/>
          <w:color w:val="auto"/>
        </w:rPr>
      </w:pPr>
    </w:p>
    <w:p>
      <w:pPr>
        <w:jc w:val="both"/>
        <w:ind w:left="40" w:right="20"/>
        <w:spacing w:after="0" w:line="381" w:lineRule="auto"/>
        <w:rPr>
          <w:sz w:val="20"/>
          <w:szCs w:val="20"/>
          <w:color w:val="auto"/>
        </w:rPr>
      </w:pPr>
      <w:r>
        <w:rPr>
          <w:rFonts w:ascii="Arial" w:cs="Arial" w:eastAsia="Arial" w:hAnsi="Arial"/>
          <w:sz w:val="15"/>
          <w:szCs w:val="15"/>
          <w:b w:val="1"/>
          <w:bCs w:val="1"/>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101" w:lineRule="exact"/>
        <w:rPr>
          <w:sz w:val="20"/>
          <w:szCs w:val="20"/>
          <w:color w:val="auto"/>
        </w:rPr>
      </w:pPr>
    </w:p>
    <w:p>
      <w:pPr>
        <w:jc w:val="both"/>
        <w:ind w:left="40" w:firstLine="648"/>
        <w:spacing w:after="0" w:line="270" w:lineRule="auto"/>
        <w:rPr>
          <w:sz w:val="20"/>
          <w:szCs w:val="20"/>
          <w:color w:val="auto"/>
        </w:rPr>
      </w:pPr>
      <w:r>
        <w:rPr>
          <w:rFonts w:ascii="Arial" w:cs="Arial" w:eastAsia="Arial" w:hAnsi="Arial"/>
          <w:sz w:val="17"/>
          <w:szCs w:val="17"/>
          <w:color w:val="auto"/>
        </w:rPr>
        <w:t>The U.S. Department of Transportation, or DOT, through the PHMSA and state agencies, enforces safety regulations with respect to the design, construction, operation, maintenance, inspection and management of certain of Rattler LLC’s pipeline facilities. The PHMSA requires pipeline operators to implement integrity management programs, including more frequent inspections and other measures to ensure pipeline safety in high-consequence areas, or HCAs, defined as those areas that are unusually sensitive to environmental damage, that cross a navigable waterway, or that have a high population density. The regulations require operators to (i) perform ongoing assessments of pipeline integrity, (ii) identify and characterize applicable threats to pipeline segments that could impact a HCA, (iii) improve data collection, integration and analysis, (iv) repair and remediate pipelines as necessary and (v) implement preventive and mitigating actions. These regulations contain requirements for the development and implementation of pipeline integrity management programs, which include the inspection and testing of pipelines and the correction of anomalies. The PHMSA’s regulations also require that pipeline operation and maintenance personnel meet certain qualifications and that pipeline operators develop comprehensive spill response plans, including extensive spill response training for pipeline personnel.</w:t>
      </w:r>
    </w:p>
    <w:p>
      <w:pPr>
        <w:spacing w:after="0" w:line="178"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18"/>
          <w:szCs w:val="18"/>
          <w:color w:val="auto"/>
        </w:rPr>
        <w:t>The Pipeline Safety, Regulatory Certainty, and Job Creation Act of 2011, also known as the Pipeline Safety and Job Creation Act, and the PIPES Act, are the most recent enactments of federal legislation to amend the NGPSA and the HLPSA which are pipeline safety laws requiring increased safety measures for natural gas and hazardous liquids pipelines. Among other things, the Pipeline Safety and Job Creation Act directs the Secretary of Transportation to promulgate regulations relating to expanded integrity management requirements, automatic or remote-controlled valve use, excess flow valve use, leak detection system installation, material strength testing and verification of the maximum allowable pressure of certain pipelines. The Pipeline Safety and Job Creation Act also increases the maximum penalty for violation of pipeline safety regulations from $100,000 to $200,000 per violation per day of violation and from $1.0 million to $2.0 million for a related series of violations. Effective July 31, 2019, to account for inflation, those maximum civil penalties were increased to $218,647 per violation per day, with a maximum of $2,186,465 for a related series of violations. The PIPES Act ensures that the PHMSA completes the Pipeline Safety and Job Creation Act requirements; reforms PHMSA to be a more dynamic, data-driven regulator; and closes gaps in federal standards.</w:t>
      </w:r>
    </w:p>
    <w:p>
      <w:pPr>
        <w:spacing w:after="0" w:line="195" w:lineRule="exact"/>
        <w:rPr>
          <w:sz w:val="20"/>
          <w:szCs w:val="20"/>
          <w:color w:val="auto"/>
        </w:rPr>
      </w:pPr>
    </w:p>
    <w:p>
      <w:pPr>
        <w:jc w:val="both"/>
        <w:ind w:left="40" w:firstLine="648"/>
        <w:spacing w:after="0" w:line="293" w:lineRule="auto"/>
        <w:rPr>
          <w:sz w:val="20"/>
          <w:szCs w:val="20"/>
          <w:color w:val="auto"/>
        </w:rPr>
      </w:pPr>
      <w:r>
        <w:rPr>
          <w:rFonts w:ascii="Arial" w:cs="Arial" w:eastAsia="Arial" w:hAnsi="Arial"/>
          <w:sz w:val="16"/>
          <w:szCs w:val="16"/>
          <w:color w:val="auto"/>
        </w:rPr>
        <w:t>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increased operating costs that could have a material adverse effect on our or Rattler LLC’s results of operations or financial position.</w:t>
      </w:r>
    </w:p>
    <w:p>
      <w:pPr>
        <w:spacing w:after="0" w:line="165" w:lineRule="exact"/>
        <w:rPr>
          <w:sz w:val="20"/>
          <w:szCs w:val="20"/>
          <w:color w:val="auto"/>
        </w:rPr>
      </w:pPr>
    </w:p>
    <w:p>
      <w:pPr>
        <w:jc w:val="both"/>
        <w:ind w:left="40"/>
        <w:spacing w:after="0" w:line="342" w:lineRule="auto"/>
        <w:rPr>
          <w:sz w:val="20"/>
          <w:szCs w:val="20"/>
          <w:color w:val="auto"/>
        </w:rPr>
      </w:pPr>
      <w:r>
        <w:rPr>
          <w:rFonts w:ascii="Arial" w:cs="Arial" w:eastAsia="Arial" w:hAnsi="Arial"/>
          <w:sz w:val="16"/>
          <w:szCs w:val="16"/>
          <w:b w:val="1"/>
          <w:bCs w:val="1"/>
          <w:i w:val="1"/>
          <w:iCs w:val="1"/>
          <w:color w:val="auto"/>
        </w:rPr>
        <w:t>If third party pipelines or other facilities interconnected to Rattler LLC’s midstream systems become partially or fully unavailable, or if the volumes we gather or treat do not meet the quality requirements of such pipelines or facilities, our midstream operations could be adversely affected.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subsidiary Rattler LLC’s midstream systems are connected to other pipelines or facilities, the majority of which are owned by third parties. The continuing operation of such third party pipelines or facilities is not within our control. If any of these pipelines or facilities becomes unable to transport, treat or process natural gas or crude oil, or if the volumes we gather or transport do not meet the quality requirements of such pipelines or facilities, our midstream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LLC’s rates are subject to review by federal regulators, which could adversely affect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subsidiary Rattler LLC has a tariff on file with FERC to gather crude oil in interstate commerce. Pipelines that gather or transport crude oil for third parties in interstate commerce are, among other things, subject to regulation of the rates and terms and conditions of service by the FERC. Rattler is also subject to annual reporting requirements and may also be required to respond to requests for information from government agencies, including compliance audits conducted by FERC.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17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Drilling for oil and natural gas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operations may be curtailed, delayed or canceled as a result of unexpected drilling conditions, equipment failures or accidents, shortages of equipment or personnel, environmental issues and for other reasons. In addition, wells that are profitable may not meet our internal return targets, which are dependent upon the current and expected future market prices for oil and natural gas, expected costs associated with producing oil and natural gas and our ability to add reserves at an acceptable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intensely competitive, and we compete with other companies that have greater resources than us.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certain requirements of Section 404 of the Sarbanes-Oxley Act. If we fail to comply with the requirements of Section 404 or if we or our auditors identify and report material weaknesses in internal control over financial reporting, our investors may lose confidence in our reported information and our stock price may be negatively affected.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required to comply with certain provisions of Section 404 of the Sarbanes-Oxley Act of 2002, or Sarbanes-Oxley Act.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we fail to comply with the requirements of Section 404 of the Sarbanes-Oxley Act, or if we or our auditors identify and report material weaknesses in internal control over financial reporting,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activities. We require continued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access to capital. A significant reduction in the availability of credit could materially and adversely affect our ability to achieve our planned growth and cash flows.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recorded stock-based compensation expense in 2019, 2018 and 2017, and we may incur substantial additional compensation expense related to our future grants of stock compensation which may have a material negative impact on our operating results for the foreseeable future.</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result of outstanding stock-based compensation awards, for the years ended December 31, 2019, 2018 and 2017 we incurred $65 million, $37 million and $34 million, respectively, of stock based compensation expense, of which we capitalized $17 million, $10 million and $9 million respectively, pursuant to the full cost method of accounting for oil and natural gas properties. In addition, our compensation expenses may increase in the future as compared to our historical expenses because of the costs associated with our existing and possible future incentive plans. These additional expenses could adversely affect our net income. The future expense will be dependent upon the number of share-based awards issued and the fair value of the options or shares of common stock at the date of the grant; however, they may be significant. We will recognize expenses for restricted stock awards and stock options generally over the vesting period of awards made to recipients.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its vendors, suppliers and other business partners, may become the target of cyberattacks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Our systems and insurance coverage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do not maintain specialized insurance for possible liability resulting from a cyberattack on our assets that may shut down all or part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“us, “we” or “our” shall mean Diamondback Energy, Inc. and Diamondback O&amp;G LLC, collectively, unless otherwise specified.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relied in the past, and we may rely from time to time in the future, on borrowings under our revolving credit facility to fund a portion of our capital expenditures. Unless we are able to repay borrowings under the revolving credit facility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cash flow from operations and proceeds from equity or debt offerings, implementing our capital programs may require an increase in our total leverage through additional debt issuances. In addition, a reduction in availability under our revolving credit facility and the inability to otherwise obtain financing for our capital programs could require us to curtail our capital expenditures.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level of indebtedness could adversely affect our financial condition and prevent us from fulfilling our obligations under our indebtedness.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2019, we had total long-term debt of $5.4 billion, including $4.3 billion outstanding under our 5.375% Senior Notes due 2025, which we refer to as the 2025 Notes, the Energen Notes, our 2.875% Senior Notes due 2024, our 3.250% Senior Notes due 2026 and our 3.500% Senior Notes due 2029, which are collectively referred to, together with the 2025 Notes, as the senior notes, and $13 million outstanding under our revolving credit facility, and we had $1.99 billion available for borrowing under our revolving credit facility. As of December 31, 2019, Energen, one of our subsidiaries, had $539 million, which are collectively referred to as the Energen Notes. As of December 31, 2019, Viper LLC, one of our subsidiaries, had $97 million in outstanding borrowings, and $678 million available for borrowing, under its revolving credit facility and $500 million outstanding under its 5.375% Senior Notes due 2027. As of December 31, 2019, Rattler LLC, one of our subsidiaries, had $424 million in outstanding borrowings, and $176 million available for borrowing, under its revolving credit facility. We may in the future incur significant additional indebtedness under our revolving credit facility or otherwise in order to make acquisitions, to develop our properties or for other purposes. Our level of indebtedness could have important consequences to you and affect our operations in several ways, including the following:</w:t>
      </w:r>
    </w:p>
    <w:p>
      <w:pPr>
        <w:spacing w:after="0" w:line="178" w:lineRule="exact"/>
        <w:rPr>
          <w:sz w:val="20"/>
          <w:szCs w:val="20"/>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high level of indebtedness could make it more difficult for us to satisfy our obligations with respect to our debt instruments, including any repurchase obligations that may arise thereunder;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 which could reduce the funds available to us for operations and other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high level of debt could increase our vulnerability to general adverse economic and industry conditions;</w:t>
      </w:r>
    </w:p>
    <w:p>
      <w:pPr>
        <w:spacing w:after="0" w:line="23" w:lineRule="exact"/>
        <w:rPr>
          <w:sz w:val="20"/>
          <w:szCs w:val="20"/>
          <w:color w:val="auto"/>
        </w:rPr>
      </w:pPr>
    </w:p>
    <w:p>
      <w:pPr>
        <w:ind w:left="980" w:firstLine="648"/>
        <w:spacing w:after="0" w:line="261" w:lineRule="auto"/>
        <w:rPr>
          <w:sz w:val="20"/>
          <w:szCs w:val="20"/>
          <w:color w:val="auto"/>
        </w:rPr>
      </w:pPr>
      <w:r>
        <w:rPr>
          <w:rFonts w:ascii="Arial" w:cs="Arial" w:eastAsia="Arial" w:hAnsi="Arial"/>
          <w:sz w:val="18"/>
          <w:szCs w:val="18"/>
          <w:color w:val="auto"/>
        </w:rPr>
        <w:t>the covenants contained in the agreements governing certain of our outstanding indebtedness will limit our ability to borrow additional funds, dispose of assets, pay dividends and make certain investments;</w:t>
      </w:r>
    </w:p>
    <w:p>
      <w:pPr>
        <w:spacing w:after="0" w:line="184"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high level of debt may place us at a competitive disadvantage compared to our competitors that are less leveraged and, therefore, may be able to take advantage of opportunities that our indebtedness would prevent us from pursuing;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debt covenants may also limit management’s discretion in operating our business and our flexibility in planning for, and reacting to, changes in the economy and in our industry;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high level of debt could limit our ability to access the capital markets to raise capital on favorable terms;</w:t>
      </w:r>
    </w:p>
    <w:p>
      <w:pPr>
        <w:spacing w:after="0" w:line="23" w:lineRule="exact"/>
        <w:rPr>
          <w:sz w:val="20"/>
          <w:szCs w:val="20"/>
          <w:color w:val="auto"/>
        </w:rPr>
      </w:pPr>
    </w:p>
    <w:p>
      <w:pPr>
        <w:ind w:left="980" w:right="20" w:firstLine="648"/>
        <w:spacing w:after="0" w:line="261" w:lineRule="auto"/>
        <w:rPr>
          <w:sz w:val="20"/>
          <w:szCs w:val="20"/>
          <w:color w:val="auto"/>
        </w:rPr>
      </w:pPr>
      <w:r>
        <w:rPr>
          <w:rFonts w:ascii="Arial" w:cs="Arial" w:eastAsia="Arial" w:hAnsi="Arial"/>
          <w:sz w:val="18"/>
          <w:szCs w:val="18"/>
          <w:color w:val="auto"/>
        </w:rPr>
        <w:t>our high level of debt may impair our ability to obtain additional financing in the future for working capital, capital expenditures, acquisitions, general corporate or other purposes; and</w:t>
      </w:r>
    </w:p>
    <w:p>
      <w:pPr>
        <w:spacing w:after="0" w:line="18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our borrowings under our revolving credit facility are at variable interest rates.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 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ability to raise cash through an offering of our capital stock or a refinancing of our debt include financial market conditions, the value of our assets and our performance at the time we need capital.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respond to changes in market conditions or pursue business opportunities.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of our debt instruments contain, and the terms of any future indebtedness may contain, restrictive covenants that limit our ability to, among other things:</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unrestricted subsidiaries;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revolving credit facility we are allowed, among other things, to designate one or more of our subsidiaries as “unrestricted subsidiaries” that are not subject to certain restrictions contained in the revolving credit facility. Under our revolving credit facility, we designated Viper, Viper’s general partner, Viper’s subsidiary, Rattler, Rattler’s general partner and Rattler’s subsidiaries as unrestricted subsidiaries, and upon such designation, they were automatically released from any and all obligations under the revolving credit facility, including the related guaranty. Further Viper, Viper’s general partner, Viper’s subsidiaries, Rattler, Rattler’s general partner and Rattler’s subsidiaries are designated as unrestricted subsidiaries under the indentures governing our outstanding senior notes.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breach of any of these restrictive covenants could result in default under the applicable debt instrument. If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is structurally subordinated to the indebtedness and other liabilities of our subsidiaries, and our obligations are not obligations of any of our subsidiaries.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senior indebtedness obligations are obligations exclusively of Diamondback Energy, Inc. and Diamondback O&amp;G LLC, and not of any of our other subsidiaries. None of our subsidiaries is a guarantor of our senior indebtedness. Any assets of our subsidiaries will not be directly available to satisfy the claims of our creditors, including lenders under our revolving credit facility and holders of the senior notes. Except to the extent we are a creditor with recognized claims against our subsidiaries, all claims of creditors of our subsidiaries will have priority over our equity interests in such subsidiaries (and therefore the claims of our creditors, including lenders under our revolving credit facility and holders of the senior notes) with respect to the assets of such subsidiaries. Even if we are recognized as a creditor of one or more of our subsidiaries, our claims would still be effectively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subordinated to any security interests in the assets of any such subsidiary and to any indebtedness or other liabilities of any such subsidiary senior to our claims. Consequently, our senior indebtedness will be structurally subordinated to all indebtedness and other liabilities of any of our subsidiaries and any subsidiaries that we may in the future acquire or establish, As of December 31, 2019, Energen, one of our subsidiaries, had an aggregate of $539 million of notes, which are collectively referred to as the Energen Notes. As of December 31, 2019, Viper LLC, one of our subsidiaries, had $97 million in outstanding borrowings, and $678 million available for borrowing, under its revolving credit facility and $500 million outstanding under its 5.375% Senior Notes due 2027. As of December 31, 2019, Rattler LLC, one of our subsidiaries, had $424 million in outstanding borrowings, and $176 million available for borrowing, under its revolving credit facility.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indenture governing the 2025 Notes restricts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subsidiaries for dividends, distributions and other payments.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our subsidiaries for dividends, distributions and other payments. We are a legal entity separate and distinct from our operating subsidiaries. There are statutory and regulatory limitations on the payment of dividends or distributions by certain of our subsidiaries to us. If our subsidiaries are unable to make dividend or distribution payments to us and sufficient cash or liquidity is not otherwise available, we may not be able to make dividend payments to our stockholders or principal and interest payments on our outstanding indebtedness.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subsidiaries may still be able to incur substantial additional indebtedness in the future, which could further exacerbate the risks that we and our subsidiaries face.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and our subsidiaries may be able to incur substantial additional indebtedness in the future. The terms of our and our subsidiaries’ revolving credit facilities and the indentures restrict, but in each case do not completely prohibit, us from doing so. As of December 31, 2019, we had $13 million outstanding under our revolving credit facility, and we had $1.99 billion available for borrowing under our revolving credit facility As of December 31, 2019, Viper LLC had $97 million in outstanding borrowings, and $678 million available for borrowing, under its revolving credit facility. As of December 31, 2019, Rattler LLC had $424 million in outstanding borrowings, and $176 million available for borrowing, under its revolving credit facility.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Viper LLC’s and Rattler LLC’s revolving credit facilities expose us to interest rate risk.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earnings are exposed to interest rate risk associated with borrowings under our and our subsidiaries’ revolving credit facilities. The terms of our and our subsidiaries’ revolving credit facilities provide for interest on borrowings at a floating rate equal to an alternate base rate (which is equal to the greatest of the prime rate, the Federal Funds effective rate plus 0.50% and 3-month LIBOR plus 1.0%) or LIBOR, in each case plus the applicable margin. The applicable margin ranges from 0.125% to 1.0% in the case of the alternative base rate and from 1.125% to 2.0% in the case of LIBOR, in each case depending on the amount of the loan outstanding in relation to the borrowing base. Both Viper LLC’s and Rattler LLC’s revolving credit facilities provide for interest on borrowings at floating rates, which are also tied to LIBOR. LIBOR tends to fluctuate based on multiple facts, including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As of December 31, 2019, we had $13 million borrowings outstanding under our revolving credit facility. Our weighted average interest rate on borrowings under our revolving credit facility was 3.20% on December 31, 2019. Viper LLC’s weighted average interest rate on borrowings from its revolving credit facility was 4.30% during the year ended December 31, 2019. Rattler LLC’s weighted average interest rate on borrowings from its revolving credit facility was 2.98% during the year ended December 31, 2019. As of December 31, 2019, Viper LLC had $97 million in outstanding borrowings, and $678 million available for borrowing, under its revolving credit facility. As of December 31, 2019, Rattler LLC had $424 million in outstanding borrowings, and $176 million available for borrowing, under its revolving credit facility. If interest rates increase, so will our interest costs, which may have a material adverse effect on our results of operations and financial condition.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or if LIBOR will continue to exist after 2021. The U.S. Federal Reserve, in conjunction with the Alternative Reference Rates Committee, is considering replacing U.S. dollar LIBOR with a newly created index. It is not possible to predict the effect of these changes, other reforms or the establishment of alternative reference rates in the United States or elsewhere.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permits us to enter into transactions with entities in which one or more of our officers or directors are financially or otherwise interested;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17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engaged in transactions with affiliated companies and may do so again in the future. These transactions, and the resolution of any conflicts that may arise in connection with such related party transactions, including pricing, duration or other terms of service, may not always be in our or our stockholders’ best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17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declaration of dividends and repurchases of our common stock are each within the discretion of our board of directors based upon a review of relevant considerations, and there is no guarantee that we will pay any dividends on or repurchases of our common stock in the future or at levels anticipated by our stockholders.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13, 2018, we initiated payment of quarterly cash dividends on our common stock payable beginning with the first quarter of 2018. The decision to pay any future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or declare dividends at rates that are less than currently anticipated, either of which could reduce returns to our stockholders.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This repurchase program is at the discretion of our board of directors and may be suspended from time to time, modified, extended or discontinued by our board of directors at any time.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were to experience an “ownership change,” as determined under Section 382 of the Code, our ability to offset taxable income arising after the ownership change with NOLs generated prior to the ownership change would be limited, possibly substantially. In general, an ownership change would establish an annual limitation on the amount of our pre-change NOLs we could utilize to offset our taxable income in any future taxable year to an amount generally equal to the value of our stock immediately prior to the ownership change multiplied by the long-term tax-exempt rate. In general, an ownership change will occur if there is a cumulative increase in our ownership of more than 50 percentage points by one or more “5% shareholders” (as defined in the Internal Revenue Code) at any time during a rolling three-year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a net operating loss, or NOL, carry forward of approximately $1.7 billion for federal income tax purposes, including $748 million acquired as part of the Energen acquisition. Although the NOL, and tax credits of $3 million, attributable to Energen’s pre-acquisition activity are subject to an annual limitation under Section 382 of the Code, we do not expect that limitation to materially impact our utilization of those amounts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181"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authorization given to our board of directors to issue and set the terms of preferred stock without the approval of our stockholders.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various legal proceedings, disputes and claims arising in the course of our business, including those that arise from interpretation of federal and state laws and regulations affecting the natural gas and crude oil industry, personal injury claims, title disputes, royalty disputes, contract claims, contamination claims relating to oil and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cash flows or results of operations.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contingencies, see Note 18—Commitments and Contingencies included in Notes to the Consolidated Financial Statements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Select Global Market under the symbol “FANG”. There were 20 holders of record of our common stock on February 13,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13, 2018, we announced the initiation of an annual cash dividend in the amount of $0.50 per share of our common stock payable quarterly which began with the first quarter of 2018. Beginning with the first quarter of 2019, the annual cash dividend was increased to $0.75 per share of our common stock. Additionally, beginning with the fourth quarter of 2019, the annual cash dividend was increased to $1.50 per share of our common stock. The decision to pay any future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year ended December 31,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Price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8"/>
              </w:rPr>
              <w:t>Total 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Paid Per</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Publicly</w:t>
            </w:r>
          </w:p>
        </w:tc>
        <w:tc>
          <w:tcPr>
            <w:tcW w:w="21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Yet Be Purchased Under</w:t>
            </w:r>
          </w:p>
        </w:tc>
      </w:tr>
      <w:tr>
        <w:trPr>
          <w:trHeight w:val="261"/>
        </w:trPr>
        <w:tc>
          <w:tcPr>
            <w:tcW w:w="3780" w:type="dxa"/>
            <w:vAlign w:val="bottom"/>
            <w:gridSpan w:val="2"/>
          </w:tcPr>
          <w:p>
            <w:pPr>
              <w:ind w:left="1580"/>
              <w:spacing w:after="0"/>
              <w:rPr>
                <w:sz w:val="20"/>
                <w:szCs w:val="20"/>
                <w:color w:val="auto"/>
              </w:rPr>
            </w:pPr>
            <w:r>
              <w:rPr>
                <w:rFonts w:ascii="Arial" w:cs="Arial" w:eastAsia="Arial" w:hAnsi="Arial"/>
                <w:sz w:val="18"/>
                <w:szCs w:val="18"/>
                <w:b w:val="1"/>
                <w:bCs w:val="1"/>
                <w:color w:val="auto"/>
              </w:rPr>
              <w:t>Period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85"/>
              </w:rPr>
              <w:t>Share</w:t>
            </w:r>
            <w:r>
              <w:rPr>
                <w:rFonts w:ascii="Arial" w:cs="Arial" w:eastAsia="Arial" w:hAnsi="Arial"/>
                <w:sz w:val="25"/>
                <w:szCs w:val="25"/>
                <w:b w:val="1"/>
                <w:bCs w:val="1"/>
                <w:color w:val="auto"/>
                <w:w w:val="85"/>
                <w:vertAlign w:val="superscript"/>
              </w:rPr>
              <w:t>(1)</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00" w:type="dxa"/>
            <w:vAlign w:val="bottom"/>
          </w:tcPr>
          <w:p>
            <w:pPr>
              <w:spacing w:after="0"/>
              <w:rPr>
                <w:sz w:val="22"/>
                <w:szCs w:val="22"/>
                <w:color w:val="auto"/>
              </w:rPr>
            </w:pPr>
          </w:p>
        </w:tc>
        <w:tc>
          <w:tcPr>
            <w:tcW w:w="1860" w:type="dxa"/>
            <w:vAlign w:val="bottom"/>
          </w:tcPr>
          <w:p>
            <w:pPr>
              <w:jc w:val="center"/>
              <w:ind w:right="110"/>
              <w:spacing w:after="0" w:line="262" w:lineRule="exact"/>
              <w:rPr>
                <w:sz w:val="20"/>
                <w:szCs w:val="20"/>
                <w:color w:val="auto"/>
              </w:rPr>
            </w:pPr>
            <w:r>
              <w:rPr>
                <w:rFonts w:ascii="Arial" w:cs="Arial" w:eastAsia="Arial" w:hAnsi="Arial"/>
                <w:sz w:val="18"/>
                <w:szCs w:val="18"/>
                <w:b w:val="1"/>
                <w:bCs w:val="1"/>
                <w:color w:val="auto"/>
                <w:w w:val="86"/>
              </w:rPr>
              <w:t>the Plan</w:t>
            </w:r>
            <w:r>
              <w:rPr>
                <w:rFonts w:ascii="Arial" w:cs="Arial" w:eastAsia="Arial" w:hAnsi="Arial"/>
                <w:sz w:val="25"/>
                <w:szCs w:val="25"/>
                <w:b w:val="1"/>
                <w:bCs w:val="1"/>
                <w:color w:val="auto"/>
                <w:w w:val="86"/>
                <w:vertAlign w:val="superscript"/>
              </w:rPr>
              <w:t>(2)</w:t>
            </w:r>
          </w:p>
        </w:tc>
      </w:tr>
      <w:tr>
        <w:trPr>
          <w:trHeight w:val="237"/>
        </w:trPr>
        <w:tc>
          <w:tcPr>
            <w:tcW w:w="3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180" w:type="dxa"/>
            <w:vAlign w:val="bottom"/>
            <w:tcBorders>
              <w:top w:val="single" w:sz="8" w:color="auto"/>
            </w:tcBorders>
            <w:gridSpan w:val="8"/>
          </w:tcPr>
          <w:p>
            <w:pPr>
              <w:jc w:val="right"/>
              <w:ind w:right="1370"/>
              <w:spacing w:after="0"/>
              <w:rPr>
                <w:sz w:val="20"/>
                <w:szCs w:val="20"/>
                <w:color w:val="auto"/>
              </w:rPr>
            </w:pPr>
            <w:r>
              <w:rPr>
                <w:rFonts w:ascii="Arial" w:cs="Arial" w:eastAsia="Arial" w:hAnsi="Arial"/>
                <w:sz w:val="18"/>
                <w:szCs w:val="18"/>
                <w:b w:val="1"/>
                <w:bCs w:val="1"/>
                <w:color w:val="auto"/>
                <w:w w:val="87"/>
              </w:rPr>
              <w:t>($ in millions, except per share amounts, shares in thousands)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70"/>
        </w:trPr>
        <w:tc>
          <w:tcPr>
            <w:tcW w:w="3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February 2019</w:t>
            </w:r>
            <w:r>
              <w:rPr>
                <w:rFonts w:ascii="Arial" w:cs="Arial" w:eastAsia="Arial" w:hAnsi="Arial"/>
                <w:sz w:val="25"/>
                <w:szCs w:val="25"/>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0"/>
        </w:trPr>
        <w:tc>
          <w:tcPr>
            <w:tcW w:w="37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March 2019</w:t>
            </w:r>
            <w:r>
              <w:rPr>
                <w:rFonts w:ascii="Arial" w:cs="Arial" w:eastAsia="Arial" w:hAnsi="Arial"/>
                <w:sz w:val="25"/>
                <w:szCs w:val="25"/>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102.93</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April 2019</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June 2019</w:t>
            </w:r>
          </w:p>
        </w:tc>
        <w:tc>
          <w:tcPr>
            <w:tcW w:w="1460" w:type="dxa"/>
            <w:vAlign w:val="bottom"/>
          </w:tcPr>
          <w:p>
            <w:pPr>
              <w:jc w:val="right"/>
              <w:spacing w:after="0"/>
              <w:rPr>
                <w:sz w:val="20"/>
                <w:szCs w:val="20"/>
                <w:color w:val="auto"/>
              </w:rPr>
            </w:pPr>
            <w:r>
              <w:rPr>
                <w:rFonts w:ascii="Arial" w:cs="Arial" w:eastAsia="Arial" w:hAnsi="Arial"/>
                <w:sz w:val="18"/>
                <w:szCs w:val="18"/>
                <w:color w:val="auto"/>
              </w:rPr>
              <w:t>976</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976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1,896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2019</w:t>
            </w:r>
          </w:p>
        </w:tc>
        <w:tc>
          <w:tcPr>
            <w:tcW w:w="1460" w:type="dxa"/>
            <w:vAlign w:val="bottom"/>
          </w:tcPr>
          <w:p>
            <w:pPr>
              <w:jc w:val="right"/>
              <w:spacing w:after="0"/>
              <w:rPr>
                <w:sz w:val="20"/>
                <w:szCs w:val="20"/>
                <w:color w:val="auto"/>
              </w:rPr>
            </w:pPr>
            <w:r>
              <w:rPr>
                <w:rFonts w:ascii="Arial" w:cs="Arial" w:eastAsia="Arial" w:hAnsi="Arial"/>
                <w:sz w:val="18"/>
                <w:szCs w:val="18"/>
                <w:color w:val="auto"/>
              </w:rPr>
              <w:t>1,252</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1,252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1,669</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October 2019</w:t>
            </w:r>
          </w:p>
        </w:tc>
        <w:tc>
          <w:tcPr>
            <w:tcW w:w="1460" w:type="dxa"/>
            <w:vAlign w:val="bottom"/>
          </w:tcPr>
          <w:p>
            <w:pPr>
              <w:jc w:val="right"/>
              <w:spacing w:after="0"/>
              <w:rPr>
                <w:sz w:val="20"/>
                <w:szCs w:val="20"/>
                <w:color w:val="auto"/>
              </w:rPr>
            </w:pPr>
            <w:r>
              <w:rPr>
                <w:rFonts w:ascii="Arial" w:cs="Arial" w:eastAsia="Arial" w:hAnsi="Arial"/>
                <w:sz w:val="18"/>
                <w:szCs w:val="18"/>
                <w:color w:val="auto"/>
              </w:rPr>
              <w:t>812</w:t>
            </w: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812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1,531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r>
      <w:tr>
        <w:trPr>
          <w:trHeight w:val="270"/>
        </w:trPr>
        <w:tc>
          <w:tcPr>
            <w:tcW w:w="37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December 2019</w:t>
            </w:r>
            <w:r>
              <w:rPr>
                <w:rFonts w:ascii="Arial" w:cs="Arial" w:eastAsia="Arial" w:hAnsi="Arial"/>
                <w:sz w:val="25"/>
                <w:szCs w:val="25"/>
                <w:color w:val="auto"/>
                <w:vertAlign w:val="superscript"/>
              </w:rPr>
              <w:t>(4)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85.08</w:t>
            </w:r>
          </w:p>
        </w:tc>
        <w:tc>
          <w:tcPr>
            <w:tcW w:w="100" w:type="dxa"/>
            <w:vAlign w:val="bottom"/>
            <w:tcBorders>
              <w:bottom w:val="single" w:sz="8" w:color="CCEEFF"/>
            </w:tcBorders>
          </w:tcPr>
          <w:p>
            <w:pPr>
              <w:spacing w:after="0"/>
              <w:rPr>
                <w:sz w:val="23"/>
                <w:szCs w:val="23"/>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1,402</w:t>
            </w:r>
          </w:p>
        </w:tc>
      </w:tr>
      <w:tr>
        <w:trPr>
          <w:trHeight w:val="257"/>
        </w:trPr>
        <w:tc>
          <w:tcPr>
            <w:tcW w:w="3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average price paid per share is net of any commissions paid to repurchase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This repurchase program may be suspended from time to time, modified, extended or discontinued by our board of directors at any time.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Acquired in connection with tax withholdings and payment of exercise price on equity compensation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108,942 shares that had not settled as of December 31,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section presents our selected historical combined consolidated financial data. The selected historical combined consolidated financial data presented below is not intended to replace our historical consolidated financial statements. You should read the following data along with Item 7. “Management’s Discussion and Analysis of Financial Condition and Results of Operations” and the consolidated financial statements and related notes, each of which is included elsewhere in this Annual Report on Form 10-K.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Presented below is our historical financial data for the periods and as of the dates indicated. The historical financial data for the years ended December 31, 2019, 2018 and 2017 and the balance sheet data as of December 31, 2019 and 2018 are derived from our audited consolidated financial statements included elsewhere in this Annual Report on Form 10-K. The historical financial data for the year ended December 31, 2016 and 2015 and the balance sheet data as of December 31, 2017, 2016 and 2015 are derived from our audited financial statements not included in this Annual Report on Form 10-K.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(In millions, except per share amounts, shares 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Diamondback Energy,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104,929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63,019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0.9375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results of operations for 2018 include those of Energen and its subsidiaries acquired by us in the merger from the period of November 29, 2018, the closing date of the Energen merger, through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stockholders’/ members’ equity</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14,167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2,109</w:t>
            </w:r>
          </w:p>
        </w:tc>
      </w:tr>
      <w:tr>
        <w:trPr>
          <w:trHeight w:val="45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468</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Consolidated Adjusted EBITDA</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bl>
    <w:p>
      <w:pPr>
        <w:jc w:val="both"/>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years ended December 31, 2019, 2018, 2017, 2016 and 2015, total stockholders’ equity excludes $738 million, $467 million, $327 million, $321 million and $233 million, respectively, of non-controlling interest related to Viper Energy Partners LP. For the year ended December 31, 2019, total stockholders’ equity excludes $919 million of non-controlling interest related to Rattler Midstream LP.</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Adjusted EBITDA is a supplemental non-GAAP financial measure. For our definition of Consolidated Adjusted EBITDA and a reconciliation of Consolidated Adjusted EBITDA to net income (loss) see “–Non-GAAP financial measure and reconciliation”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and reconciliation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Adjusted EBITDA is a supplemental non-GAAP financial measure that is used by management and external users of our financial statements, such as industry analysts, investors, lenders and rating agencies. We define Adjusted EBITDA as net income (loss) plus non-cash (gain) loss on derivative instruments, net, net interest expense, depreciation, depletion and amortization expense, impairment of oil and natural gas properties, non-cash equity-based compensation expense, capitalized equity-based compensation expense, asset retirement obligation accretion expense, (gain) loss on revaluation of investment, loss on extinguishment of debt, merger and integration expense, income tax (benefit) provision and non-controlling interest in net (income) loss. Adjusted EBITDA is not a measure of net income (loss) as determined by GAAP. Management believes Adjusted EBITDA is useful because it allows it to more effectively evaluate our operating performance and compare the results of our operations from period to period without regard to our financing methods or capital structure. We add the items listed above to net income (loss)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revolving credit facility or any of our other contracts.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8"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presents a reconciliation of the non-GAAP financial measure of Adjusted EBITDA to the GAAP financial measure of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loss (gain) on derivative instruments,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oil and natural gas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equity-based compensation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on revaluation of investment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 in net (income)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Adjusted EBITDA attributable to Diamondback Energy,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5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appearing elsewhere in this Annual Report on Form 10–K.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in two business segments: (i) the upstream segment, which is engaged in the acquisition, development, exploration and exploitation of unconventional, onshore oil and natural gas reserves in the Permian Basin in West Texas and (ii) through our subsidiary, Rattler, the midstream operations segment, which is focused on ownership, operation, development and acquisition of the midstream infrastructure assets in the Midland and Delaware Basins of the Permian Basin.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we had approximately 382,337 net acres, which primarily consisted of approximately 195,461 net acres in the Midland Basin and approximately 155,296 net acres in the Delaware Basin. As of December 31, 2019, we had an estimated 12,310 gross horizontal locations that we believe to be economic at $60.00 per Bbl West Texas Intermediate, or WTI.</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our publicly traded subsidiary Viper owns mineral interests underlying approximately 814,224 gross acres and 24,304 net royalty acres in the Permian Basin and Eagle Ford Shale. Approximately 50% of these net royalty acres are operated by us. We own Viper’s general partner and, together with one of our subsidiaries, approximately 58% of the limited partner interest in Viper, represented by common units and Class B units. We, as the holder of the Class B units in Viper and Viper’s general partner, as the holder of the general partner interest, are entitled to receive cash preferred distributions equal to 8% per annum on the outstanding amount of their respective capital contributions payable quarterly.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frac pits, pipelines and water treatment facilities, which collectively gather and distribute water from Permian Basin aquifers to the drilling and completion sites through buried pipelines and temporary surface pipelines. Rattler’s gathering and disposal system spans approximately 474 miles and consists of gathering pipelines along with produced water disposal, or PWD, wells and facilities which collectively gather and dispose of produced water from operations throughout our Permian Basin acreage.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 and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Midstream LP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Rattler is a publicly traded Delaware limited partnership, the common units of which are listed on the Nasdaq Global Select Market under the symbol “RTLR”. Rattler was formed by us in July 2018 to own, operate, develop and acquire midstream infrastructure assets in the Midland and Delaware Basins of the Permian Basin. Rattler Midstream GP LLC, or Rattler’s General Partner, a wholly-owned subsidiary of us, serves as the general partner of Rattler. As of December 31, 2019, we owned approximately 71% of Rattler’s total units outstanding.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Rattler completed its initial public offering, which we refer to as the Rattler Offering. Prior to the completion of the Rattler Offering, we owned all of the general and limited partner interests in Rattler. The Rattler Offering consisted of an aggregate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the completion of the Rattler Offering, Rattler (i) issued 107,815,152 Class B units representing an aggregate 71% voting limited partner interest in Rattler in exchange for a $1 million cash contribution from us, (ii) issued a general partner interest in Rattler to Rattler’s general partner, in exchange for a $1 million cash contribution from Rattler’s general partner, and (iii) caused Rattler LLC to make a distribution of approximately $727 million to us. We, as the beneficial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2019 Dividend Declaration and Increase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14, 2020, our board of directors declared a cash dividend for the fourth quarter of 2019 of $0.3750 per share of common stock, payable on March 10, 2020 to our stockholders of record at the close of business on March 3, 2020, representing an increase of $0.1875 per share from the previously paid quarterly dividend.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2019, our board of directors approved a stock repurchase program to acquire up to $2 billion of our outstanding common stock through December 31, 2020. This repurchase program is another component of our capital return program that includes the quarterly dividend discussed above. We anticipate that the repurchase program will be funded primarily by free cash flow generated from operations and liquidity events such as the sale of assets. Purchases under the repurchase program may be made from time to time in open market or privately negotiated transactions, and are subject to market conditions, applicable legal requirements, contractual obligations and other factors. The repurchase program does not require us to acquire any specific number of shares. This repurchase program may be suspended from time to time, modified, extended or discontinued by the board of directors at any time. During the year ended December 31, 2019, we repurchased approximately $598 million of common stock under our repurchase program. As of December 31, 2019, $1.4 billion remains available for use to repurchase shares under our common stock repurchase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23, 2019, we completed our divestiture of 6,589 net acres of certain non-core Permian assets, which we acquired in the Energen merger, for an aggregate sale price of $37 million. This divestiture did not result in a gain or loss because it did not have a significant effect on our reserve base or depreciation, depletion and amortization rate.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 2019, we completed our divestiture of 103,750 net acres of certain conventional and non-core Permian assets, which we acquired in the Energen merger, for an aggregate sale price of $285 million. This divestiture did not result in a gain or loss because it did not have a significant effect on our reserve base or depreciation, depletion and amortization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Equity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we owned approximately 54% of Viper’s total units then outstanding. Viper received net proceeds from this offering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approximately $341 million, after deducting underwriting discounts and commissions and estimated offering expenses. Viper used the net proceeds to purchase units of Viper LLC. Viper LLC in turn used the net proceeds to repay a portion of the outstanding borrowings under its revolving credit facility and finance acquisitions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October 1, 2019, we completed a transaction to divest certain mineral and royalty interests to Viper for 18.3 million of Viper’s newly-issued Class B units, 18.3 million newly-issued units of Viper LLC with </w:t>
      </w:r>
      <w:r>
        <w:rPr>
          <w:rFonts w:ascii="Arial" w:cs="Arial" w:eastAsia="Arial" w:hAnsi="Arial"/>
          <w:sz w:val="18"/>
          <w:szCs w:val="18"/>
          <w:color w:val="231F20"/>
        </w:rPr>
        <w:t>a fair value of</w:t>
      </w:r>
      <w:r>
        <w:rPr>
          <w:rFonts w:ascii="Arial" w:cs="Arial" w:eastAsia="Arial" w:hAnsi="Arial"/>
          <w:sz w:val="18"/>
          <w:szCs w:val="18"/>
          <w:color w:val="auto"/>
        </w:rPr>
        <w:t xml:space="preserve"> $497 million and $190 million in cash, after giving effect to closing adjustments for net title benefits, which we refer to as the Drop-Down. The mineral and royalty interests divested in the Drop-Down represent approximately 5,490 net royalty acres across the Midland and Delaware Basins, of which over 95% are operated by us, and have an average net royalty interest of approximately 3.2%.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the Borrowing Base under Viper LLC’s Revolving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Viper LLC’s fall redetermination in November 2019, the borrowing base under Viper LLC’s revolving credit facility was increased from $725 million to $775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16, 2019, Viper completed an offering, which we refer to as the Viper Notes Offering, of $500 million in aggregate principal amount of its 5.375% senior notes due 2027, which we refer to as the Viper Notes. Viper received net proceeds of approximately $490 million from the Viper Notes Offering. Viper loaned the gross proceeds to Viper LLC. Viper LLC used the proceeds from the Viper Notes Offering to pay down borrowings under its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2019 Notes Offering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5, 2019, we issued $1.0 billion in aggregate principal amount of 2.875% senior notes due 2024, which we refer to as the 2024 notes, $800 million in aggregate principal amount of 3.250% senior notes due 2026, which we refer to as the 2026 notes, and $1.2 billion aggregate principal amount of 3.500% senior notes due 2029, which we refer to as the 2029 notes and, together with the 2024 notes and the 2026 notes, the December 2019 Notes.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fully and unconditionally guaranteed by Diamondback O&amp;G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the Outstanding 4.750% Senior Notes.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December 20, 2019, we redeemed all of our then outstanding 4.750% Senior Notes due 2024, which we refer to as the 4.750% senior notes, with a portion of our net proceeds from the issuance of the December 2019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operating 23 drilling rigs now including two rigs drilling produced water disposal wells and currently intend to operate between 20 and 23 drilling rigs in 2020 on average across our asset base in the Midland and Delaware Basins.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Midland Basin, we continued to have positive results across our core development areas located within Midland, Martin, Howard, Glasscock and Andrews counties, where development has primarily focused on drilling long-lateral, multi-well pads targeting the Spraberry and Wolfcamp formations.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Delaware Basin, we have now drilled and completed a significant number of wells in Pecos, Reeves and Ward counties targeting the Wolfcamp A, which we believe has been de-risked across a significant portion of our total acreage position and remains our primary development target. In 2020, we expect to focus development on these areas.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focus on low cost operations and best in class execution. To combat potential fluctuation in service costs, we have looked to lock in pricing for dedicated activity levels and will continue to seek opportunities to control additional well cost where possible. Our 2020 drilling and completion budget accounts for capital costs that we believe cover potential increases in our service costs during the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2020, we remain focused on navigating our industry challenges by staying disciplined, improving our industry-leading cost structure, growing production, increasing environmental transparency and returning more cash to our stockholders as evidenced by our quarterly dividend increase beginning with the fourth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Capital Budget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currently budgeted a 2020 total capital spend of $2.8 billion to $3.0 billion, consisting of $2.45 billion to $2.6 billion for horizontal drilling and completions including non-operated activity, $200 million to $225 million for midstream investments, excluding joint venture investments, and $150 million to $175 million for infrastructure and other expenditures, excluding the cost of any leasehold and mineral interest acquisitions. We expect to drill and complete 320 to 360 gross horizontal wells in 2020. Should commodity prices weaken further or remain weak for an extended period of time, we intend to act responsibly and, consistent with our prior practices, reduce capital spending. If commodity prices strengthen, we intend to grow oil production within our 2020 budget and return cash to our stockholders or pay down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pricing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Ryder Scott prepared estimates of our proved reserves at December 31, 2019 and 2018 (which include estimated proved reserves attributable to Viper). The prices used to estimate proved reserves for all periods did not give effect to derivative transactions, were held constant throughout the life of the properties and have been adjusted for quality, transportation fees, geographical differentials, marketing bonuses or deductions and other factors affecting the price received at the wellhead.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1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As of December 31,</w:t>
            </w:r>
          </w:p>
        </w:tc>
      </w:tr>
      <w:tr>
        <w:trPr>
          <w:trHeight w:val="270"/>
        </w:trPr>
        <w:tc>
          <w:tcPr>
            <w:tcW w:w="82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710,903</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626,936</w:t>
            </w:r>
          </w:p>
        </w:tc>
      </w:tr>
      <w:tr>
        <w:trPr>
          <w:trHeight w:val="27"/>
        </w:trPr>
        <w:tc>
          <w:tcPr>
            <w:tcW w:w="8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1,118,811</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1,048,649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230,203</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190,291</w:t>
            </w:r>
          </w:p>
        </w:tc>
      </w:tr>
      <w:tr>
        <w:trPr>
          <w:trHeight w:val="27"/>
        </w:trPr>
        <w:tc>
          <w:tcPr>
            <w:tcW w:w="8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1,127,575</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992,001</w:t>
            </w:r>
          </w:p>
        </w:tc>
      </w:tr>
      <w:tr>
        <w:trPr>
          <w:trHeight w:val="27"/>
        </w:trPr>
        <w:tc>
          <w:tcPr>
            <w:tcW w:w="8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Unweighted Arithmetic Average</w:t>
            </w:r>
          </w:p>
        </w:tc>
      </w:tr>
      <w:tr>
        <w:trPr>
          <w:trHeight w:val="270"/>
        </w:trPr>
        <w:tc>
          <w:tcPr>
            <w:tcW w:w="8000" w:type="dxa"/>
            <w:vAlign w:val="bottom"/>
          </w:tcPr>
          <w:p>
            <w:pPr>
              <w:spacing w:after="0"/>
              <w:rPr>
                <w:sz w:val="23"/>
                <w:szCs w:val="23"/>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First-Day-of-the-Month Prices</w:t>
            </w:r>
          </w:p>
        </w:tc>
        <w:tc>
          <w:tcPr>
            <w:tcW w:w="520" w:type="dxa"/>
            <w:vAlign w:val="bottom"/>
          </w:tcPr>
          <w:p>
            <w:pPr>
              <w:spacing w:after="0"/>
              <w:rPr>
                <w:sz w:val="23"/>
                <w:szCs w:val="23"/>
                <w:color w:val="auto"/>
              </w:rPr>
            </w:pPr>
          </w:p>
        </w:tc>
      </w:tr>
      <w:tr>
        <w:trPr>
          <w:trHeight w:val="27"/>
        </w:trPr>
        <w:tc>
          <w:tcPr>
            <w:tcW w:w="8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51.88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59.63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15.65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24.43</w:t>
            </w:r>
          </w:p>
        </w:tc>
      </w:tr>
      <w:tr>
        <w:trPr>
          <w:trHeight w:val="27"/>
        </w:trPr>
        <w:tc>
          <w:tcPr>
            <w:tcW w:w="8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upstream segment, our main sources of revenues are the sale of oil and natural gas production, as well as the sale of natural gas liquids that are extracted from our natural gas during processing.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midstream operations segment, our results are primarily driven by: the volumes of crude oil that Rattler gathers, transports and delivers; natural gas that Rattler gathers, compresses, transports and delivers; water that Rattler sources, transports and delivers; and produced water that Rattler gathers, transports and disposes of, and the fees Rattler charges per unit of throughput for our midstream services.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3"/>
        </w:trPr>
        <w:tc>
          <w:tcPr>
            <w:tcW w:w="844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presents the sources of our oil and natural gas revenues for the years presented: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9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12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Oil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12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Natural gas liquid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28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our production, in our exploration and production business, consists primarily of oil, our revenues are more sensitive to fluctuations in oil prices than they are to fluctuations in natural gas or natural gas liquids prices. Viper, as the owner of mineral interests, is also indirectly exposed to fluctuations in commodity prices. Oil, natural gas and natural gas liquids prices have historically been volatile.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related to commodity prices for the following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Year Ended December 31,</w:t>
            </w:r>
          </w:p>
        </w:tc>
      </w:tr>
      <w:tr>
        <w:trPr>
          <w:trHeight w:val="27"/>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High and Low Futures Contract Prices: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500"/>
              <w:spacing w:after="0"/>
              <w:rPr>
                <w:sz w:val="20"/>
                <w:szCs w:val="20"/>
                <w:color w:val="auto"/>
              </w:rPr>
            </w:pPr>
            <w:r>
              <w:rPr>
                <w:rFonts w:ascii="Arial" w:cs="Arial" w:eastAsia="Arial" w:hAnsi="Arial"/>
                <w:sz w:val="18"/>
                <w:szCs w:val="18"/>
                <w:color w:val="auto"/>
              </w:rPr>
              <w:t>Oil ($/Bbl, WTI Futures Contract 1)</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High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76.41</w:t>
            </w:r>
          </w:p>
        </w:tc>
      </w:tr>
      <w:tr>
        <w:trPr>
          <w:trHeight w:val="243"/>
        </w:trPr>
        <w:tc>
          <w:tcPr>
            <w:tcW w:w="8420" w:type="dxa"/>
            <w:vAlign w:val="bottom"/>
          </w:tcPr>
          <w:p>
            <w:pPr>
              <w:ind w:left="1460"/>
              <w:spacing w:after="0"/>
              <w:rPr>
                <w:sz w:val="20"/>
                <w:szCs w:val="20"/>
                <w:color w:val="auto"/>
              </w:rPr>
            </w:pPr>
            <w:r>
              <w:rPr>
                <w:rFonts w:ascii="Arial" w:cs="Arial" w:eastAsia="Arial" w:hAnsi="Arial"/>
                <w:sz w:val="18"/>
                <w:szCs w:val="18"/>
                <w:color w:val="auto"/>
              </w:rPr>
              <w:t>Low</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42.53</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($/MMBtu, Futures Contract 1)</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460"/>
              <w:spacing w:after="0"/>
              <w:rPr>
                <w:sz w:val="20"/>
                <w:szCs w:val="20"/>
                <w:color w:val="auto"/>
              </w:rPr>
            </w:pPr>
            <w:r>
              <w:rPr>
                <w:rFonts w:ascii="Arial" w:cs="Arial" w:eastAsia="Arial" w:hAnsi="Arial"/>
                <w:sz w:val="18"/>
                <w:szCs w:val="18"/>
                <w:color w:val="auto"/>
              </w:rPr>
              <w:t>High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4.84</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Low</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r>
      <w:tr>
        <w:trPr>
          <w:trHeight w:val="324"/>
        </w:trPr>
        <w:tc>
          <w:tcPr>
            <w:tcW w:w="8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WTI Futures Contract 1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64.90</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WTI Futures Contract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realized oil price to WTI Futures Contract 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1.76</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Natural Gas Futures Contract 1 ($/Mcf)</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3.07</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Differential to Natural Gas Futures Contract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Natural Gas Futures Contract 1</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WTI Futures Contract 1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64.90</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WTI Futures Contract 1</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31, 2019, the WTI Futures Contract 1 price for crude oil was $61.06 per Bbl and the Natural Gas Futures Contract 1 price was $2.19 per MMBtu.</w:t>
      </w:r>
    </w:p>
    <w:p>
      <w:pPr>
        <w:sectPr>
          <w:pgSz w:w="11900" w:h="16838" w:orient="portrait"/>
          <w:cols w:equalWidth="0" w:num="1">
            <w:col w:w="11420"/>
          </w:cols>
          <w:pgMar w:left="240" w:top="10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08"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Lease operating expenses. </w:t>
      </w:r>
      <w:r>
        <w:rPr>
          <w:rFonts w:ascii="Arial" w:cs="Arial" w:eastAsia="Arial" w:hAnsi="Arial"/>
          <w:sz w:val="18"/>
          <w:szCs w:val="18"/>
          <w:color w:val="auto"/>
        </w:rPr>
        <w:t>These are daily costs incurred to bring oil and natural gas out of the ground and to the market, together with the daily</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to maintain our producing properties. Such costs also include maintenance, repairs and workover expenses related to our oil and natural gas properties.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Production and ad valorem taxes. </w:t>
      </w:r>
      <w:r>
        <w:rPr>
          <w:rFonts w:ascii="Arial" w:cs="Arial" w:eastAsia="Arial" w:hAnsi="Arial"/>
          <w:sz w:val="18"/>
          <w:szCs w:val="18"/>
          <w:color w:val="auto"/>
        </w:rPr>
        <w:t>Production taxes are paid on produced oil and natural gas based on a percentage of revenues from products sold at</w:t>
      </w:r>
      <w:r>
        <w:rPr>
          <w:rFonts w:ascii="Arial" w:cs="Arial" w:eastAsia="Arial" w:hAnsi="Arial"/>
          <w:sz w:val="18"/>
          <w:szCs w:val="18"/>
          <w:i w:val="1"/>
          <w:iCs w:val="1"/>
          <w:color w:val="auto"/>
        </w:rPr>
        <w:t xml:space="preserve"> </w:t>
      </w:r>
      <w:r>
        <w:rPr>
          <w:rFonts w:ascii="Arial" w:cs="Arial" w:eastAsia="Arial" w:hAnsi="Arial"/>
          <w:sz w:val="18"/>
          <w:szCs w:val="18"/>
          <w:color w:val="auto"/>
        </w:rPr>
        <w:t>fixed rates established by federal, state or local taxing authorities. Where available, we benefit from tax credits and exemptions in our various taxing jurisdictions. We are also subject to ad valorem taxes in the counties where our production is located. Ad valorem taxes are generally based on the valuation of our oil and gas properties.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These are costs incurred for overhead, including payroll and benefits for our corporate staff,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our headquarters, costs of managing our production and development operations, franchise taxes, audit and other fees for professional services and legal compliance.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Midstream services expense. </w:t>
      </w:r>
      <w:r>
        <w:rPr>
          <w:rFonts w:ascii="Arial" w:cs="Arial" w:eastAsia="Arial" w:hAnsi="Arial"/>
          <w:sz w:val="18"/>
          <w:szCs w:val="18"/>
          <w:color w:val="auto"/>
        </w:rPr>
        <w:t>These are costs incurred to operate and maintain our oil and natural gas gathering and transportation systems,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gas lift, compression infrastructure and water transportation facilities.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Depreciation, depletion and amortization. </w:t>
      </w:r>
      <w:r>
        <w:rPr>
          <w:rFonts w:ascii="Arial" w:cs="Arial" w:eastAsia="Arial" w:hAnsi="Arial"/>
          <w:sz w:val="17"/>
          <w:szCs w:val="17"/>
          <w:color w:val="auto"/>
        </w:rPr>
        <w:t>Under the full cost accounting method, we capitalize costs within a cost center and then systematically</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those costs on a units of production basis based on proved oil and natural gas reserve quantities. We calculate depletion on the following types of costs: (i) all capitalized costs, other than the cost of investments in unproved properties and major development projects for which proved reserves cannot yet be assigned, less accumulated amortization; (ii) the estimated future expenditures to be incurred in developing proved reserves; and (iii) the estimated dismantlement and abandonment costs, net of estimated salvage values. Depreciation of other property and equipment is computed using the straight line method over their estimated useful lives, which range from three to fifteen years.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Impairment of oil and natural gas properties. </w:t>
      </w:r>
      <w:r>
        <w:rPr>
          <w:rFonts w:ascii="Arial" w:cs="Arial" w:eastAsia="Arial" w:hAnsi="Arial"/>
          <w:sz w:val="17"/>
          <w:szCs w:val="17"/>
          <w:color w:val="auto"/>
        </w:rPr>
        <w:t>This is the cost to reduce proved oil and gas properties to the calculated full cost ceiling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(expense). </w:t>
      </w:r>
      <w:r>
        <w:rPr>
          <w:rFonts w:ascii="Arial" w:cs="Arial" w:eastAsia="Arial" w:hAnsi="Arial"/>
          <w:sz w:val="17"/>
          <w:szCs w:val="17"/>
          <w:color w:val="auto"/>
        </w:rPr>
        <w:t>We have financed a portion of our working capital requirements, capital expenditures and acquisitions with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revolving credit facility and our net proceeds from the issuance of the senior notes. We incur interest expense that is affected by both fluctuations in interest rates and our financing decisions. This amount reflects interest paid to our lender plus the amortization of deferred financing costs (including origination and amendment fees), commitment fees and annual agency fees net of interest received on our cash and cash equivalents.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Gain (loss) on derivative instruments, net</w:t>
      </w:r>
      <w:r>
        <w:rPr>
          <w:rFonts w:ascii="Arial" w:cs="Arial" w:eastAsia="Arial" w:hAnsi="Arial"/>
          <w:sz w:val="16"/>
          <w:szCs w:val="16"/>
          <w:color w:val="auto"/>
        </w:rPr>
        <w:t>. We utilize commodity derivative financial instruments to reduce our exposure to fluctuations in the price</w:t>
      </w:r>
      <w:r>
        <w:rPr>
          <w:rFonts w:ascii="Arial" w:cs="Arial" w:eastAsia="Arial" w:hAnsi="Arial"/>
          <w:sz w:val="16"/>
          <w:szCs w:val="16"/>
          <w:i w:val="1"/>
          <w:iCs w:val="1"/>
          <w:color w:val="auto"/>
        </w:rPr>
        <w:t xml:space="preserve"> </w:t>
      </w:r>
      <w:r>
        <w:rPr>
          <w:rFonts w:ascii="Arial" w:cs="Arial" w:eastAsia="Arial" w:hAnsi="Arial"/>
          <w:sz w:val="16"/>
          <w:szCs w:val="16"/>
          <w:color w:val="auto"/>
        </w:rPr>
        <w:t>of crude oil. This amount represents (i) the recognition of the change in the fair value of open non-hedge derivative contracts as commodity prices change and commodity derivative contracts expire or new ones are entered into, and (ii) our gains and losses on the settlement of these commodity derivative instruments.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Deferred tax assets (liabilities). </w:t>
      </w:r>
      <w:r>
        <w:rPr>
          <w:rFonts w:ascii="Arial" w:cs="Arial" w:eastAsia="Arial" w:hAnsi="Arial"/>
          <w:sz w:val="18"/>
          <w:szCs w:val="18"/>
          <w:color w:val="auto"/>
        </w:rPr>
        <w:t>We use the asset and liability method of accounting for income taxes, under which deferred tax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a discussion of the results of operations for the year ended December 31, 2018 as compared to the year ended December 31, 2017 refer to Part II, Item 7. Management's Discussion and Analysis in our 2018 Form 10-K, which was filed with the SEC on February 25, 2019, which discussion is incorporated in this report by reference from such prior report on Form 10-K. The following table sets forth selected historical operating data for the periods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Oil (MBbls)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68,518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34,367</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34,669</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Natural gas liquids (MBbls)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18,498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7,465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103,285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47,610</w:t>
            </w:r>
          </w:p>
        </w:tc>
      </w:tr>
      <w:tr>
        <w:trPr>
          <w:trHeight w:val="324"/>
        </w:trPr>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Daily oil volumes (BO/d)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187,721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94,156</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282,972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130,439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 per Bbl)</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Natural gas ($ per Mcf)</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 per Bbl)</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Combined ($ per BOE)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44.73</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6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51.20</w:t>
            </w:r>
          </w:p>
        </w:tc>
      </w:tr>
      <w:tr>
        <w:trPr>
          <w:trHeight w:val="270"/>
        </w:trPr>
        <w:tc>
          <w:tcPr>
            <w:tcW w:w="7660" w:type="dxa"/>
            <w:vAlign w:val="bottom"/>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0"/>
        </w:trPr>
        <w:tc>
          <w:tcPr>
            <w:tcW w:w="76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5"/>
                <w:szCs w:val="25"/>
                <w:color w:val="auto"/>
                <w:vertAlign w:val="superscript"/>
              </w:rPr>
              <w:t>(1)</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r>
      <w:tr>
        <w:trPr>
          <w:trHeight w:val="272"/>
        </w:trPr>
        <w:tc>
          <w:tcPr>
            <w:tcW w:w="7660" w:type="dxa"/>
            <w:vAlign w:val="bottom"/>
          </w:tcPr>
          <w:p>
            <w:pPr>
              <w:ind w:left="500"/>
              <w:spacing w:after="0" w:line="271"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42.20</w:t>
            </w:r>
          </w:p>
        </w:tc>
      </w:tr>
    </w:tbl>
    <w:p>
      <w:pPr>
        <w:ind w:left="340" w:right="2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liquids and natural gas production. The following tables set forth our production data for the years ended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9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44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Oil, Natural Gas Liquids and Natural Gas Revenues. </w:t>
      </w:r>
      <w:r>
        <w:rPr>
          <w:rFonts w:ascii="Arial" w:cs="Arial" w:eastAsia="Arial" w:hAnsi="Arial"/>
          <w:sz w:val="17"/>
          <w:szCs w:val="17"/>
          <w:color w:val="auto"/>
        </w:rPr>
        <w:t>Our oil, natural gas liquids and natural gas revenues increased by approximately $1.8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82%, to $3.9 billion for the year ended December 31, 2019 from $2.1 billion for the year ended December 31, 2018. Our revenues are a function of oil, natural gas liquids and natural gas production volumes sold and average sales prices received for those volumes. Average daily production sold increased by 152,533 BOE/d to 282,972 BOE/d during the year ended December 31, 2019 from 130,439 BOE/d during the year ended December 31, 2018. The total increase in revenue of approximately $1.8 billion is attributable to higher oil, natural gas liquids and natural gas production volumes, partially offset by lower average sales prices for the year ended December 31, 2019 as compared to the year ended December 31, 2018. The increase in production volumes were due to a combination of increased drilling activity and growth through acquisitions.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increased by 34,151 MBbls of oil, 62,944 MMcf of natural gas and 11,033 MBbls of natural gas liquids for the year ended December 31, 2019 as compared to the year ended December 31, 2018.</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change in prices of approximately $501 million (calculated as the change in period-to-period average prices multiplied by current period production volumes of oil, natural gas liquids and natural gas) and the net dollar effect of the change in production of approximately $2.3 billion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Production</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387"/>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Prior period</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prices</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34,151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1,867</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r>
      <w:tr>
        <w:trPr>
          <w:trHeight w:val="237"/>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17145</wp:posOffset>
            </wp:positionV>
            <wp:extent cx="1012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Lease Bonus Revenue. </w:t>
      </w:r>
      <w:r>
        <w:rPr>
          <w:rFonts w:ascii="Arial" w:cs="Arial" w:eastAsia="Arial" w:hAnsi="Arial"/>
          <w:sz w:val="18"/>
          <w:szCs w:val="18"/>
          <w:color w:val="auto"/>
        </w:rPr>
        <w:t>The following table shows lease bonus revenue for the years ended December 31, 2019 and 2018:</w:t>
      </w:r>
    </w:p>
    <w:p>
      <w:pPr>
        <w:spacing w:after="0" w:line="167"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08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580" w:val="left"/>
          <w:tab w:leader="none" w:pos="9740" w:val="left"/>
          <w:tab w:leader="none" w:pos="10060" w:val="left"/>
          <w:tab w:leader="none" w:pos="11200" w:val="left"/>
        </w:tabs>
        <w:rPr>
          <w:sz w:val="20"/>
          <w:szCs w:val="20"/>
          <w:color w:val="auto"/>
        </w:rPr>
      </w:pPr>
      <w:r>
        <w:rPr>
          <w:rFonts w:ascii="Arial" w:cs="Arial" w:eastAsia="Arial" w:hAnsi="Arial"/>
          <w:sz w:val="18"/>
          <w:szCs w:val="18"/>
          <w:color w:val="auto"/>
        </w:rPr>
        <w:t>Lease bonus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w:t>
        <w:tab/>
        <w:t>$</w:t>
      </w:r>
      <w:r>
        <w:rPr>
          <w:sz w:val="20"/>
          <w:szCs w:val="20"/>
          <w:color w:val="auto"/>
        </w:rPr>
        <w:tab/>
      </w:r>
      <w:r>
        <w:rPr>
          <w:rFonts w:ascii="Arial" w:cs="Arial" w:eastAsia="Arial" w:hAnsi="Arial"/>
          <w:sz w:val="17"/>
          <w:szCs w:val="17"/>
          <w:color w:val="auto"/>
        </w:rPr>
        <w:t>3</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Lease bonus revenue for the year ended December 31, 2019 was attributable to lease bonus payments of less than $1 million to extend the term of seven leases and lease bonus payments of $3 million on 12 new leases. Lease bonus revenue for the year ended December 31, 2018 was attributable to lease bonus payments of $1 million to extend the term of two leases and lease bonus payments of $2 million on five new leases.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Midstream Services Revenue. </w:t>
      </w:r>
      <w:r>
        <w:rPr>
          <w:rFonts w:ascii="Arial" w:cs="Arial" w:eastAsia="Arial" w:hAnsi="Arial"/>
          <w:sz w:val="17"/>
          <w:szCs w:val="17"/>
          <w:color w:val="auto"/>
        </w:rPr>
        <w:t>The following table shows midstream services revenue for the years ended December 31, 2019 and 2018:</w:t>
      </w:r>
    </w:p>
    <w:p>
      <w:pPr>
        <w:spacing w:after="0" w:line="179"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08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580" w:val="left"/>
          <w:tab w:leader="none" w:pos="9640" w:val="left"/>
          <w:tab w:leader="none" w:pos="10060" w:val="left"/>
          <w:tab w:leader="none" w:pos="11120" w:val="left"/>
        </w:tabs>
        <w:rPr>
          <w:sz w:val="20"/>
          <w:szCs w:val="20"/>
          <w:color w:val="auto"/>
        </w:rPr>
      </w:pPr>
      <w:r>
        <w:rPr>
          <w:rFonts w:ascii="Arial" w:cs="Arial" w:eastAsia="Arial" w:hAnsi="Arial"/>
          <w:sz w:val="18"/>
          <w:szCs w:val="18"/>
          <w:color w:val="auto"/>
        </w:rPr>
        <w:t>Midstream services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w:t>
        <w:tab/>
        <w:t>$</w:t>
      </w:r>
      <w:r>
        <w:rPr>
          <w:sz w:val="20"/>
          <w:szCs w:val="20"/>
          <w:color w:val="auto"/>
        </w:rPr>
        <w:tab/>
      </w:r>
      <w:r>
        <w:rPr>
          <w:rFonts w:ascii="Arial" w:cs="Arial" w:eastAsia="Arial" w:hAnsi="Arial"/>
          <w:sz w:val="16"/>
          <w:szCs w:val="16"/>
          <w:color w:val="auto"/>
        </w:rPr>
        <w:t>34</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20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0480" w:type="dxa"/>
            <w:vAlign w:val="bottom"/>
            <w:gridSpan w:val="9"/>
          </w:tcPr>
          <w:p>
            <w:pPr>
              <w:ind w:left="660"/>
              <w:spacing w:after="0"/>
              <w:rPr>
                <w:sz w:val="20"/>
                <w:szCs w:val="20"/>
                <w:color w:val="auto"/>
              </w:rPr>
            </w:pPr>
            <w:r>
              <w:rPr>
                <w:rFonts w:ascii="Arial" w:cs="Arial" w:eastAsia="Arial" w:hAnsi="Arial"/>
                <w:sz w:val="18"/>
                <w:szCs w:val="18"/>
                <w:b w:val="1"/>
                <w:bCs w:val="1"/>
                <w:i w:val="1"/>
                <w:iCs w:val="1"/>
                <w:color w:val="auto"/>
                <w:w w:val="92"/>
              </w:rPr>
              <w:t xml:space="preserve">Lease Operating Expenses. </w:t>
            </w:r>
            <w:r>
              <w:rPr>
                <w:rFonts w:ascii="Arial" w:cs="Arial" w:eastAsia="Arial" w:hAnsi="Arial"/>
                <w:sz w:val="18"/>
                <w:szCs w:val="18"/>
                <w:color w:val="auto"/>
                <w:w w:val="92"/>
              </w:rPr>
              <w:t>The following table shows lease operating expenses for the years ended December 31, 2019 and 2018:</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5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 except per BOE amounts)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7"/>
        </w:trPr>
        <w:tc>
          <w:tcPr>
            <w:tcW w:w="128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Lease operating expenses for the year ended December 31, 2019 as compared to the year ended December 31, 2018 increased by $285 million, or $0.43 per BOE. In both cases, lease operating expenses increased primarily due to increased power generation costs as a result of reduced electrical availability as well as increased production and the higher cost of the Central Basin Platform assets which were divested during 2019. We are actively working to mitigate this issue and expect these costs to decrease in the future.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BOE amounts)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Ad valorem taxes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0.61</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production and ad valorem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production taxes and ad valorem taxes are directly related to commodity price changes; however, Texas ad valorem taxes are based upon prior year commodity prices, among other factors, whereas production taxes are based upon current year commodity prices. Production taxes for the year ended December 31, 2019 as compared to the year ended December 31, 2018 increased by $80 million due to increased overall production from acquisitions and well completions. Production taxes per BOE for the year ended December 31, 2019 as compared to the year ended December 31, 2018 decreased by $0.40 primarily due to a higher percentage increase in production volumes as compared to production taxes. Ad valorem taxes for the year ended December 31, 2019 as compared to the year ended December 31, 2018 increased by $35 million due to the addition of acquired and completed wells from the latter half of 2019.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The following table shows midstream services expense for the years ended December 31, 2019 and 2018:</w:t>
      </w:r>
    </w:p>
    <w:p>
      <w:pPr>
        <w:spacing w:after="0" w:line="179"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08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580" w:val="left"/>
          <w:tab w:leader="none" w:pos="9640" w:val="left"/>
          <w:tab w:leader="none" w:pos="10060" w:val="left"/>
          <w:tab w:leader="none" w:pos="11120" w:val="left"/>
        </w:tabs>
        <w:rPr>
          <w:sz w:val="20"/>
          <w:szCs w:val="20"/>
          <w:color w:val="auto"/>
        </w:rPr>
      </w:pPr>
      <w:r>
        <w:rPr>
          <w:rFonts w:ascii="Arial" w:cs="Arial" w:eastAsia="Arial" w:hAnsi="Arial"/>
          <w:sz w:val="18"/>
          <w:szCs w:val="18"/>
          <w:color w:val="auto"/>
        </w:rPr>
        <w:t>Midstream services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w:t>
        <w:tab/>
        <w:t>$</w:t>
      </w:r>
      <w:r>
        <w:rPr>
          <w:sz w:val="20"/>
          <w:szCs w:val="20"/>
          <w:color w:val="auto"/>
        </w:rPr>
        <w:tab/>
      </w:r>
      <w:r>
        <w:rPr>
          <w:rFonts w:ascii="Arial" w:cs="Arial" w:eastAsia="Arial" w:hAnsi="Arial"/>
          <w:sz w:val="16"/>
          <w:szCs w:val="16"/>
          <w:color w:val="auto"/>
        </w:rPr>
        <w:t>72</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Midstream services expense represents costs incurred to operate and maintain our oil and natural gas gathering and transportation systems, natural gas lift, compression infrastructure and water transportation facilities. Midstream services expense for the year ended December 31, 2019 as compared to the year ended December 31, 2018, increased by $19 million primarily due to increased volume and build out of the Rattler systems.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8"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following table provides the components of our depreciation, depletion and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years ended December 31, 2019 and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9"/>
              </w:rPr>
              <w:t>(in millions, except BOE amounts)</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r>
      <w:tr>
        <w:trPr>
          <w:trHeight w:val="23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r>
      <w:tr>
        <w:trPr>
          <w:trHeight w:val="27"/>
        </w:trPr>
        <w:tc>
          <w:tcPr>
            <w:tcW w:w="8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$803 million for the year ended December 31, 2019 as compared to the year ended December 31, 2018 resulted primarily from higher production levels and an increase in net book value on new reserves added.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The following table shows impairment of oil and natural gas properties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w w:val="94"/>
              </w:rPr>
              <w:t>Year Ended December 31,</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94"/>
              </w:rPr>
              <w:t>2018</w:t>
            </w:r>
          </w:p>
        </w:tc>
        <w:tc>
          <w:tcPr>
            <w:tcW w:w="4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oil and natural gas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790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11420" w:type="dxa"/>
            <w:vAlign w:val="bottom"/>
            <w:gridSpan w:val="11"/>
          </w:tcPr>
          <w:p>
            <w:pPr>
              <w:jc w:val="right"/>
              <w:spacing w:after="0"/>
              <w:rPr>
                <w:sz w:val="20"/>
                <w:szCs w:val="20"/>
                <w:color w:val="auto"/>
              </w:rPr>
            </w:pPr>
            <w:r>
              <w:rPr>
                <w:rFonts w:ascii="Arial" w:cs="Arial" w:eastAsia="Arial" w:hAnsi="Arial"/>
                <w:sz w:val="18"/>
                <w:szCs w:val="18"/>
                <w:b w:val="1"/>
                <w:bCs w:val="1"/>
                <w:i w:val="1"/>
                <w:iCs w:val="1"/>
                <w:color w:val="auto"/>
                <w:w w:val="95"/>
              </w:rPr>
              <w:t xml:space="preserve">General and Administrative Expenses. </w:t>
            </w:r>
            <w:r>
              <w:rPr>
                <w:rFonts w:ascii="Arial" w:cs="Arial" w:eastAsia="Arial" w:hAnsi="Arial"/>
                <w:sz w:val="18"/>
                <w:szCs w:val="18"/>
                <w:color w:val="auto"/>
                <w:w w:val="95"/>
              </w:rPr>
              <w:t>The following table shows general and administrative expenses for the years ended December 31, 2019 and</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94"/>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Pr>
          <w:p>
            <w:pPr>
              <w:spacing w:after="0"/>
              <w:rPr>
                <w:sz w:val="24"/>
                <w:szCs w:val="24"/>
                <w:color w:val="auto"/>
              </w:rPr>
            </w:pP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BOE amounts)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BOE</w:t>
            </w:r>
          </w:p>
        </w:tc>
        <w:tc>
          <w:tcPr>
            <w:tcW w:w="12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0.54</w:t>
            </w:r>
          </w:p>
        </w:tc>
        <w:tc>
          <w:tcPr>
            <w:tcW w:w="4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0.79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0.57</w:t>
            </w: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1.36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for the year ended December 31, 2019 as compared to the year ended December 31, 2018 increased by $39 million primarily due to an increase in salaries and benefits as a result of increased head count.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net interest expense for the years ended December 31, 2019 and 2018:</w:t>
      </w:r>
    </w:p>
    <w:p>
      <w:pPr>
        <w:spacing w:after="0" w:line="167"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08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580" w:val="left"/>
          <w:tab w:leader="none" w:pos="9560" w:val="left"/>
          <w:tab w:leader="none" w:pos="10060" w:val="left"/>
          <w:tab w:leader="none" w:pos="11120" w:val="left"/>
        </w:tabs>
        <w:rPr>
          <w:sz w:val="20"/>
          <w:szCs w:val="20"/>
          <w:color w:val="auto"/>
        </w:rPr>
      </w:pPr>
      <w:r>
        <w:rPr>
          <w:rFonts w:ascii="Arial" w:cs="Arial" w:eastAsia="Arial" w:hAnsi="Arial"/>
          <w:sz w:val="18"/>
          <w:szCs w:val="18"/>
          <w:color w:val="auto"/>
        </w:rPr>
        <w:t>Net 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172</w:t>
        <w:tab/>
        <w:t>$</w:t>
      </w:r>
      <w:r>
        <w:rPr>
          <w:sz w:val="20"/>
          <w:szCs w:val="20"/>
          <w:color w:val="auto"/>
        </w:rPr>
        <w:tab/>
      </w:r>
      <w:r>
        <w:rPr>
          <w:rFonts w:ascii="Arial" w:cs="Arial" w:eastAsia="Arial" w:hAnsi="Arial"/>
          <w:sz w:val="16"/>
          <w:szCs w:val="16"/>
          <w:color w:val="auto"/>
        </w:rPr>
        <w:t>87</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interest expense for the year ended December 31, 2019 as compared to the year ended December 31, 2018, increased by $85 million. This increase was primarily due to increased average borrowings under our credit facility partially offset by a lower interest rate during the year ended December 31, 2019 as compared to the year ended December 31, 2018 as well as an increase in interest expense of $2 million related to our DrillCo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The following table shows the gain (loss) on derivative instruments, net for the years ended December 31,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millions)</w:t>
            </w:r>
          </w:p>
        </w:tc>
        <w:tc>
          <w:tcPr>
            <w:tcW w:w="9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following table shows provision for income taxes for the years ended December 31, 2019 and 2018:</w:t>
      </w:r>
    </w:p>
    <w:p>
      <w:pPr>
        <w:spacing w:after="0" w:line="167"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08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580" w:val="left"/>
          <w:tab w:leader="none" w:pos="9640" w:val="left"/>
          <w:tab w:leader="none" w:pos="10060" w:val="left"/>
          <w:tab w:leader="none" w:pos="11020" w:val="left"/>
        </w:tabs>
        <w:rPr>
          <w:sz w:val="20"/>
          <w:szCs w:val="20"/>
          <w:color w:val="auto"/>
        </w:rPr>
      </w:pPr>
      <w:r>
        <w:rPr>
          <w:rFonts w:ascii="Arial" w:cs="Arial" w:eastAsia="Arial" w:hAnsi="Arial"/>
          <w:sz w:val="18"/>
          <w:szCs w:val="18"/>
          <w:color w:val="auto"/>
        </w:rPr>
        <w:t>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6"/>
          <w:szCs w:val="16"/>
          <w:color w:val="auto"/>
        </w:rPr>
        <w:t>168</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our income tax provision was primarily due to the decrease in pre-tax income for the year ended December 31, 2019 and the change in the deferred income tax benefit resulting from estimated deferred taxes recognized as a result of Viper’s change in tax status for the years ended December 31,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primary sources of liquidity have been proceeds from our public equity offerings, borrowings under our revolving credit facility, proceeds from the issuance of the senior notes and cash flows from operations. Our primary use of capital has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2"/>
        </w:trPr>
        <w:tc>
          <w:tcPr>
            <w:tcW w:w="8120" w:type="dxa"/>
            <w:vAlign w:val="bottom"/>
          </w:tcPr>
          <w:p>
            <w:pPr>
              <w:ind w:left="660"/>
              <w:spacing w:after="0"/>
              <w:rPr>
                <w:sz w:val="20"/>
                <w:szCs w:val="20"/>
                <w:color w:val="auto"/>
              </w:rPr>
            </w:pPr>
            <w:r>
              <w:rPr>
                <w:rFonts w:ascii="Arial" w:cs="Arial" w:eastAsia="Arial" w:hAnsi="Arial"/>
                <w:sz w:val="18"/>
                <w:szCs w:val="18"/>
                <w:color w:val="auto"/>
              </w:rPr>
              <w:t>Our cash flows for the years ended December 31, 2019 and 2018 are presented below:</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9"/>
        </w:trPr>
        <w:tc>
          <w:tcPr>
            <w:tcW w:w="8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millions)</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(3,503)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cash</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Net cash provided by operating activities was $2.7 billion for the year ended December 31, 2019 as compared to $1.6 billion for the year ended December 31, 2018. The increase in operating cash flows is primarily the result of an increase in our oil and natural gas revenues due to an increase in production during the year ended December 31, 2019, partially offset by lower average sales prices.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worldwide economic activity, weather and other substantially variable factors influence market conditions for these products. These factors are beyond our control and are difficult to predict. See “–Sources of our revenue” and Item 1A. “Risk Factors”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purchase and development of oil and natural gas properties accounted for the majority of our cash outlays for investing activities. We used cash for investing activities of $3.9 billion and $3.5 billion during the years ended December 31, 2019 and 2018, respectively.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2019, we spent (a) $2.7 billion on capital expenditures in conjunction with our drilling program, in which we drilled 330 gross (296 net) horizontal wells and completed 317 gross (289 net) operated horizontal wells, (b) $244 million on additions to midstream assets,</w:t>
      </w:r>
    </w:p>
    <w:p>
      <w:pPr>
        <w:ind w:firstLine="8"/>
        <w:spacing w:after="0" w:line="261" w:lineRule="auto"/>
        <w:tabs>
          <w:tab w:leader="none" w:pos="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$333 million for the acquisition of mineral interests, (d) $443 million on leasehold acquisitions, (e) $5 million for the purchase of other property and equipment, (f) $1 million on investment in real estate and (g) $485 million on equity method investments.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2018, we spent (a) $1.5 billion on capital expenditures in conjunction with our drilling program, in which we drilled 189 gross (168 net) horizontal wells and completed 176 gross (155 net) operated horizontal wells, (b) $204 million on additions to midstream assets,</w:t>
      </w:r>
    </w:p>
    <w:p>
      <w:pPr>
        <w:ind w:firstLine="8"/>
        <w:spacing w:after="0" w:line="261" w:lineRule="auto"/>
        <w:tabs>
          <w:tab w:leader="none" w:pos="2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$440 million for the acquisition of mineral interests, (d) $1.4 billion on leasehold acquisitions, (e) $7 million for the purchase of other property and equipment and (f) $111 million on investment in real estate.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years ended December 31, 2019 and 2018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5"/>
              </w:rPr>
              <w:t>(in thousands)</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in real estate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(3,888)</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(3,503)</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“us, “we” or “our” shall mean Diamondback Energy, Inc. and Diamondback O&amp;G LLC, collectively, unless otherwise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financing activities for the years ended December 31, 2019 and 2018 was $1.1 billion and $2.0 billion, respectively.</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year ended December 31, 2019, the amount provided by financing activities was primarily attributable to $341 million in net proceeds from Viper’s public offering completed on March 1, 2019, $720 million in net proceeds from the Rattler Offering, $39 million in proceeds from joint ventures and $2.2 billion in proceeds from the December 2019 Notes, net of repayments, partially offset by $1.4 billion of repayments, net of borrowings under our credit facility, $44 million of premium on debt extinguishment, $122 million of distributions to non-controlling interest, $13 million of share repurchases for tax withholdings, $593 million of share repurchases as part of our stock repurchase program and $112 million of dividends to stockholders.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2018, the amount provided by financing activities was primarily attributable to the issuance of $1.1 billion of new senior notes, $1.4 billion of borrowings, net of repayments under our credit facility, $559 million of repayments under Energen’s credit facility and an aggregate of $305 million of net proceeds from Viper’s public offerings, partially offset by $98 million of distributions to non-controlling interest and $37 million of dividends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4.750% Senior Notes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28, 2016, we issued $500.0 million in aggregate principal amount of 4.750% senior notes due 2024 under an indenture among us, the subsidiary guarantors party thereto and Wells Fargo, as the trustee. On September 25, 2018, we issued $750 million aggregate principal amount of new 4.750% senior notes as additional notes under, and subject to the terms of the same indenture governing the 4.750% senior notes. We received approximately $741 million in net proceeds, after deducting the initial purchasers’ discount and our estimated offering expenses, but disregarding accrued interest, from the issuance of the 4.750% senior notes. We used a portion of the net proceeds from the issuance of the 4.750% senior notes to repay a portion of the outstanding borrowings our revolving credit facility and the balance for general corporate purposes, including funding a portion of the cash consideration for the acquisition of certain assets from Ajax Resources LLC.</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2019, we redeemed all of the outstanding 4.750% senior notes, which we refer to as the Redemption Date. The redemption payment, which we refer to the Redemption Payment, included $1.25 billion of outstanding principal at a redemption price of 103.563% of the principal amount of the 4.750% senior notes, plus accrued and unpaid interest on the outstanding principal amount to the Redemption Date. On December 5, 2019, the indenture governing the 4.750% senior notes was fully satisfied and discharged and the guarantors were released from their guarantees of the 4.750% senior notes. The 4.750% senior notes, which bore interest at 4.750% per year, were scheduled to mature on November 1, 2024. On the Redemption Date, the Redemption Price will be paid to the holders of the 4.750% senior notes. We funded the Redemption Payment with a portion of our net proceeds from the issuance of the December 2019 Notes.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4.750% senior notes, bore interest at a rate of 4.750% per annum, payable semi-annually, in arrears on May 1 and November 1 of each year, commencing on May 1, 2017, and would have matured on November 1, 2024. All of our restricted subsidiaries that guaranteed our revolving credit facility guaranteed the 4.750% senior notes; provided, however, that the 4.750% senior notes were not guaranteed by Viper, Viper’s General Partner, Viper LLC, Rattler, Rattler’s General Partner or Rattler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2016, we issued $500.0 million in aggregate principal amount of 5.375% senior notes due 2025, which we refer to as the exiting 2025 notes, under an indenture among us, the subsidiary guarantors party thereto and Wells Fargo, as the trustee, which we refer to as the 2025 indenture. On January 29, 2018, we issued $300.0 million aggregate principal amount of new 5.375% senior notes due 2025 as additional notes under the 2025 indenture, which we refer to as the new 2025 notes and, together with the existing 2025 notes, as the 2025 senior notes.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guarantee the 2025 senior notes. Currently, the 2025 senior notes are not guaranteed by any of our subsidiaries other than Diamondback O&amp;G LLC and will not be guaranteed by any of our future unrestricted subsidiaries.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the 2025 senior notes, see Note 10—Debt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2019 Notes Offering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5, 2019, we issued $1.0 billion in aggregate principal amount of 2.875% senior notes due 2024, $800 million in aggregate principal amount of 3.250% senior notes due 2026 and $1.2 billion aggregate principal amount of 3.500% senior notes due 2029.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fully and unconditionally guaranteed by Diamondback O&amp;G LLC and are not guaranteed by any of our other subsidiaries.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December 2019 notes were issued under an indenture, dated as of December 5, 2019, among us and Wells Fargo Bank, as the trustee, as supplemented by the first supplemental indenture dated as of December 5, 2019, which we refer to as the December 2019 Notes Indenture. The December 2019 Notes Indenture contains certain covenants that, subject to certain exceptions and qualifications, among other things, limit our ability and the ability of certain of our subsidiaries to incur liens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securing funded indebtedness and on our ability to consolidate, merge or sell, convey, transfer or lease all or substantially all of our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the December 2019 Notes, see Note 10—Debt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(the “investment grade changeover date”). At December 31, 2019, the maximum credit amount available under the credit agreement is $2.0 billion. As of December 31, 2019, we had approximately $13 million of outstanding borrowings under our revolving credit facility and $1.99 billion available for future borrowings under our revolving credit facility.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and as of December 31, 2019, the credit agreement is guaranteed by Diamondback Energy, Inc. None of our other subsidiaries are guarantors under our revolving credit facility. On December 5, 2019, Diamondback O&amp;G LLC delivered a letter notifying the administrative agent under the credit agreement that as of such date, each of the guarantors, other than Diamondback Energy, Inc., ceased to be a guarantor under the credit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us that is equal to an alternate base rate (which is equal to the greatest of the prime rate, the Federal Funds effective rate plus 0.50% and 3-month LIBOR plus 1.0%) or LIBOR, in each case plus the applicable margin. The applicable margin ranges from 0.125% to 1.0% per annum and from 1.125% to 2.0% per annum in the case of LIBOR, in each case, depending on the pricing level, which in turn depends on the rating agencies’ rating of our unsecured debt. We are obligated to pay a quarterly commitment fee ranging from 0.125% to 0.350% per year on the unused portion of the commitment, based on the pricing level, which in turn depends on the rating agencies’ rating of our unsecured debt.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Loan principal may be optionally prepaid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were in compliance with all financial covenants under our revolving credit facility, as then in effect.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our wholly owned subsidiary and remained the issuer of an aggregate principal amount of $530 million in notes, which we refer to as the Energen Notes, issued under an indenture dated September 1, 1996 with The Bank of New York as Trustee, which we refer to as the Energen Indenture. As of December 31, 2019, the Energen Notes consist of: (a) $399 million aggregate principal amount of 4.625% senior notes due on September 1, 2021, (2) $108 million of 7.125% notes due on February 15, 2028, (3) $21 million of 7.32% notes due on July 28, 2022, and (4) $11 million of 7.35% notes due on July 28, 2027.</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if any, and are effectively subordinated to Energen’s senior secured indebtedness, if any, to the extent of the value of the collateral securing such indebtedness. Neither we nor any of our subsidiaries guarantee the Energen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the Energen Notes, See Note 10—Debt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which we refer to as the Viper credit agreement, provides for a revolving credit facility in the maximum credit amount of $2 billion and a borrowing base based on Viper LLC’s oil and natural gas reserves and other factors (the “borrowing base”) of $775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In connection with Viper’s fall redetermination in November 2019, the borrowing base under the Viper credit agreement was increased to $775 million. As of December 31, 2019, the borrowing base was $775 million, and Viper LLC had $97 million of outstanding borrowings and $678 million available for future borrowings under the Viper credit agreement. Neither we nor any of our other subsidiaries guarantee the Viper credit agreement.</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Viper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prepaid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Viper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02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4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40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Viper credit agreement</w:t>
            </w:r>
          </w:p>
        </w:tc>
        <w:tc>
          <w:tcPr>
            <w:tcW w:w="4020" w:type="dxa"/>
            <w:vAlign w:val="bottom"/>
          </w:tcPr>
          <w:p>
            <w:pPr>
              <w:jc w:val="center"/>
              <w:ind w:left="143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The covenant limiting dividends and distributions includes an exception allowing Viper LLC to make distributions if no default, event of default or borrowing base deficiency exists.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Viper and Viper LLC were in compliance with all financial covenants under the Viper credit agreement, as then in effect.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16, 2019, Viper completed an offering in which it issued its 5.375% Senior Notes due 2027 in aggregate principal amount of $500 million. Viper received gross proceeds of $500 million from the such offering, which it loaned to Viper LLC. Viper LLC paid the expenses of the offering, resulting in net proceeds of the offering of $490 million, which Viper LLC used to pay down borrowings under the Viper credit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Notes were issued under an indenture, dated as of October 16, 2019, among Viper, as issuer, Viper LLC, as guarantor and Wells Fargo, as trustee, which we refer to as the Viper Indenture. Pursuant to the Viper Indenture and the Viper Notes, interest on the Viper Notes accrues at a rate of 5.375% per annum on the outstanding principal amount thereof, payable semi-annually on May 1 and November 1 of each year, commencing on May 1, 2020. The Viper Notes will mature on November 1, 2027.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Viper LLC guarantees the Viper Notes pursuant to the Viper Indenture. Neither we nor any of our other subsidiaries guarantee the Viper Notes.</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connection with the Rattler Offering, Rattler, as parent, and Rattler LLC, as borrower, entered into a credit agreement, dated May 28, 2019, with Wells Fargo Bank, as administrative agent, and a syndicate of banks, as lenders party thereto, which we refer to as the Rattler credit agreement.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Rattler credit agreement provides for a revolving credit facility in the maximum credit amount of $600 million. Loan principal may be optionally prepaid from time to time without premium or penalty (other than customary LIBOR breakage), and is required to be prepaid at the maturity date of May 28, 2024. The Rattler credit agreement is guaranteed by Rattler, Tall City, Rattler OMOG LLC and Rattler Ajax Processing LLC and is secured by substantially all of the assets of Rattler LLC, Rattler, Tall City, Rattler OMOG LLC and Rattler Ajax Processing LLC. As of December 31, 2019, Rattler LLC had $424 million of outstanding borrowings and $176 million available for future borrowings under the Rattler credit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or events of default exists.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1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 Leverage Ratio</w:t>
            </w:r>
          </w:p>
        </w:tc>
        <w:tc>
          <w:tcPr>
            <w:tcW w:w="4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Not greater than 5.00 to 1.00 (or not greater than 5.50</w:t>
            </w:r>
          </w:p>
        </w:tc>
      </w:tr>
      <w:tr>
        <w:trPr>
          <w:trHeight w:val="216"/>
        </w:trPr>
        <w:tc>
          <w:tcPr>
            <w:tcW w:w="732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to 1.00 for 3 fiscal quarters following certain</w:t>
            </w:r>
          </w:p>
        </w:tc>
      </w:tr>
      <w:tr>
        <w:trPr>
          <w:trHeight w:val="216"/>
        </w:trPr>
        <w:tc>
          <w:tcPr>
            <w:tcW w:w="732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acquisitions), but if the Consolidated Senior Secured</w:t>
            </w:r>
          </w:p>
        </w:tc>
      </w:tr>
      <w:tr>
        <w:trPr>
          <w:trHeight w:val="216"/>
        </w:trPr>
        <w:tc>
          <w:tcPr>
            <w:tcW w:w="732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Leverage Ratio (as defined in the Rattler credit</w:t>
            </w:r>
          </w:p>
        </w:tc>
      </w:tr>
      <w:tr>
        <w:trPr>
          <w:trHeight w:val="216"/>
        </w:trPr>
        <w:tc>
          <w:tcPr>
            <w:tcW w:w="732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agreement) is applicable, then not greater than 5.25 to</w:t>
            </w: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1.00)</w:t>
            </w:r>
          </w:p>
        </w:tc>
      </w:tr>
      <w:tr>
        <w:trPr>
          <w:trHeight w:val="229"/>
        </w:trPr>
        <w:tc>
          <w:tcPr>
            <w:tcW w:w="7320" w:type="dxa"/>
            <w:vAlign w:val="bottom"/>
          </w:tcPr>
          <w:p>
            <w:pPr>
              <w:ind w:left="40"/>
              <w:spacing w:after="0"/>
              <w:rPr>
                <w:sz w:val="20"/>
                <w:szCs w:val="20"/>
                <w:color w:val="auto"/>
              </w:rPr>
            </w:pPr>
            <w:r>
              <w:rPr>
                <w:rFonts w:ascii="Arial" w:cs="Arial" w:eastAsia="Arial" w:hAnsi="Arial"/>
                <w:sz w:val="18"/>
                <w:szCs w:val="18"/>
                <w:color w:val="auto"/>
                <w:w w:val="92"/>
              </w:rPr>
              <w:t>Consolidated Senior Secured Leverage Ratio commencing with the last day of any fiscal quarter in</w:t>
            </w:r>
          </w:p>
        </w:tc>
        <w:tc>
          <w:tcPr>
            <w:tcW w:w="410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which the Financial Covenant Election (as defined in the Rattler credit agreement) is made</w:t>
            </w:r>
          </w:p>
        </w:tc>
        <w:tc>
          <w:tcPr>
            <w:tcW w:w="4100" w:type="dxa"/>
            <w:vAlign w:val="bottom"/>
          </w:tcPr>
          <w:p>
            <w:pPr>
              <w:jc w:val="center"/>
              <w:ind w:left="30"/>
              <w:spacing w:after="0"/>
              <w:rPr>
                <w:sz w:val="20"/>
                <w:szCs w:val="20"/>
                <w:color w:val="auto"/>
              </w:rPr>
            </w:pPr>
            <w:r>
              <w:rPr>
                <w:rFonts w:ascii="Arial" w:cs="Arial" w:eastAsia="Arial" w:hAnsi="Arial"/>
                <w:sz w:val="18"/>
                <w:szCs w:val="18"/>
                <w:color w:val="auto"/>
                <w:w w:val="89"/>
              </w:rPr>
              <w:t>Not greater than 3.50 to 1.00</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Interest Coverage Ratio (as defined in the Rattler credit agreement)</w:t>
            </w:r>
          </w:p>
        </w:tc>
        <w:tc>
          <w:tcPr>
            <w:tcW w:w="4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Not less than 2.50 to 1.00</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2020 capital budget for drilling, midstream and infrastructure of $2.8 billion to $3.0 billion, representing an increase of 1% over our 2019 capital budget. We estimate that, of these expenditures, approximately:</w:t>
      </w:r>
    </w:p>
    <w:p>
      <w:pPr>
        <w:spacing w:after="0" w:line="170" w:lineRule="exact"/>
        <w:rPr>
          <w:sz w:val="20"/>
          <w:szCs w:val="20"/>
          <w:color w:val="auto"/>
        </w:rPr>
      </w:pPr>
    </w:p>
    <w:p>
      <w:pPr>
        <w:ind w:left="660" w:right="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$2.45 billion to $2.6 billion will be spent on drilling and completing 320 to 360 gross (288 to 324 net) horizontal wells across our operated leasehold acreage in the Northern Midland and Southern Delaware Basins, with an average lateral length of approximately 9,700 feet;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$200 million to $225 million will be spent on midstream infrastructure, excluding joint venture investments;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 million to $175 million will be spent on infrastructure and other expenditures, excluding the cost of any leasehold and mineral interest acquisitions.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2019, our aggregate capital expenditures for drilling and infrastructure were $2.7 billion. We do not have a specific acquisition budget since the timing and size of acquisitions cannot be accurately forecasted. During the year ended December 31, 2019, we spent approximately $443 million in cash on acquisitions of leasehold interests and mineral acres.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We repurchased approximately $598 million of our common stock under this program during the year ended December 31, 2019, with approximately $1.4 billion remaining available for future repurchases under this program. We intend to continue to purchase shares under the repurchase program opportunistically with available funds primarily from cash flow from operations and liquidity events such as the sale of assets while maintaining sufficient liquidity to fund our capital expenditure programs.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23 drilling rigs including two rigs drilling produced water disposal wells and nine completion crews. We will continue monitoring commodity prices and overall market conditions and can adjust our rig cadence up or down in response to changes in commodity prices and overall market conditions.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prices and production expectations for 2020, we believe that our cash flow from operations, cash on hand and borrowings under our revolving credit facility will be sufficient to fund our operations through year-end 2020. However, future cash flows are subject to a number of variables, including the level of oil and natural gas production and prices, and significant additional capital expenditures will be required to more fully develop our properties. Further, our 2020 capital expenditure budget does not allocate any funds for leasehold interest and property acquisitions.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2021-2022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2023-2024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Secured revolving credit facility</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w w:val="95"/>
              </w:rPr>
              <w:t>Commitment fees related to the secured revolving credit facility</w:t>
            </w:r>
            <w:r>
              <w:rPr>
                <w:rFonts w:ascii="Arial" w:cs="Arial" w:eastAsia="Arial" w:hAnsi="Arial"/>
                <w:sz w:val="25"/>
                <w:szCs w:val="25"/>
                <w:color w:val="auto"/>
                <w:w w:val="95"/>
                <w:vertAlign w:val="superscript"/>
              </w:rPr>
              <w:t>(2)</w:t>
            </w:r>
          </w:p>
        </w:tc>
        <w:tc>
          <w:tcPr>
            <w:tcW w:w="76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Interest expense related to the senior notes</w:t>
            </w:r>
            <w:r>
              <w:rPr>
                <w:rFonts w:ascii="Arial" w:cs="Arial" w:eastAsia="Arial" w:hAnsi="Arial"/>
                <w:sz w:val="25"/>
                <w:szCs w:val="25"/>
                <w:color w:val="auto"/>
                <w:vertAlign w:val="superscript"/>
              </w:rPr>
              <w:t>(3)</w:t>
            </w:r>
          </w:p>
        </w:tc>
        <w:tc>
          <w:tcPr>
            <w:tcW w:w="76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1,074</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DrillCo Agreement</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Viper's secured revolving credit facility</w:t>
            </w:r>
            <w:r>
              <w:rPr>
                <w:rFonts w:ascii="Arial" w:cs="Arial" w:eastAsia="Arial" w:hAnsi="Arial"/>
                <w:sz w:val="25"/>
                <w:szCs w:val="25"/>
                <w:color w:val="auto"/>
                <w:vertAlign w:val="superscript"/>
              </w:rPr>
              <w:t>(1)</w:t>
            </w:r>
          </w:p>
        </w:tc>
        <w:tc>
          <w:tcPr>
            <w:tcW w:w="76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Commitment fees under Viper's credit agreement</w:t>
            </w:r>
            <w:r>
              <w:rPr>
                <w:rFonts w:ascii="Arial" w:cs="Arial" w:eastAsia="Arial" w:hAnsi="Arial"/>
                <w:sz w:val="25"/>
                <w:szCs w:val="25"/>
                <w:color w:val="auto"/>
                <w:vertAlign w:val="superscript"/>
              </w:rPr>
              <w:t>(4)</w:t>
            </w: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Viper's senior notes</w:t>
            </w:r>
          </w:p>
        </w:tc>
        <w:tc>
          <w:tcPr>
            <w:tcW w:w="76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related to Viper's senior notes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Rattler's secured revolving credit facility</w:t>
            </w:r>
            <w:r>
              <w:rPr>
                <w:rFonts w:ascii="Arial" w:cs="Arial" w:eastAsia="Arial" w:hAnsi="Arial"/>
                <w:sz w:val="25"/>
                <w:szCs w:val="25"/>
                <w:color w:val="auto"/>
                <w:vertAlign w:val="superscript"/>
              </w:rPr>
              <w:t>(1)</w:t>
            </w:r>
          </w:p>
        </w:tc>
        <w:tc>
          <w:tcPr>
            <w:tcW w:w="76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Commitment fees under Rattler's credit agreement</w:t>
            </w:r>
            <w:r>
              <w:rPr>
                <w:rFonts w:ascii="Arial" w:cs="Arial" w:eastAsia="Arial" w:hAnsi="Arial"/>
                <w:sz w:val="25"/>
                <w:szCs w:val="25"/>
                <w:color w:val="auto"/>
                <w:vertAlign w:val="superscript"/>
              </w:rPr>
              <w:t>(5)</w:t>
            </w:r>
          </w:p>
        </w:tc>
        <w:tc>
          <w:tcPr>
            <w:tcW w:w="7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5"/>
                <w:szCs w:val="25"/>
                <w:color w:val="auto"/>
                <w:vertAlign w:val="superscript"/>
              </w:rPr>
              <w:t>(6)</w:t>
            </w:r>
          </w:p>
        </w:tc>
        <w:tc>
          <w:tcPr>
            <w:tcW w:w="76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Drilling commitments</w:t>
            </w:r>
            <w:r>
              <w:rPr>
                <w:rFonts w:ascii="Arial" w:cs="Arial" w:eastAsia="Arial" w:hAnsi="Arial"/>
                <w:sz w:val="25"/>
                <w:szCs w:val="25"/>
                <w:color w:val="auto"/>
                <w:vertAlign w:val="superscript"/>
              </w:rPr>
              <w:t>(7)</w:t>
            </w: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Sand supply agreements</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5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(8)</w:t>
            </w:r>
          </w:p>
        </w:tc>
        <w:tc>
          <w:tcPr>
            <w:tcW w:w="7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504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ind w:left="420" w:hanging="331"/>
        <w:spacing w:after="0" w:line="274" w:lineRule="auto"/>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the outstanding principal amount under the revolving credit facilities, the table does not include interest expense or other fees payable under this floating rate facility as we cannot predict the timing of future borrowings and repayments or interest rates to be charged.</w:t>
      </w:r>
    </w:p>
    <w:p>
      <w:pPr>
        <w:ind w:left="420" w:hanging="331"/>
        <w:spacing w:after="0" w:line="250"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only the minimum amount of commitment fees due which, as of December 31, 2019, includes a commitment fee equal to 0.125% per year of the unused portion of the borrowing base of the Company’s credit agreement.</w:t>
      </w:r>
    </w:p>
    <w:p>
      <w:pPr>
        <w:ind w:left="420" w:hanging="331"/>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represents the scheduled cash payments on the senior notes and Energen Notes.</w:t>
      </w:r>
    </w:p>
    <w:p>
      <w:pPr>
        <w:spacing w:after="0" w:line="9" w:lineRule="exact"/>
        <w:rPr>
          <w:rFonts w:ascii="Arial" w:cs="Arial" w:eastAsia="Arial" w:hAnsi="Arial"/>
          <w:sz w:val="18"/>
          <w:szCs w:val="18"/>
          <w:color w:val="auto"/>
        </w:rPr>
      </w:pPr>
    </w:p>
    <w:p>
      <w:pPr>
        <w:ind w:left="420" w:hanging="331"/>
        <w:spacing w:after="0" w:line="250"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only the minimum amount of commitment fees due which, as of December 31, 2019, includes a commitment fee equal to 0.375% per year of the unused portion of the borrowing base of Viper’s credit agreement.</w:t>
      </w:r>
    </w:p>
    <w:p>
      <w:pPr>
        <w:ind w:left="420" w:hanging="331"/>
        <w:spacing w:after="0" w:line="250"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only the minimum amount of commitment fees due which, as of December 31, 2019, includes a commitment fee equal to 0.250% per year of the unused portion of the borrowing base of Rattler’s credit agreement.</w:t>
      </w:r>
    </w:p>
    <w:p>
      <w:pPr>
        <w:jc w:val="both"/>
        <w:ind w:left="420" w:hanging="331"/>
        <w:spacing w:after="0" w:line="25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our estimates of future asset retirement obligations. Because these costs typically extend many years into the future, estimating these future costs requires management to make estimates and judgments that are subject to future revisions based upon numerous factors, including the rate of inflation, changing technology and the political and regulatory environment. See Note 8—Asset Retirement Obligations of the Notes to the Consolidated Financial Statements included elsewhere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-1798955</wp:posOffset>
            </wp:positionV>
            <wp:extent cx="4056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right="20" w:hanging="331"/>
        <w:spacing w:after="0" w:line="258"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Drilling commitments represent future minimum expenditure commitments for drilling rig services under contracts to which the Company was a party on December 31, 2019.</w:t>
      </w:r>
    </w:p>
    <w:p>
      <w:pPr>
        <w:spacing w:after="0" w:line="1" w:lineRule="exact"/>
        <w:rPr>
          <w:rFonts w:ascii="Arial" w:cs="Arial" w:eastAsia="Arial" w:hAnsi="Arial"/>
          <w:sz w:val="18"/>
          <w:szCs w:val="18"/>
          <w:color w:val="auto"/>
        </w:rPr>
      </w:pPr>
    </w:p>
    <w:p>
      <w:pPr>
        <w:ind w:left="420" w:hanging="331"/>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building, equipment and vehicle leases.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above does not include estimated deficiency fees related to certain volume commitments that we have as they are based off future volume deliveries and differences from market pricing which we cannot predict.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Below, we have provided expanded discussion of our more significant accounting policies, estimates and judgments. We believe these accounting policies reflect our more significant estimates and assumptions used in preparation of our financial statements. See Note 2—Summary of Significant Accounting Policies of the Notes to the Consolidated Financial Statements included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evaluate these estimates on an ongoing basis, using historical experience, consultation with experts and other methods we consider reasonable in the particular circumstances. Nevertheless, actual results may differ significantly from our estimates. Any effects on our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independent engineers and technical staff prepare our estimates of oil and natural gas reserves and associated future net revenues. The SEC has defined proved reserves as the estimated quantities of oil and natural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our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oil sales contracts are generally structured where it delivers oil to the purchaser at a contractually agreed-upon delivery point at which the purchaser takes custody, title and risk of loss of the product. Under this arrangement, we or a third party transports the product to the delivery point and receives a specified index price from the purchaser with no deduction. In this scenario, we recognize revenue when control transfers to the purchaser at the delivery point based on the price received from the purchaser. Oil revenues are recorded net of any third-party transportation fees and other applicable differentials in our consolidated statements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our natural gas processing contracts, it delivers natural gas to a midstream processing entity at the wellhead, battery facilities or the inlet of the midstream processing entity’s system. The midstream processing entity gathers and processes the natural gas and remits proceeds to us for the resulting sales of natural gas liquids and residue gas. In these scenarios, we evaluate whether it is the principal or the agent in the transaction. For those contracts where we have concluded it is the principal and the ultimate third party is its customer, we recognize revenue on a gross basis, with transportation, gathering, processing, treating and compression fees presented as an expense in our consolidated statements of operations.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certain natural gas processing agreements, we may elect to take its residue gas and/or natural gas liquids in-kind at the tailgate of the midstream entity’s processing plant and subsequently market the product. Through the marketing process, we deliver product to the ultimate third-party purchaser at a contractually agreed-upon delivery point and receives a specified index price from the purchaser. In this scenario, we recognize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our consolidated statements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Substantially all revenues from gathering, compression, water handling, disposal and treatment operations are derived from intersegment transactions for services Rattler provides to exploration and production operations. The portion of such fees shown in our consolidated financial statements represent amounts charged to interest owners in our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water volumes have been delivered to the fracwater meter for a specified well pad and the wastewater volumes have been metered downstream of our facilities. For services contracted through third party providers, Rattler’s performance obligation is satisfied when the service performed by the third party provider has been completed. Revenue is recognized based on the per barrel water delivery or a wastewater gathering and disposal fee charged by Rattler in accordance with the water services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midstream revenue agreements have a term greater than one year, and as such we have utilized the practical expedient in ASC 606, which states that we are not required to disclose the transaction price allocated to remaining performance obligations if the variable consideration is allocated entirely to a wholly unsatisfied performance obligation. Under our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remainder of our midstream revenue agreements, which relate to agreements with third parties, are short-term in nature with a term of one year or less. We have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our product sales contracts, we have the right to invoice our customers once the performance obligations have been satisfied, at which point payment is unconditional. Accordingly, our product sales contracts do not give rise to contract assets or liabilities under ASC 606.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record revenue in the month production is delivered to the purchaser. However, settlement statements for certain natural gas and natural gas liquids sales may not be received for 30 to 90 days after the date production is delivered, and as a result, we are required to estimate the amount of production delivered to the purchaser and the price that will be received for the sale of the product. We record the differences between our estimates and the actual amounts received for product sales in the month that payment is received from the purchaser. We have existing internal controls for our revenue estimation process and related accruals, and any identified differences between our revenue estimates and actual revenue received historically have not been significant. For the year ended December 31, 2019, revenue recognized in the reporting period related to performance obligations satisfied in prior reporting periods was not material. We believe that the pricing provisions of our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the full cost method of accounting for our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Costs associated with unevaluated properties are excluded from the full cost pool until we have made a determination as to the existence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of proved reserves. The inclusion of our unevaluated costs into the amortization base is expected to be completed within three to five years.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we are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measure the future cost to retire our tangible long-lived assets and recognize such cost as a liability for legal obligations associated with the retirement of long-lived assets that result from the acquisition, construction or normal operation of a long-lived asset.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asset retirement obligations primarily relate to the future plugging and abandonment of wells and related facilities. Estimating the future restoration and removal costs is difficult and requires management to make estimates and judgments because most of the removal obligations are many years in the future and asset removal technologies and costs are constantly changing, as are regulatory, political, environmental, safety and public relations considerations. We estimate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From time to time, we have used energy derivatives for the purpose of mitigating the risk resulting from fluctuations in the market price of crude oil and natural gas. We recognize all of our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None of our derivatives were designated as hedging instruments during the years ended December 31, 2019 and 2018. For derivative instruments not designated as hedging instruments, changes in the fair value of these instruments are recognized in earnings during the period of 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grant various types of equity-based awards including stock options and restricted stock units. These plans and related accounting policies are defined and described more fully in Note 12—Equity-Based Compensation of the Notes to the Consolidated Financial Statements included elsewhere in the Form 10-K. Stock compensation awards are measured at fair value on the date of grant and are expensed, net of estimated forfeitures, over the required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See Note 2—Summary of Significant Accounting Policies included in Notes to the Consolidated Financial Statements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Inflation in the United States has been relatively low in recent years and did not have a material impact on results of operations for the years ended December 31, 2019 and 2018. Although the impact of inflation has been insignificant in recent years, it is still a factor in the United States economy and we tend to experience inflationary pressure on the cost of oilfield services and equipment as increasing oil and gas prices increase drilling activity in our areas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December 31, 2019. Please read Note 18—Commitments and Contingencies included in Notes to the Consolidated Financial Statements included elsewhere in this Form 10-K,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price swap derivatives, including basis swaps, double-up swaps, put spreads, interest rate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December 31, 2019 and December 31, 2018, we had a net asset derivative position of $26 million and $216 million, respectively, related to our price swap, price basis swap derivatives and three-way collars. Utilizing actual derivative contractual volumes under our fixed price swaps and fixed price basis swaps as of December 31, 2019, a 10% increase in forward curves associated with the underlying commodity would have decreased the net asset position to a net liability position of $178 million, a decrease of $204 million, while a 10% decrease in forward curves associated with the underlying commodity would have increased the net asset derivative position to $232 million, an increase of $206 million. However, any cash derivative gain or loss would be substantially offset by a decrease or increase, respectively, in the actual sales value of production covered by the derivative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$186 million at December 31, 2019) and receivables from the sale of our oil and natural gas production (approximately $429 million at December 31, 2019).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year ended December 31, 2019, three purchasers each accounted for more than 10% of our revenue: Shell (27%); Plains (23%); and Vitol (15%). For the year ended December 31, 2018, three purchasers each accounted for more than 10% of our revenue: Shell (26%); Koch</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(15%); and Occidental Energy Marketing Inc. (11%). For the year ended December 31, 2017, three purchasers each accounted for more than 10% of our revenue: Shell (31%); Koch (19%); and Enterprise Crude Oil LLC (11%). No other customer accounted for more than 10% of our revenue during these periods.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December 31, 2019, we had 15 customers that represented approximately 80% of our total joint operations receivables. At December 31, 2018, we had four customer that represented approximately 82%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outstanding borrowings under the credit agreement bear interest at a per annum rate elected by us that is equal an alternate base rate (which is equal to the greatest of the prime rate, the Federal Funds effective rate plus 0.50% and 3-month LIBOR plus 1.0%) or LIBOR, in each case plus the applicable margin. The applicable margin ranges from 0.125% to 1.0% per annum and from 1.125% to 2.0% per annum in the case of LIBOR, in each case, depending on the pricing level, which in turn depends on the rating agencies’ rating of our unsecured debt. We are obligated to pay a quarterly commitment fee ranging from 0.125% to 0.350% per year on the unused portion of the commitment, based on the pricing level, which in turn depends on the rating agencies’ rating of our unsecured debt.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$13 million borrowings outstanding under our revolving credit facility. Our weighted average interest rate on borrowings under our revolving credit facility was 3.20% on December 31, 2019. An increase or decrease of 1% in the interest rate would have a corresponding increase or decrease in our interest expense of approximately $130,000 based on the $13 million outstanding in the aggregate under our revolving credit facility as of such date.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Viper LLC had $97 million in outstanding borrowings. Viper LLC’s weighted average interest rate was 4.30%. An increase or decrease of 1% in the interest rate would have a corresponding increase or decrease in Viper LLC’s interest expense of approximately $1 million based on the $97 million outstanding in the aggregate under the Viper credit agreement on December 31,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Rattler LLC had $424 million of outstanding borrowings. Rattler LLC’s weighted average interest rate was 2.98%. An increase or decrease of 1% in the interest rate would have a corresponding increase or decrease in Rattler LLC’s interest expense of approximately $4 million based on the $424 million outstanding under the Rattler credit agreement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2019,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December 31, 2019 that have materially affected, or are reasonably likely to materially affect, internal controls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2019.</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2019. The report, which expresses an unqualified opinion on the effectiveness of the Company’s internal control over financial reporting at December 31, 2019, is included in this Item under the heading “Report of Independent Registered Public Accounting Firm.”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Diamondback Energy, Inc. (a Delaware corporation) and subsidiaries (the “Company”)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2019, based on the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26,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Severance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February 20, 2020, we adopted the Diamondback Energy, Inc. Senior Management Severance Plan, or the Severance Plan, and have entered into a participation agreement thereunder with each of our named executive officers. Pursuant to the participation agreements, the benefits under the Severance Plan replace the employment agreements with each of our named executive officers. The Severance Plan also covers other eligible executives who are selected to participate and replaces any employment agreement they may have.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Payments and Benefits Unrelated to a Change in Control</w:t>
      </w:r>
      <w:r>
        <w:rPr>
          <w:rFonts w:ascii="Arial" w:cs="Arial" w:eastAsia="Arial" w:hAnsi="Arial"/>
          <w:sz w:val="18"/>
          <w:szCs w:val="18"/>
          <w:color w:val="auto"/>
        </w:rPr>
        <w:t>. In the event that the employment of a participating executive is terminated by us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87" w:lineRule="exact"/>
        <w:rPr>
          <w:sz w:val="20"/>
          <w:szCs w:val="20"/>
          <w:color w:val="auto"/>
        </w:rPr>
      </w:pPr>
    </w:p>
    <w:p>
      <w:pPr>
        <w:ind w:left="1300" w:hanging="644"/>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amount, if any, equal to the bonus that would be payable for services attributable to a completed prior year performance period that has not been paid under the terms of the Diamondback Energy, Inc. 2014 Executive Annual Incentive Compensation Plan;</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multiple of base salary continuation for a specified number of months (2x for 24 months for the Chief Executive Officer, 1x for 18 months for Executive Vice-Presidents, 1x for 15 months for Senior Vice-Presidents and 1x for 12 months for Vice-Presidents);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pro-rated target annual cash bonus for the year of termination (based on the number of days employed during the year of termination);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 to 18 months of Company-paid COBRA coverage; and</w:t>
      </w:r>
    </w:p>
    <w:p>
      <w:pPr>
        <w:spacing w:after="0" w:line="225"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vesting or forfeiture, as applicable, of each outstanding unvested equity-based compensation award granted by us or our affiliates in accordance with the terms of the applicable equity award agreement. 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 based equity awards to vest at the maximum level under the equity award agreement, and be settled within ten business days.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Severance Benefits Related to a Change in Control)</w:t>
      </w:r>
      <w:r>
        <w:rPr>
          <w:rFonts w:ascii="Arial" w:cs="Arial" w:eastAsia="Arial" w:hAnsi="Arial"/>
          <w:sz w:val="18"/>
          <w:szCs w:val="18"/>
          <w:color w:val="auto"/>
        </w:rPr>
        <w:t>. In the event that employment of a participant is terminated by us other than for “cause”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by reason of death or disability) or if the participant terminates his or her employment for “good reason,” in either case within the two year period immediately following a change in control (as defined in the Severance Plan), the participant will be entitled to the benefits described above, except that the salary continuation described in clause (ii) will be replaced by a lump sum cash payment equal to a multiple of the participant’s base salary plus such participant’s average bonus for the preceding three years (3.0x for the Chief Executive Officer, 2.5x for Executive Vice-Presidents, 2.25x for Senior Vice-Presidents and 2.0x for Vice-Presidents).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Severance Benefits Related to Death or Disability</w:t>
      </w:r>
      <w:r>
        <w:rPr>
          <w:rFonts w:ascii="Arial" w:cs="Arial" w:eastAsia="Arial" w:hAnsi="Arial"/>
          <w:sz w:val="18"/>
          <w:szCs w:val="18"/>
          <w:color w:val="auto"/>
        </w:rPr>
        <w:t>. The Severance Plan also provides the same benefits described in clauses (i), (ii) and (iii) (but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(iv)) in the event that a participant dies or becomes disabled (as defined in the Severance Agreement) while employed by us. Mr. Stice’s participation agreement includes terms that are intended to maintain certain benefits under his prior employment agreement and are consistent with prior public disclosure that require the Company to pay 100 percent of the premiums to continue his, his spouse’s and any of his eligible dependents’ group health plan continuation coverage under COBRA.</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Release and Restrictive Covenants</w:t>
      </w:r>
      <w:r>
        <w:rPr>
          <w:rFonts w:ascii="Arial" w:cs="Arial" w:eastAsia="Arial" w:hAnsi="Arial"/>
          <w:sz w:val="18"/>
          <w:szCs w:val="18"/>
          <w:color w:val="auto"/>
        </w:rPr>
        <w:t>. The payment of any benefits under the Severance Plan is conditioned on the participant’s (or if applicable,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personal representative’s or estate’s) execution of a general release of claims. The Severance Plan also includes certain restrictive covenants that continue beyond the employment period, including non-competition and non-solicitation obligations for a period of one year following termination of employment. If a participating executive terminates employment on a basis that is not eligible for severance benefits, we can elect to apply the restrictive covenants for up to 12 months and receive a release by payment of an amount equal to one-twelfth of the participant’s annualized base salary plus target annual bonus for each month the restrictive covenants will apply.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these severance benefits provide the same type of income transition protections that were provided to our executives under their prior employment agreements. These arrangements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named executive officers, are consistent with the prior employment protections and the practices of peer group companies and are appropriate for the attraction and retention of executive talent.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Executive Vice President-Operations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February 20, 2020, our board of directors promoted Daniel N. Wesson to serve as our Executive Vice President-Operations, effective March 1, 2020. Until the effective date of this promotion, Mr. Wesson will continue to serve as our Senior Vice President of Operations, a position he has held since February 2019. Mr. Wesson served as our Vice President of Operations from April 2017 to February 2019 and as our Completions Manager from January 2013 to April 2017. He joined us as an Operations Engineer in February 2012. Before joining our company,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his role as our Executive Vice President-Operations, Mr. Wesson is entitled to receive an annual base salary and participate in (i) our annual executive cash incentive program, which provides an opportunity to receive an annual bonus, based on a target percentage of the annual base salary and pre-established performance goals, (ii) our equity incentive plan, under which we grant annual performance-based and time-vesting equity awards, (iii) the Severance Plan described above and (iv) any other employee benefit plans generally available to similarly situated employees of our company, as in effect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2019.</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2019.</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2019.</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64"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(a)</w:t>
        <w:tab/>
        <w:t>Documents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 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gridSpan w:val="19"/>
          </w:tcPr>
          <w:p>
            <w:pPr>
              <w:ind w:left="620"/>
              <w:spacing w:after="0"/>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w:t>
              </w:r>
            </w:hyperlink>
          </w:p>
        </w:tc>
        <w:tc>
          <w:tcPr>
            <w:tcW w:w="140" w:type="dxa"/>
            <w:vAlign w:val="bottom"/>
          </w:tcPr>
          <w:p>
            <w:pPr>
              <w:spacing w:after="0"/>
              <w:rPr>
                <w:sz w:val="17"/>
                <w:szCs w:val="17"/>
                <w:color w:val="auto"/>
              </w:rPr>
            </w:pPr>
          </w:p>
        </w:tc>
        <w:tc>
          <w:tcPr>
            <w:tcW w:w="560" w:type="dxa"/>
            <w:vAlign w:val="bottom"/>
            <w:gridSpan w:val="5"/>
          </w:tcPr>
          <w:p>
            <w:pPr>
              <w:jc w:val="center"/>
              <w:ind w:right="240"/>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F-1</w:t>
              </w:r>
            </w:hyperlink>
          </w:p>
        </w:tc>
      </w:tr>
      <w:tr>
        <w:trPr>
          <w:trHeight w:val="48"/>
        </w:trPr>
        <w:tc>
          <w:tcPr>
            <w:tcW w:w="620" w:type="dxa"/>
            <w:vAlign w:val="bottom"/>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spacing w:after="0" w:line="202"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Consolidated Balance Sheets</w:t>
              </w:r>
            </w:hyperlink>
          </w:p>
        </w:tc>
        <w:tc>
          <w:tcPr>
            <w:tcW w:w="8000" w:type="dxa"/>
            <w:vAlign w:val="bottom"/>
            <w:gridSpan w:val="1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5"/>
            <w:shd w:val="clear" w:color="auto" w:fill="CCEEFF"/>
          </w:tcPr>
          <w:p>
            <w:pPr>
              <w:jc w:val="center"/>
              <w:ind w:right="240"/>
              <w:spacing w:after="0" w:line="202"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F-4</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10100" w:type="dxa"/>
            <w:vAlign w:val="bottom"/>
            <w:gridSpan w:val="18"/>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Operations</w:t>
              </w:r>
            </w:hyperlink>
          </w:p>
        </w:tc>
        <w:tc>
          <w:tcPr>
            <w:tcW w:w="140" w:type="dxa"/>
            <w:vAlign w:val="bottom"/>
          </w:tcPr>
          <w:p>
            <w:pPr>
              <w:spacing w:after="0"/>
              <w:rPr>
                <w:sz w:val="17"/>
                <w:szCs w:val="17"/>
                <w:color w:val="auto"/>
              </w:rPr>
            </w:pPr>
          </w:p>
        </w:tc>
        <w:tc>
          <w:tcPr>
            <w:tcW w:w="560" w:type="dxa"/>
            <w:vAlign w:val="bottom"/>
            <w:gridSpan w:val="5"/>
          </w:tcPr>
          <w:p>
            <w:pPr>
              <w:jc w:val="center"/>
              <w:ind w:right="240"/>
              <w:spacing w:after="0" w:line="202"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F-6</w:t>
              </w:r>
            </w:hyperlink>
          </w:p>
        </w:tc>
      </w:tr>
      <w:tr>
        <w:trPr>
          <w:trHeight w:val="48"/>
        </w:trPr>
        <w:tc>
          <w:tcPr>
            <w:tcW w:w="620" w:type="dxa"/>
            <w:vAlign w:val="bottom"/>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 of Stockholders' Equity</w:t>
              </w:r>
            </w:hyperlink>
          </w:p>
        </w:tc>
        <w:tc>
          <w:tcPr>
            <w:tcW w:w="140" w:type="dxa"/>
            <w:vAlign w:val="bottom"/>
            <w:shd w:val="clear" w:color="auto" w:fill="CCEEFF"/>
          </w:tcPr>
          <w:p>
            <w:pPr>
              <w:spacing w:after="0"/>
              <w:rPr>
                <w:sz w:val="17"/>
                <w:szCs w:val="17"/>
                <w:color w:val="auto"/>
              </w:rPr>
            </w:pPr>
          </w:p>
        </w:tc>
        <w:tc>
          <w:tcPr>
            <w:tcW w:w="560" w:type="dxa"/>
            <w:vAlign w:val="bottom"/>
            <w:gridSpan w:val="5"/>
            <w:shd w:val="clear" w:color="auto" w:fill="CCEEFF"/>
          </w:tcPr>
          <w:p>
            <w:pPr>
              <w:jc w:val="center"/>
              <w:ind w:right="240"/>
              <w:spacing w:after="0" w:line="202"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F-7</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3460" w:type="dxa"/>
            <w:vAlign w:val="bottom"/>
            <w:gridSpan w:val="9"/>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Cash Flows</w:t>
              </w:r>
            </w:hyperlink>
          </w:p>
        </w:tc>
        <w:tc>
          <w:tcPr>
            <w:tcW w:w="664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5"/>
          </w:tcPr>
          <w:p>
            <w:pPr>
              <w:jc w:val="center"/>
              <w:ind w:right="240"/>
              <w:spacing w:after="0" w:line="202"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F-9</w:t>
              </w:r>
            </w:hyperlink>
          </w:p>
        </w:tc>
      </w:tr>
      <w:tr>
        <w:trPr>
          <w:trHeight w:val="48"/>
        </w:trPr>
        <w:tc>
          <w:tcPr>
            <w:tcW w:w="620" w:type="dxa"/>
            <w:vAlign w:val="bottom"/>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0720" w:type="dxa"/>
            <w:vAlign w:val="bottom"/>
            <w:gridSpan w:val="19"/>
            <w:shd w:val="clear" w:color="auto" w:fill="CCEEFF"/>
          </w:tcPr>
          <w:p>
            <w:pPr>
              <w:ind w:left="6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700" w:type="dxa"/>
            <w:vAlign w:val="bottom"/>
            <w:gridSpan w:val="6"/>
            <w:shd w:val="clear" w:color="auto" w:fill="CCEEFF"/>
          </w:tcPr>
          <w:p>
            <w:pPr>
              <w:jc w:val="center"/>
              <w:ind w:right="100"/>
              <w:spacing w:after="0" w:line="202"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F-11</w:t>
              </w:r>
            </w:hyperlink>
          </w:p>
        </w:tc>
      </w:tr>
      <w:tr>
        <w:trPr>
          <w:trHeight w:val="324"/>
        </w:trPr>
        <w:tc>
          <w:tcPr>
            <w:tcW w:w="620" w:type="dxa"/>
            <w:vAlign w:val="bottom"/>
            <w:tcBorders>
              <w:top w:val="single" w:sz="8" w:color="CCEEFF"/>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250"/>
        </w:trPr>
        <w:tc>
          <w:tcPr>
            <w:tcW w:w="10720" w:type="dxa"/>
            <w:vAlign w:val="bottom"/>
            <w:tcBorders>
              <w:bottom w:val="single" w:sz="8" w:color="CCEEFF"/>
            </w:tcBorders>
            <w:gridSpan w:val="19"/>
            <w:shd w:val="clear" w:color="auto" w:fill="CCEEFF"/>
          </w:tcPr>
          <w:p>
            <w:pPr>
              <w:ind w:left="500"/>
              <w:spacing w:after="0"/>
              <w:rPr>
                <w:sz w:val="20"/>
                <w:szCs w:val="20"/>
                <w:color w:val="auto"/>
              </w:rPr>
            </w:pPr>
            <w:r>
              <w:rPr>
                <w:rFonts w:ascii="Arial" w:cs="Arial" w:eastAsia="Arial" w:hAnsi="Arial"/>
                <w:sz w:val="18"/>
                <w:szCs w:val="18"/>
                <w:i w:val="1"/>
                <w:iCs w:val="1"/>
                <w:color w:val="auto"/>
              </w:rPr>
              <w:t>2. Financial Statement Schedules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29"/>
        </w:trPr>
        <w:tc>
          <w:tcPr>
            <w:tcW w:w="10720" w:type="dxa"/>
            <w:vAlign w:val="bottom"/>
            <w:gridSpan w:val="19"/>
          </w:tcPr>
          <w:p>
            <w:pPr>
              <w:ind w:left="620"/>
              <w:spacing w:after="0"/>
              <w:rPr>
                <w:sz w:val="20"/>
                <w:szCs w:val="20"/>
                <w:color w:val="auto"/>
              </w:rPr>
            </w:pPr>
            <w:r>
              <w:rPr>
                <w:rFonts w:ascii="Arial" w:cs="Arial" w:eastAsia="Arial" w:hAnsi="Arial"/>
                <w:sz w:val="18"/>
                <w:szCs w:val="18"/>
                <w:color w:val="auto"/>
                <w:w w:val="94"/>
              </w:rPr>
              <w:t>Financial statement schedules have been omitted because they are either not required, not applicable or the information required to be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0720" w:type="dxa"/>
            <w:vAlign w:val="bottom"/>
            <w:gridSpan w:val="19"/>
          </w:tcPr>
          <w:p>
            <w:pPr>
              <w:ind w:left="620"/>
              <w:spacing w:after="0"/>
              <w:rPr>
                <w:sz w:val="20"/>
                <w:szCs w:val="20"/>
                <w:color w:val="auto"/>
              </w:rPr>
            </w:pPr>
            <w:r>
              <w:rPr>
                <w:rFonts w:ascii="Arial" w:cs="Arial" w:eastAsia="Arial" w:hAnsi="Arial"/>
                <w:sz w:val="18"/>
                <w:szCs w:val="18"/>
                <w:color w:val="auto"/>
              </w:rPr>
              <w:t>presented is included in the Company’s consolidated financial statements and related notes.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154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18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20" w:type="dxa"/>
            <w:vAlign w:val="bottom"/>
          </w:tcPr>
          <w:p>
            <w:pPr>
              <w:ind w:left="60"/>
              <w:spacing w:after="0"/>
              <w:rPr>
                <w:sz w:val="20"/>
                <w:szCs w:val="20"/>
                <w:color w:val="auto"/>
              </w:rPr>
            </w:pPr>
            <w:r>
              <w:rPr>
                <w:rFonts w:ascii="Arial" w:cs="Arial" w:eastAsia="Arial" w:hAnsi="Arial"/>
                <w:sz w:val="18"/>
                <w:szCs w:val="18"/>
                <w:color w:val="auto"/>
              </w:rPr>
              <w:t>2.1#</w:t>
            </w:r>
          </w:p>
        </w:tc>
        <w:tc>
          <w:tcPr>
            <w:tcW w:w="9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Agreement and Plan of Merger, dated as of August 14, 2018, by and among Diamondback Energy, Inc., Sidewinder Merger Sub Inc. and</w:t>
              </w:r>
            </w:hyperlink>
          </w:p>
        </w:tc>
      </w:tr>
      <w:tr>
        <w:trPr>
          <w:trHeight w:val="20"/>
        </w:trPr>
        <w:tc>
          <w:tcPr>
            <w:tcW w:w="62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Energen Corporation (incorporated by reference to Exhibit 2.1 to the Form 8-K, File No. 001-35700, filed by the Company with the SEC</w:t>
              </w:r>
            </w:hyperlink>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on August 15, 2018).</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3.1</w:t>
            </w:r>
          </w:p>
        </w:tc>
        <w:tc>
          <w:tcPr>
            <w:tcW w:w="92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3"/>
            <w:shd w:val="clear" w:color="auto" w:fill="CCEEFF"/>
          </w:tcPr>
          <w:p>
            <w:pPr>
              <w:spacing w:after="0" w:line="202"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Amended and Restated Certificate of Incorporation of the Company (incorporated by reference to Exhibit 3.1 to the Form 10-Q, File</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918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No. 001-35700, filed by the Company with the SEC on November 16, 2012).</w:t>
              </w:r>
            </w:hyperlink>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6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540" w:type="dxa"/>
            <w:vAlign w:val="bottom"/>
            <w:tcBorders>
              <w:top w:val="single" w:sz="8" w:color="0000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620" w:type="dxa"/>
            <w:vAlign w:val="bottom"/>
          </w:tcPr>
          <w:p>
            <w:pPr>
              <w:ind w:left="60"/>
              <w:spacing w:after="0" w:line="202" w:lineRule="exact"/>
              <w:rPr>
                <w:sz w:val="20"/>
                <w:szCs w:val="20"/>
                <w:color w:val="auto"/>
              </w:rPr>
            </w:pPr>
            <w:r>
              <w:rPr>
                <w:rFonts w:ascii="Arial" w:cs="Arial" w:eastAsia="Arial" w:hAnsi="Arial"/>
                <w:sz w:val="18"/>
                <w:szCs w:val="18"/>
                <w:color w:val="auto"/>
              </w:rPr>
              <w:t>3.2</w:t>
            </w:r>
          </w:p>
        </w:tc>
        <w:tc>
          <w:tcPr>
            <w:tcW w:w="920" w:type="dxa"/>
            <w:vAlign w:val="bottom"/>
          </w:tcPr>
          <w:p>
            <w:pPr>
              <w:spacing w:after="0"/>
              <w:rPr>
                <w:sz w:val="17"/>
                <w:szCs w:val="17"/>
                <w:color w:val="auto"/>
              </w:rPr>
            </w:pPr>
          </w:p>
        </w:tc>
        <w:tc>
          <w:tcPr>
            <w:tcW w:w="9880" w:type="dxa"/>
            <w:vAlign w:val="bottom"/>
            <w:gridSpan w:val="23"/>
          </w:tcPr>
          <w:p>
            <w:pPr>
              <w:spacing w:after="0" w:line="20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Certificate of Amendment No. 1 of the Amended and Restated Certificate of Incorporation of the Company (incorporated by reference</w:t>
              </w:r>
            </w:hyperlink>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to Exhibit 3.1 to the Form 8-K, File No. 001-35700, filed by the Company with the SEC on December 12, 2016).</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64"/>
        </w:trPr>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5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2080" w:type="dxa"/>
            <w:vAlign w:val="bottom"/>
            <w:tcBorders>
              <w:top w:val="single" w:sz="8" w:color="0000FF"/>
            </w:tcBorders>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3.3</w:t>
            </w:r>
          </w:p>
        </w:tc>
        <w:tc>
          <w:tcPr>
            <w:tcW w:w="92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3"/>
            <w:shd w:val="clear" w:color="auto" w:fill="CCEEFF"/>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Amended and Restated Bylaws of the Company (incorporated by reference to Exhibit 3.2 to the Form 10-Q, File No. 001-35700, filed</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918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by the Company with the SEC on November 16, 2012).</w:t>
              </w:r>
            </w:hyperlink>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6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620" w:type="dxa"/>
            <w:vAlign w:val="bottom"/>
          </w:tcPr>
          <w:p>
            <w:pPr>
              <w:ind w:left="60"/>
              <w:spacing w:after="0" w:line="202" w:lineRule="exact"/>
              <w:rPr>
                <w:sz w:val="20"/>
                <w:szCs w:val="20"/>
                <w:color w:val="auto"/>
              </w:rPr>
            </w:pPr>
            <w:r>
              <w:rPr>
                <w:rFonts w:ascii="Arial" w:cs="Arial" w:eastAsia="Arial" w:hAnsi="Arial"/>
                <w:sz w:val="18"/>
                <w:szCs w:val="18"/>
                <w:color w:val="auto"/>
              </w:rPr>
              <w:t>3.4</w:t>
            </w:r>
          </w:p>
        </w:tc>
        <w:tc>
          <w:tcPr>
            <w:tcW w:w="920" w:type="dxa"/>
            <w:vAlign w:val="bottom"/>
          </w:tcPr>
          <w:p>
            <w:pPr>
              <w:spacing w:after="0"/>
              <w:rPr>
                <w:sz w:val="17"/>
                <w:szCs w:val="17"/>
                <w:color w:val="auto"/>
              </w:rPr>
            </w:pPr>
          </w:p>
        </w:tc>
        <w:tc>
          <w:tcPr>
            <w:tcW w:w="9880" w:type="dxa"/>
            <w:vAlign w:val="bottom"/>
            <w:gridSpan w:val="23"/>
          </w:tcPr>
          <w:p>
            <w:pPr>
              <w:spacing w:after="0" w:line="202"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First Amendment to the Amended and Restated Bylaws (incorporated by reference to Exhibit 3.1 to the Form 8-K, File No. 000-35700,</w:t>
              </w:r>
            </w:hyperlink>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filed by the Company with the SEC on April 27, 2018).</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64"/>
        </w:trPr>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920" w:type="dxa"/>
            <w:vAlign w:val="bottom"/>
            <w:tcBorders>
              <w:right w:val="single" w:sz="8" w:color="CCEEFF"/>
            </w:tcBorders>
            <w:shd w:val="clear" w:color="auto" w:fill="CCEEFF"/>
          </w:tcPr>
          <w:p>
            <w:pPr>
              <w:spacing w:after="0"/>
              <w:rPr>
                <w:sz w:val="17"/>
                <w:szCs w:val="17"/>
                <w:color w:val="auto"/>
              </w:rPr>
            </w:pPr>
          </w:p>
        </w:tc>
        <w:tc>
          <w:tcPr>
            <w:tcW w:w="9180" w:type="dxa"/>
            <w:vAlign w:val="bottom"/>
            <w:gridSpan w:val="17"/>
            <w:shd w:val="clear" w:color="auto" w:fill="CCEEFF"/>
          </w:tcPr>
          <w:p>
            <w:pPr>
              <w:spacing w:after="0" w:line="202" w:lineRule="exact"/>
              <w:rPr>
                <w:rFonts w:ascii="Arial" w:cs="Arial" w:eastAsia="Arial" w:hAnsi="Arial"/>
                <w:sz w:val="18"/>
                <w:szCs w:val="18"/>
                <w:color w:val="0000FF"/>
              </w:rPr>
            </w:pPr>
            <w:hyperlink w:anchor="page171">
              <w:r>
                <w:rPr>
                  <w:rFonts w:ascii="Arial" w:cs="Arial" w:eastAsia="Arial" w:hAnsi="Arial"/>
                  <w:sz w:val="18"/>
                  <w:szCs w:val="18"/>
                  <w:color w:val="0000FF"/>
                </w:rPr>
                <w:t>Description of the Company’s Securities.</w:t>
              </w:r>
            </w:hyperlink>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156"/>
        </w:trPr>
        <w:tc>
          <w:tcPr>
            <w:tcW w:w="6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62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92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202"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 xml:space="preserve">Specimen certificate for shares of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per share, of the Company (incorporated by reference to Exhibit 4.1 to</w:t>
              </w:r>
            </w:hyperlink>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Amendment No. 4 to the Registration Statement on Form S-1, File No. 333-179502, filed by the Company with the SEC on August 20,</w:t>
              </w:r>
            </w:hyperlink>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2012).</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6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4.3</w:t>
            </w:r>
          </w:p>
        </w:tc>
        <w:tc>
          <w:tcPr>
            <w:tcW w:w="92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Indenture, dated as of December 20, 2016, among Diamondback Energy, Inc., the guarantors party thereto and Wells Fargo Bank,</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6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3"/>
            <w:shd w:val="clear" w:color="auto" w:fill="CCEEFF"/>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National Association, as trustee (including the form of Diamondback Energy, Inc.’s 5.375% Senior Notes due 2025) (incorporated by</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918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reference to Exhibit 4.1 to the Form 8-K, File No. 001-35700, filed by the Company with the SEC on December 21, 2016).</w:t>
              </w:r>
            </w:hyperlink>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92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First Supplemental Indenture for the 5.375% Senior Notes due 2025, dated as of January 29, 2018, among Diamondback Energy, Inc.,</w:t>
              </w:r>
            </w:hyperlink>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the guarantors party thereto and Wells Fargo Bank, National Association, as trustee (incorporated by reference to Exhibit 4.3 to the Form</w:t>
              </w:r>
            </w:hyperlink>
          </w:p>
        </w:tc>
      </w:tr>
      <w:tr>
        <w:trPr>
          <w:trHeight w:val="196"/>
        </w:trPr>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8-K, File No. 001-35700, filed by the Company with the SEC on January 30, 2018).</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4.5</w:t>
            </w:r>
          </w:p>
        </w:tc>
        <w:tc>
          <w:tcPr>
            <w:tcW w:w="92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3"/>
            <w:shd w:val="clear" w:color="auto" w:fill="CCEEFF"/>
          </w:tcPr>
          <w:p>
            <w:pPr>
              <w:spacing w:after="0" w:line="202"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Second Supplemental Indenture for the 5.375% Senior Notes due 2025, dated as of October 12, 2018, among Sidewinder Merger Sub</w:t>
              </w:r>
            </w:hyperlink>
          </w:p>
        </w:tc>
      </w:tr>
      <w:tr>
        <w:trPr>
          <w:trHeight w:val="20"/>
        </w:trPr>
        <w:tc>
          <w:tcPr>
            <w:tcW w:w="620" w:type="dxa"/>
            <w:vAlign w:val="bottom"/>
            <w:shd w:val="clear" w:color="auto" w:fill="CCEEFF"/>
          </w:tcPr>
          <w:p>
            <w:pPr>
              <w:spacing w:after="0" w:line="20" w:lineRule="exact"/>
              <w:rPr>
                <w:sz w:val="1"/>
                <w:szCs w:val="1"/>
                <w:color w:val="auto"/>
              </w:rPr>
            </w:pPr>
          </w:p>
        </w:tc>
        <w:tc>
          <w:tcPr>
            <w:tcW w:w="92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0" w:type="dxa"/>
            <w:vAlign w:val="bottom"/>
            <w:gridSpan w:val="21"/>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22"/>
            <w:shd w:val="clear" w:color="auto" w:fill="CCEEFF"/>
          </w:tcPr>
          <w:p>
            <w:pPr>
              <w:spacing w:after="0" w:line="196" w:lineRule="exact"/>
              <w:rPr>
                <w:rFonts w:ascii="Arial" w:cs="Arial" w:eastAsia="Arial" w:hAnsi="Arial"/>
                <w:sz w:val="18"/>
                <w:szCs w:val="18"/>
                <w:color w:val="0000FF"/>
                <w:w w:val="97"/>
              </w:rPr>
            </w:pPr>
            <w:hyperlink r:id="rId46">
              <w:r>
                <w:rPr>
                  <w:rFonts w:ascii="Arial" w:cs="Arial" w:eastAsia="Arial" w:hAnsi="Arial"/>
                  <w:sz w:val="18"/>
                  <w:szCs w:val="18"/>
                  <w:color w:val="0000FF"/>
                  <w:w w:val="97"/>
                </w:rPr>
                <w:t>Inc., a subsidiary of the Company, the Company, the other guarantors and Wells Fargo Bank, National Association, as trustee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6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3"/>
            <w:shd w:val="clear" w:color="auto" w:fill="CCEEFF"/>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(incorporated by reference to Exhibit 4.8 to the Form 10-K, File No. 001-35700, filed by the Company with the SEC on February 25,</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2019).</w:t>
              </w:r>
            </w:hyperlink>
          </w:p>
        </w:tc>
        <w:tc>
          <w:tcPr>
            <w:tcW w:w="7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080" w:type="dxa"/>
            <w:vAlign w:val="bottom"/>
            <w:tcBorders>
              <w:top w:val="single" w:sz="8" w:color="0000FF"/>
            </w:tcBorders>
            <w:shd w:val="clear" w:color="auto" w:fill="CCEEFF"/>
          </w:tcPr>
          <w:p>
            <w:pPr>
              <w:spacing w:after="0"/>
              <w:rPr>
                <w:sz w:val="17"/>
                <w:szCs w:val="17"/>
                <w:color w:val="auto"/>
              </w:rPr>
            </w:pPr>
          </w:p>
        </w:tc>
        <w:tc>
          <w:tcPr>
            <w:tcW w:w="72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53"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ind w:left="60"/>
              <w:spacing w:after="0"/>
              <w:rPr>
                <w:sz w:val="20"/>
                <w:szCs w:val="20"/>
                <w:color w:val="auto"/>
              </w:rPr>
            </w:pPr>
            <w:r>
              <w:rPr>
                <w:rFonts w:ascii="Arial" w:cs="Arial" w:eastAsia="Arial" w:hAnsi="Arial"/>
                <w:sz w:val="18"/>
                <w:szCs w:val="18"/>
                <w:i w:val="1"/>
                <w:iCs w:val="1"/>
                <w:color w:val="auto"/>
              </w:rPr>
              <w:t>3. Exhibits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419"/>
        </w:trPr>
        <w:tc>
          <w:tcPr>
            <w:tcW w:w="1280" w:type="dxa"/>
            <w:vAlign w:val="bottom"/>
          </w:tcPr>
          <w:p>
            <w:pPr>
              <w:ind w:left="6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Third Supplemental Indenture for the 5.375% Senior Notes due 2025, dated as of January 28, 2019, among Energen Corporation,</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Energen Resources Corporation, and EGN Services, Inc., each a direct or indirect subsidiary of the Company, the Company, the other</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guarantors under the indenture and Wells Fargo Bank, National Association, as trustee (incorporated by reference to Exhibit 4.9 to the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Form 10-K, File 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Indenture, dated as of December 5, 2019, between Diamondback Energy, Inc. and Wells Fargo Bank, National Association, as trustee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(incorporated by reference to Exhibit 4.1 to the Form 8-K, File No. 001-35700, filed by the Company with the SEC on December 5,</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2019).</w:t>
              </w:r>
            </w:hyperlink>
          </w:p>
        </w:tc>
        <w:tc>
          <w:tcPr>
            <w:tcW w:w="7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32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2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First Supplemental Indenture, dated as of December 5, 2019, among Diamondback Energy, Inc., Diamondback O&amp;G LLC and Wells</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Fargo Bank, National Association, as trustee (including the form of 2024 Notes, 2026 Notes and 2029 Notes) (incorporated by reference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to Exhibit 4.2 to the Form 8-K, File No. 001-35700, filed by the Company with the SEC on December 5, 2019).</w:t>
              </w:r>
            </w:hyperlink>
          </w:p>
        </w:tc>
        <w:tc>
          <w:tcPr>
            <w:tcW w:w="40" w:type="dxa"/>
            <w:vAlign w:val="bottom"/>
          </w:tcPr>
          <w:p>
            <w:pPr>
              <w:spacing w:after="0"/>
              <w:rPr>
                <w:sz w:val="17"/>
                <w:szCs w:val="17"/>
                <w:color w:val="auto"/>
              </w:rPr>
            </w:pPr>
          </w:p>
        </w:tc>
      </w:tr>
      <w:tr>
        <w:trPr>
          <w:trHeight w:val="264"/>
        </w:trPr>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3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400" w:type="dxa"/>
            <w:vAlign w:val="bottom"/>
            <w:tcBorders>
              <w:top w:val="single" w:sz="8" w:color="0000FF"/>
            </w:tcBorders>
          </w:tcPr>
          <w:p>
            <w:pPr>
              <w:spacing w:after="0"/>
              <w:rPr>
                <w:sz w:val="22"/>
                <w:szCs w:val="22"/>
                <w:color w:val="auto"/>
              </w:rPr>
            </w:pPr>
          </w:p>
        </w:tc>
        <w:tc>
          <w:tcPr>
            <w:tcW w:w="1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4.9</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Indenture, dated as of October 16, 2019, among Viper Energy Partners LP, as issuer, Viper Energy Partners LLC, as guarantor, and Wells</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Fargo Bank, National Association, as trustee (including the form of Viper Energy Partners LP’s 5.375% Senior Notes due 2027)</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(incorporated by reference to Exhibit 4.1 of Viper Energy Partners LP’s Current Report on Form 8-K (File 001-36505) filed on October</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46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17, 2019).</w:t>
              </w:r>
            </w:hyperlink>
          </w:p>
        </w:tc>
        <w:tc>
          <w:tcPr>
            <w:tcW w:w="3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32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2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4.10</w:t>
            </w:r>
          </w:p>
        </w:tc>
        <w:tc>
          <w:tcPr>
            <w:tcW w:w="260" w:type="dxa"/>
            <w:vAlign w:val="bottom"/>
          </w:tcPr>
          <w:p>
            <w:pPr>
              <w:spacing w:after="0"/>
              <w:rPr>
                <w:sz w:val="17"/>
                <w:szCs w:val="17"/>
                <w:color w:val="auto"/>
              </w:rPr>
            </w:pPr>
          </w:p>
        </w:tc>
        <w:tc>
          <w:tcPr>
            <w:tcW w:w="9880" w:type="dxa"/>
            <w:vAlign w:val="bottom"/>
            <w:gridSpan w:val="20"/>
          </w:tcPr>
          <w:p>
            <w:pPr>
              <w:spacing w:after="0" w:line="202"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Consent Letter, dated August 28, 2019, between Diamondback Energy, Inc., as parent guarantor, Diamondback O&amp;G LLC, as borrower,</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certain other subsidiaries of Diamondback Energy, Inc. as guarantors, Wells Fargo Bank, National Association, as administrative agent,</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and the lenders party thereto. (incorporated by reference to Exhibit 10.1 of the Company’s Current Report on Form 8-K (File 001-</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35700) filed on September 4, 2019).</w:t>
              </w:r>
            </w:hyperlink>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4.11</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Subordinated Promissory Note, dated as of October 16, 2019, by Viper Energy Partners LLC in favor of Viper Energy Partners LP</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(incorporated by reference to Exhibit 10.2 of Viper Energy Partners LP’s Current Report on Form 8-K (File 001-36505) filed on October</w:t>
              </w:r>
            </w:hyperlink>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17, 2019).</w:t>
              </w:r>
            </w:hyperlink>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132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1400" w:type="dxa"/>
            <w:vAlign w:val="bottom"/>
            <w:tcBorders>
              <w:top w:val="single" w:sz="8" w:color="0000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4.12</w:t>
            </w:r>
          </w:p>
        </w:tc>
        <w:tc>
          <w:tcPr>
            <w:tcW w:w="260" w:type="dxa"/>
            <w:vAlign w:val="bottom"/>
          </w:tcPr>
          <w:p>
            <w:pPr>
              <w:spacing w:after="0"/>
              <w:rPr>
                <w:sz w:val="17"/>
                <w:szCs w:val="17"/>
                <w:color w:val="auto"/>
              </w:rPr>
            </w:pPr>
          </w:p>
        </w:tc>
        <w:tc>
          <w:tcPr>
            <w:tcW w:w="9880" w:type="dxa"/>
            <w:vAlign w:val="bottom"/>
            <w:tcBorders>
              <w:bottom w:val="single" w:sz="8" w:color="0000FF"/>
            </w:tcBorders>
            <w:gridSpan w:val="20"/>
          </w:tcPr>
          <w:p>
            <w:pPr>
              <w:spacing w:after="0" w:line="202"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Registration Rights Agreement, dated as of February 28, 2017, among Diamondback Energy, Inc., Brigham Resources, LLC, Brigham</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Resources Operating, LLC and Brigham Resources Upstream Holdings, LP. (incorporated by reference to Exhibit 4.1 to the Form 8-K,</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File No. 001.35700, filed by the Company with the SEC on March 6, 2017).</w:t>
              </w:r>
            </w:hyperlink>
          </w:p>
        </w:tc>
        <w:tc>
          <w:tcPr>
            <w:tcW w:w="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4.13</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7"/>
              </w:rPr>
            </w:pPr>
            <w:hyperlink r:id="rId54">
              <w:r>
                <w:rPr>
                  <w:rFonts w:ascii="Arial" w:cs="Arial" w:eastAsia="Arial" w:hAnsi="Arial"/>
                  <w:sz w:val="18"/>
                  <w:szCs w:val="18"/>
                  <w:color w:val="0000FF"/>
                  <w:w w:val="97"/>
                </w:rPr>
                <w:t>Registration Rights Agreement, dated October 31, 2018, by and between Diamondback Energy, Inc. and Ajax Resources, LLC</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(incorporated by reference to Exhibit 4.1 to the Form 10-Q, File No. 001-35700, filed by the Company with the SEC on November 7,</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2018).</w:t>
              </w:r>
            </w:hyperlink>
          </w:p>
        </w:tc>
        <w:tc>
          <w:tcPr>
            <w:tcW w:w="7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32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36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4.14</w:t>
            </w: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Form of Indenture, dated September  1, 1996, between Energen and The Bank of New York as trustee (incorporated by reference to</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Exhibit 4(i) to Energen’s Registration Statement on Form S-3 (Registration No. 333-11239), filed with the SEC on August 30, 1996).</w:t>
              </w:r>
            </w:hyperlink>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Diamondback Energy, Inc. 2016 Amended and Restated Equity Incentive Plan (incorporated by reference to Appendix A to Schedule</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DEFA 14A filed by the Company with the SEC on May 25,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9880" w:type="dxa"/>
            <w:vAlign w:val="bottom"/>
            <w:gridSpan w:val="20"/>
          </w:tcPr>
          <w:p>
            <w:pPr>
              <w:spacing w:after="0" w:line="202" w:lineRule="exact"/>
              <w:rPr>
                <w:rFonts w:ascii="Arial" w:cs="Arial" w:eastAsia="Arial" w:hAnsi="Arial"/>
                <w:sz w:val="18"/>
                <w:szCs w:val="18"/>
                <w:color w:val="0000FF"/>
              </w:rPr>
            </w:pPr>
            <w:hyperlink w:anchor="page174">
              <w:r>
                <w:rPr>
                  <w:rFonts w:ascii="Arial" w:cs="Arial" w:eastAsia="Arial" w:hAnsi="Arial"/>
                  <w:sz w:val="18"/>
                  <w:szCs w:val="18"/>
                  <w:color w:val="0000FF"/>
                </w:rPr>
                <w:t>2020 Form of Time Vesting Restricted Stock Unit Award Agreement.</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10.3+*</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rFonts w:ascii="Arial" w:cs="Arial" w:eastAsia="Arial" w:hAnsi="Arial"/>
                <w:sz w:val="18"/>
                <w:szCs w:val="18"/>
                <w:color w:val="0000FF"/>
              </w:rPr>
            </w:pPr>
            <w:hyperlink w:anchor="page178">
              <w:r>
                <w:rPr>
                  <w:rFonts w:ascii="Arial" w:cs="Arial" w:eastAsia="Arial" w:hAnsi="Arial"/>
                  <w:sz w:val="18"/>
                  <w:szCs w:val="18"/>
                  <w:color w:val="0000FF"/>
                </w:rPr>
                <w:t>2020 Form of Performance Vesting Restricted Stock Unit Award Agreement.</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13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9880" w:type="dxa"/>
            <w:vAlign w:val="bottom"/>
            <w:gridSpan w:val="20"/>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Form of Director and Officer Indemnification Agreement (incorporated by reference to</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Exhibit 10.15 to Amendment No. 4 to the Registration Statement on Form S-1, File No. 333-179502, filed by the Company with the</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SEC on August 20, 2012).</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5"/>
              </w:rPr>
            </w:pPr>
            <w:hyperlink w:anchor="page184">
              <w:r>
                <w:rPr>
                  <w:rFonts w:ascii="Arial" w:cs="Arial" w:eastAsia="Arial" w:hAnsi="Arial"/>
                  <w:sz w:val="18"/>
                  <w:szCs w:val="18"/>
                  <w:color w:val="0000FF"/>
                  <w:w w:val="95"/>
                </w:rPr>
                <w:t>Diamondback Energy, Inc. Senior Management Severance Plan (including forms of participation agreements attached thereto as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w:anchor="page184">
              <w:r>
                <w:rPr>
                  <w:rFonts w:ascii="Arial" w:cs="Arial" w:eastAsia="Arial" w:hAnsi="Arial"/>
                  <w:sz w:val="18"/>
                  <w:szCs w:val="18"/>
                  <w:color w:val="0000FF"/>
                </w:rPr>
                <w:t>Schedules C-1 and C-2).</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10.6+</w:t>
            </w:r>
          </w:p>
        </w:tc>
        <w:tc>
          <w:tcPr>
            <w:tcW w:w="260" w:type="dxa"/>
            <w:vAlign w:val="bottom"/>
          </w:tcPr>
          <w:p>
            <w:pPr>
              <w:spacing w:after="0"/>
              <w:rPr>
                <w:sz w:val="17"/>
                <w:szCs w:val="17"/>
                <w:color w:val="auto"/>
              </w:rPr>
            </w:pPr>
          </w:p>
        </w:tc>
        <w:tc>
          <w:tcPr>
            <w:tcW w:w="9880" w:type="dxa"/>
            <w:vAlign w:val="bottom"/>
            <w:gridSpan w:val="20"/>
          </w:tcPr>
          <w:p>
            <w:pPr>
              <w:spacing w:after="0" w:line="20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2014 Executive Annual Incentive Compensation Plan (incorporated by reference to Exhibit 10.1 to the Form 8-K, File No. 001-35700,</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filed by the Company with the SEC on April 2, 2014).</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10.7+</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2014 Form of Time-Vesting Restricted Stock Unit Award Agreement (incorporated by reference to Exhibit 10.1 to the Form 8-K, File</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No. 001-35700, filed by the Company with the SEC on March 5, 2014).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13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9880" w:type="dxa"/>
            <w:vAlign w:val="bottom"/>
            <w:gridSpan w:val="20"/>
          </w:tcPr>
          <w:p>
            <w:pPr>
              <w:spacing w:after="0" w:line="202"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2014 Form of Performance-Based Restricted Stock Unit Award Agreement (incorporated by reference to Exhibit 10.2 to the Form 8-K,</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File No. 001-35700, filed by the Company with the SEC on March 5, 2014).</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10.9+</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Form of Amendment to Restricted Stock Unit Certificate (incorporated by reference to Exhibit 10.38 to the Form 10-K/A, file No. 001-</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35700, filed by the Company with the SEC on April 10, 2013).</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132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10.10</w:t>
            </w: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202"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Second Amended and Restated Credit Agreement, dated as of November 1, 2103, among Diamondback Energy, Inc., as parent</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guarantor, Diamondback O&amp;G LLC, as borrower, Wells Fargo Bank, National Association, as administrative agent, and the lenders</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party thereto (incorporated by reference to Exhibit 10.3 to the Form 10-Q, File No. 001-35700, filed by the Company with the SEC on</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November 5, 2013).</w:t>
              </w:r>
            </w:hyperlink>
          </w:p>
        </w:tc>
        <w:tc>
          <w:tcPr>
            <w:tcW w:w="8380" w:type="dxa"/>
            <w:vAlign w:val="bottom"/>
            <w:tcBorders>
              <w:top w:val="single" w:sz="8" w:color="0000FF"/>
            </w:tcBorders>
            <w:gridSpan w:val="16"/>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811"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08" w:right="239" w:bottom="811"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ind w:left="60"/>
              <w:spacing w:after="0"/>
              <w:rPr>
                <w:sz w:val="20"/>
                <w:szCs w:val="20"/>
                <w:color w:val="auto"/>
              </w:rPr>
            </w:pPr>
            <w:r>
              <w:rPr>
                <w:rFonts w:ascii="Arial" w:cs="Arial" w:eastAsia="Arial" w:hAnsi="Arial"/>
                <w:sz w:val="18"/>
                <w:szCs w:val="18"/>
                <w:i w:val="1"/>
                <w:iCs w:val="1"/>
                <w:color w:val="auto"/>
              </w:rPr>
              <w:t>3. Exhibits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59"/>
        </w:trPr>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3"/>
        </w:trPr>
        <w:tc>
          <w:tcPr>
            <w:tcW w:w="1280" w:type="dxa"/>
            <w:vAlign w:val="bottom"/>
            <w:shd w:val="clear" w:color="auto" w:fill="CCEEFF"/>
          </w:tcPr>
          <w:p>
            <w:pPr>
              <w:jc w:val="center"/>
              <w:ind w:right="670"/>
              <w:spacing w:after="0" w:line="202" w:lineRule="exact"/>
              <w:rPr>
                <w:sz w:val="20"/>
                <w:szCs w:val="20"/>
                <w:color w:val="auto"/>
              </w:rPr>
            </w:pPr>
            <w:r>
              <w:rPr>
                <w:rFonts w:ascii="Arial" w:cs="Arial" w:eastAsia="Arial" w:hAnsi="Arial"/>
                <w:sz w:val="18"/>
                <w:szCs w:val="18"/>
                <w:color w:val="auto"/>
                <w:w w:val="88"/>
              </w:rPr>
              <w:t>10.11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202"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First Amendment, dated June 9, 2014, to the Second Amended and Restated Credit Agreement, originally dated November 1, 2013, by</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and among the Company, as parent guarantor, Diamondback O&amp;G LLC, as borrower, each of the guarantors party thereto, each of the</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lenders party thereto and Wells Fargo Bank, National Association, as administrative agent (incorporated by reference to Exhibit 10.4 to</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the Form 10-Q, File No. 001-35700, filed by the Company with the SEC on August 7, 2014).</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CCEEFF"/>
              <w:right w:val="single" w:sz="8" w:color="CCEEFF"/>
            </w:tcBorders>
            <w:shd w:val="clear" w:color="auto" w:fill="CCEEFF"/>
          </w:tcPr>
          <w:p>
            <w:pPr>
              <w:spacing w:after="0"/>
              <w:rPr>
                <w:sz w:val="13"/>
                <w:szCs w:val="13"/>
                <w:color w:val="auto"/>
              </w:rPr>
            </w:pPr>
          </w:p>
        </w:tc>
      </w:tr>
      <w:tr>
        <w:trPr>
          <w:trHeight w:val="203"/>
        </w:trPr>
        <w:tc>
          <w:tcPr>
            <w:tcW w:w="1280" w:type="dxa"/>
            <w:vAlign w:val="bottom"/>
          </w:tcPr>
          <w:p>
            <w:pPr>
              <w:jc w:val="center"/>
              <w:ind w:right="670"/>
              <w:spacing w:after="0" w:line="202" w:lineRule="exact"/>
              <w:rPr>
                <w:sz w:val="20"/>
                <w:szCs w:val="20"/>
                <w:color w:val="auto"/>
              </w:rPr>
            </w:pPr>
            <w:r>
              <w:rPr>
                <w:rFonts w:ascii="Arial" w:cs="Arial" w:eastAsia="Arial" w:hAnsi="Arial"/>
                <w:sz w:val="18"/>
                <w:szCs w:val="18"/>
                <w:color w:val="auto"/>
                <w:w w:val="88"/>
              </w:rPr>
              <w:t>10.12</w:t>
            </w: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Second Amendment to the Second Amended and Restated Credit Agreement, dated as of November 13, 2014, among Diamondback</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Energy, Inc., as parent guarantor, Diamondback O&amp;G LLC, as borrower, the guarantors, Wells Fargo Bank, National Association, as</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administrative agent, and the lenders party thereto (incorporated by reference to Exhibit 10.2 to the Form 8-K, File No. 001-35700, filed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by the Company with the SEC on November 18, 2014).</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jc w:val="center"/>
              <w:ind w:right="670"/>
              <w:spacing w:after="0" w:line="202" w:lineRule="exact"/>
              <w:rPr>
                <w:sz w:val="20"/>
                <w:szCs w:val="20"/>
                <w:color w:val="auto"/>
              </w:rPr>
            </w:pPr>
            <w:r>
              <w:rPr>
                <w:rFonts w:ascii="Arial" w:cs="Arial" w:eastAsia="Arial" w:hAnsi="Arial"/>
                <w:sz w:val="18"/>
                <w:szCs w:val="18"/>
                <w:color w:val="auto"/>
                <w:w w:val="88"/>
              </w:rPr>
              <w:t>10.13</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Third Amendment, dated as of June 21, 2016, to the Second Amended and Restated Credit Agreement, dated as of November 1, 2013,</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by and among Diamondback Energy, Inc., as parent guarantor, Diamondback O&amp;G LLC, as borrower, certain other subsidiaries of</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(incorporated by reference to Exhibit 10.1 to the Company’s Current Report on Form 8-K, File No. 001-35700, filed by the Company</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8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with the SEC on June 27, 2016).</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280" w:type="dxa"/>
            <w:vAlign w:val="bottom"/>
          </w:tcPr>
          <w:p>
            <w:pPr>
              <w:jc w:val="center"/>
              <w:ind w:right="670"/>
              <w:spacing w:after="0" w:line="202" w:lineRule="exact"/>
              <w:rPr>
                <w:sz w:val="20"/>
                <w:szCs w:val="20"/>
                <w:color w:val="auto"/>
              </w:rPr>
            </w:pPr>
            <w:r>
              <w:rPr>
                <w:rFonts w:ascii="Arial" w:cs="Arial" w:eastAsia="Arial" w:hAnsi="Arial"/>
                <w:sz w:val="18"/>
                <w:szCs w:val="18"/>
                <w:color w:val="auto"/>
                <w:w w:val="88"/>
              </w:rPr>
              <w:t>10.14</w:t>
            </w: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Fourth Amendment, dated as of December 15, 2016, to the Second Amended and Restated Credit Agreement, dated as of November 1,</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2013, by and among Diamondback Energy, Inc., as parent guarantor, Diamondback O&amp;G LLC, as borrower, certain other subsidiaries of</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(incorporated by reference to Exhibit 10.2 to the Company’s Current Report on Form 8-K, File No. 001-35700, filed by the Company</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with the SEC on December 20, 2016).</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jc w:val="center"/>
              <w:ind w:right="670"/>
              <w:spacing w:after="0" w:line="202" w:lineRule="exact"/>
              <w:rPr>
                <w:sz w:val="20"/>
                <w:szCs w:val="20"/>
                <w:color w:val="auto"/>
              </w:rPr>
            </w:pPr>
            <w:r>
              <w:rPr>
                <w:rFonts w:ascii="Arial" w:cs="Arial" w:eastAsia="Arial" w:hAnsi="Arial"/>
                <w:sz w:val="18"/>
                <w:szCs w:val="18"/>
                <w:color w:val="auto"/>
                <w:w w:val="88"/>
              </w:rPr>
              <w:t>10.15</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Fifth Amendment, dated as of November 28, 2017, to the Second Amended and Restated Credit Agreement, dated as of November 1,</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2013, by and among Diamondback Energy, Inc., as parent guarantor, Diamondback O&amp;G LLC, as borrower, certain other subsidiaries</w:t>
              </w:r>
            </w:hyperlink>
          </w:p>
        </w:tc>
      </w:tr>
      <w:tr>
        <w:trPr>
          <w:trHeight w:val="196"/>
        </w:trPr>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88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of Diamondback Energy, Inc., as guarantors, Wells Fargo Bank, National Association, as administrative agent, and the lenders party</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thereto (incorporated by reference to Exhibit 10.1 to the Company’s Current Report on Form 8-K, File No. 001-35700, filed by the</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8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Company with the SEC on December 4, 2017).</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CCEEFF"/>
              <w:right w:val="single" w:sz="8" w:color="CCEEFF"/>
            </w:tcBorders>
            <w:shd w:val="clear" w:color="auto" w:fill="CCEEFF"/>
          </w:tcPr>
          <w:p>
            <w:pPr>
              <w:spacing w:after="0"/>
              <w:rPr>
                <w:sz w:val="13"/>
                <w:szCs w:val="13"/>
                <w:color w:val="auto"/>
              </w:rPr>
            </w:pPr>
          </w:p>
        </w:tc>
      </w:tr>
      <w:tr>
        <w:trPr>
          <w:trHeight w:val="203"/>
        </w:trPr>
        <w:tc>
          <w:tcPr>
            <w:tcW w:w="1280" w:type="dxa"/>
            <w:vAlign w:val="bottom"/>
          </w:tcPr>
          <w:p>
            <w:pPr>
              <w:jc w:val="center"/>
              <w:ind w:right="670"/>
              <w:spacing w:after="0" w:line="202" w:lineRule="exact"/>
              <w:rPr>
                <w:sz w:val="20"/>
                <w:szCs w:val="20"/>
                <w:color w:val="auto"/>
              </w:rPr>
            </w:pPr>
            <w:r>
              <w:rPr>
                <w:rFonts w:ascii="Arial" w:cs="Arial" w:eastAsia="Arial" w:hAnsi="Arial"/>
                <w:sz w:val="18"/>
                <w:szCs w:val="18"/>
                <w:color w:val="auto"/>
                <w:w w:val="88"/>
              </w:rPr>
              <w:t>10.16</w:t>
            </w: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Eighth Amendment to the Second Amended and Restated Credit Agreement, dated as of October 26, 2018, by and among Diamondback</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Energy, Inc., as parent guarantor, Diamondback O&amp;G LLC, as borrower, certain other subsidiaries of Diamondback Energy, Inc., as</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guarantors, Wells Fargo Bank, National Association, as administrative agent, and the lenders party thereto (incorporated by reference to</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10.1 to the Form 8-K, File No. 001-35700, filed by the Company with the SEC on November 1, 2018).</w:t>
              </w:r>
            </w:hyperlink>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280" w:type="dxa"/>
            <w:vAlign w:val="bottom"/>
            <w:tcBorders>
              <w:bottom w:val="single" w:sz="8" w:color="CCEEFF"/>
            </w:tcBorders>
            <w:shd w:val="clear" w:color="auto" w:fill="CCEEFF"/>
          </w:tcPr>
          <w:p>
            <w:pPr>
              <w:jc w:val="center"/>
              <w:ind w:right="670"/>
              <w:spacing w:after="0" w:line="202" w:lineRule="exact"/>
              <w:rPr>
                <w:sz w:val="20"/>
                <w:szCs w:val="20"/>
                <w:color w:val="auto"/>
              </w:rPr>
            </w:pPr>
            <w:r>
              <w:rPr>
                <w:rFonts w:ascii="Arial" w:cs="Arial" w:eastAsia="Arial" w:hAnsi="Arial"/>
                <w:sz w:val="18"/>
                <w:szCs w:val="18"/>
                <w:color w:val="auto"/>
                <w:w w:val="88"/>
              </w:rPr>
              <w:t>10.17</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Ninth Amendment to Second Amended and Restated Credit Agreement and Fourth Amendment to Amended and Restated Guaranty and</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Collateral Agreement, dated as of November 29, 2018, by and among Diamondback Energy, Inc., as parent guarantor, Diamondback</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O&amp;G LLC, as borrower, certain other subsidiaries of Diamondback Energy, Inc., as guarantors, Wells Fargo Bank, National Association,</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as administrative agent, and the lenders party thereto (incorporated by reference to Exhibit 10.1 to the Form 8-K, File No. 001-35700,</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filed by the Company with the SEC on December 6, 2018).</w:t>
              </w:r>
            </w:hyperlink>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28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88"/>
              </w:rPr>
              <w:t>10.18</w:t>
            </w: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Tenth Amendment to Second Amended and Restated Credit Agreement, dated as of March 25, 2019, between Diamondback, as parent</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guarantor, Diamondback O&amp;G LLC, as borrower, certain other subsidiaries of Diamondback Energy, Inc. as guarantors, Wells Fargo</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Bank, National Association, as administrative agent, and the lenders party thereto (incorporated by reference to Exhibit 10.1 to the Form</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8-K (File No. 00 1-35700), filed by the Company with the SEC on March 29, 2019).</w:t>
              </w:r>
            </w:hyperlink>
          </w:p>
        </w:tc>
      </w:tr>
      <w:tr>
        <w:trPr>
          <w:trHeight w:val="264"/>
        </w:trPr>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Borders>
              <w:top w:val="single" w:sz="8" w:color="0000FF"/>
            </w:tcBorders>
          </w:tcPr>
          <w:p>
            <w:pPr>
              <w:spacing w:after="0"/>
              <w:rPr>
                <w:sz w:val="22"/>
                <w:szCs w:val="22"/>
                <w:color w:val="auto"/>
              </w:rPr>
            </w:pPr>
          </w:p>
        </w:tc>
        <w:tc>
          <w:tcPr>
            <w:tcW w:w="12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3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3"/>
        </w:trPr>
        <w:tc>
          <w:tcPr>
            <w:tcW w:w="1280" w:type="dxa"/>
            <w:vAlign w:val="bottom"/>
            <w:tcBorders>
              <w:bottom w:val="single" w:sz="8" w:color="CCEEFF"/>
            </w:tcBorders>
            <w:shd w:val="clear" w:color="auto" w:fill="CCEEFF"/>
          </w:tcPr>
          <w:p>
            <w:pPr>
              <w:jc w:val="center"/>
              <w:ind w:right="710"/>
              <w:spacing w:after="0" w:line="202" w:lineRule="exact"/>
              <w:rPr>
                <w:sz w:val="20"/>
                <w:szCs w:val="20"/>
                <w:color w:val="auto"/>
              </w:rPr>
            </w:pPr>
            <w:r>
              <w:rPr>
                <w:rFonts w:ascii="Arial" w:cs="Arial" w:eastAsia="Arial" w:hAnsi="Arial"/>
                <w:sz w:val="18"/>
                <w:szCs w:val="18"/>
                <w:color w:val="auto"/>
                <w:w w:val="88"/>
              </w:rPr>
              <w:t>10.19</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Eleventh Amendment to Second Amended and Restated Credit Agreement, dated as of June 28, 2019, between Diamondback Energy,</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Inc., as parent guarantor, Diamondback O&amp;G LLC, as borrower, certain other subsidiaries of Diamondback Energy, Inc. as guarantors,</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Wells Fargo Bank, National Association, as administrative agent, and the lenders party thereto (incorporated by reference to Exhibit 10.1</w:t>
              </w:r>
            </w:hyperlink>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58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to the Form 8-K, File No. 001-35700, filed by the Company with the SEC on July 3, 2019).</w:t>
              </w:r>
            </w:hyperlink>
          </w:p>
        </w:tc>
        <w:tc>
          <w:tcPr>
            <w:tcW w:w="3300" w:type="dxa"/>
            <w:vAlign w:val="bottom"/>
            <w:tcBorders>
              <w:bottom w:val="single" w:sz="8" w:color="CCEEFF"/>
              <w:right w:val="single" w:sz="8" w:color="CCEEFF"/>
            </w:tcBorders>
            <w:gridSpan w:val="3"/>
            <w:shd w:val="clear" w:color="auto" w:fill="CCEEFF"/>
          </w:tcPr>
          <w:p>
            <w:pPr>
              <w:spacing w:after="0"/>
              <w:rPr>
                <w:sz w:val="21"/>
                <w:szCs w:val="21"/>
                <w:color w:val="auto"/>
              </w:rPr>
            </w:pPr>
          </w:p>
        </w:tc>
      </w:tr>
      <w:tr>
        <w:trPr>
          <w:trHeight w:val="203"/>
        </w:trPr>
        <w:tc>
          <w:tcPr>
            <w:tcW w:w="1280" w:type="dxa"/>
            <w:vAlign w:val="bottom"/>
          </w:tcPr>
          <w:p>
            <w:pPr>
              <w:jc w:val="center"/>
              <w:ind w:right="710"/>
              <w:spacing w:after="0" w:line="202" w:lineRule="exact"/>
              <w:rPr>
                <w:sz w:val="20"/>
                <w:szCs w:val="20"/>
                <w:color w:val="auto"/>
              </w:rPr>
            </w:pPr>
            <w:r>
              <w:rPr>
                <w:rFonts w:ascii="Arial" w:cs="Arial" w:eastAsia="Arial" w:hAnsi="Arial"/>
                <w:sz w:val="18"/>
                <w:szCs w:val="18"/>
                <w:color w:val="auto"/>
                <w:w w:val="88"/>
              </w:rPr>
              <w:t>10.20</w:t>
            </w: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Contribution Agreement by and among Diamondback Energy, Inc., Viper Energy Partners LLC, Viper Energy Partners GP LLC and</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Viper Energy Partners LP, dated as of June 17, 2014 (incorporated by reference to Exhibit 10.1 to the Form 8-K, File No. 001-35700,</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filed by Viper Energy Partners LP with the SEC on May 7, 2014).</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jc w:val="center"/>
              <w:ind w:right="670"/>
              <w:spacing w:after="0" w:line="202" w:lineRule="exact"/>
              <w:rPr>
                <w:sz w:val="20"/>
                <w:szCs w:val="20"/>
                <w:color w:val="auto"/>
              </w:rPr>
            </w:pPr>
            <w:r>
              <w:rPr>
                <w:rFonts w:ascii="Arial" w:cs="Arial" w:eastAsia="Arial" w:hAnsi="Arial"/>
                <w:sz w:val="18"/>
                <w:szCs w:val="18"/>
                <w:color w:val="auto"/>
                <w:w w:val="88"/>
              </w:rPr>
              <w:t>10.21</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Amended and Restated Credit Agreement, dated as of July 20, 2018, by and among, Viper Energy Partners LLC, as borrower, Viper</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Energy Partners LP, as guarantor, Wells Fargo Bank, National Association, as administrative agent, and the lenders party thereto</w:t>
              </w:r>
            </w:hyperlink>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(incorporated by reference to Exhibit 10.1 of the Current Report on Form 8-K (File 001-36505) filed by Viper Energy Partners LP on</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8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July 26, 2018).</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CCEEFF"/>
              <w:right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08" w:right="2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ind w:left="60"/>
              <w:spacing w:after="0"/>
              <w:rPr>
                <w:sz w:val="20"/>
                <w:szCs w:val="20"/>
                <w:color w:val="auto"/>
              </w:rPr>
            </w:pPr>
            <w:r>
              <w:rPr>
                <w:rFonts w:ascii="Arial" w:cs="Arial" w:eastAsia="Arial" w:hAnsi="Arial"/>
                <w:sz w:val="18"/>
                <w:szCs w:val="18"/>
                <w:i w:val="1"/>
                <w:iCs w:val="1"/>
                <w:color w:val="auto"/>
              </w:rPr>
              <w:t>3. Exhibits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419"/>
        </w:trPr>
        <w:tc>
          <w:tcPr>
            <w:tcW w:w="1280" w:type="dxa"/>
            <w:vAlign w:val="bottom"/>
          </w:tcPr>
          <w:p>
            <w:pPr>
              <w:ind w:left="60"/>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Second Amendment to Amended and Restated Senior Secured Revolving Credit Agreement, dated as of September 24, 2019, among</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Viper Energy Partners LLC, as borrower, Viper Energy Partners LP, as parent guarantor, Wells Fargo Bank, National Association, as</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administrative agent, and the lender party thereto (incorporated by reference to Exhibit 10.1 of Viper Energy Partners LP’s Form 8-K</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(File 001-36505) filed on September 30, 2019).</w:t>
              </w:r>
            </w:hyperlink>
          </w:p>
        </w:tc>
        <w:tc>
          <w:tcPr>
            <w:tcW w:w="40" w:type="dxa"/>
            <w:vAlign w:val="bottom"/>
          </w:tcPr>
          <w:p>
            <w:pPr>
              <w:spacing w:after="0"/>
              <w:rPr>
                <w:sz w:val="17"/>
                <w:szCs w:val="17"/>
                <w:color w:val="auto"/>
              </w:rPr>
            </w:pPr>
          </w:p>
        </w:tc>
      </w:tr>
      <w:tr>
        <w:trPr>
          <w:trHeight w:val="264"/>
        </w:trPr>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10.23</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Third Amendment to Amended and Restated Senior Secured Revolving Credit Agreement, dated as of October 8, 2019, among Viper</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FF"/>
                <w:w w:val="97"/>
              </w:rPr>
            </w:pPr>
            <w:hyperlink r:id="rId75">
              <w:r>
                <w:rPr>
                  <w:rFonts w:ascii="Arial" w:cs="Arial" w:eastAsia="Arial" w:hAnsi="Arial"/>
                  <w:sz w:val="18"/>
                  <w:szCs w:val="18"/>
                  <w:color w:val="0000FF"/>
                  <w:w w:val="97"/>
                </w:rPr>
                <w:t>Energy Partners LLC, as borrower, Viper Energy Partners LP, as parent guarantor, Wells Fargo Bank, National Association, as</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administrative agent, and the lender party thereto (incorporated by reference to Exhibit 10.1 of Viper Energy Partners LP’s Form 8-K</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(File 001-36505) filed on October 10,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10.24</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Credit Agreement, dated May 28, 2019, by and among Rattler Midstream Operating LLC, as borrower, Rattler Midstream LP, as parent,</w:t>
              </w:r>
            </w:hyperlink>
          </w:p>
        </w:tc>
      </w:tr>
      <w:tr>
        <w:trPr>
          <w:trHeight w:val="20"/>
        </w:trPr>
        <w:tc>
          <w:tcPr>
            <w:tcW w:w="12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Wells Fargo Bank, National Association, as the administrative agent, and certain lenders from time to time party thereto (incorporated by</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reference to Exhibit 10.2 to Rattler Midstream LP’s Form 8-K, File No. 001-38919, filed by Rattler Midstream LP with the SEC on May</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29, 2019).</w:t>
              </w:r>
            </w:hyperlink>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10.25</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First Amendment to the Credit Agreement, dated as of October 23, 2019, by and among Rattler Midstream Operating LLC, as borrower,</w:t>
              </w:r>
            </w:hyperlink>
          </w:p>
        </w:tc>
      </w:tr>
      <w:tr>
        <w:trPr>
          <w:trHeight w:val="20"/>
        </w:trPr>
        <w:tc>
          <w:tcPr>
            <w:tcW w:w="1280" w:type="dxa"/>
            <w:vAlign w:val="bottom"/>
            <w:shd w:val="clear" w:color="auto" w:fill="CCEEFF"/>
          </w:tcPr>
          <w:p>
            <w:pPr>
              <w:spacing w:after="0" w:line="20" w:lineRule="exact"/>
              <w:rPr>
                <w:sz w:val="1"/>
                <w:szCs w:val="1"/>
                <w:color w:val="auto"/>
              </w:rPr>
            </w:pPr>
          </w:p>
        </w:tc>
        <w:tc>
          <w:tcPr>
            <w:tcW w:w="26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Rattler Midstream LP, as parent, Wells Fargo Bank, National Association, as the administrative agent, and certain lenders from time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time party thereto (incorporated by reference to Exhibit 10.1 of Rattler Midstream LP’s Form 8-K (File 001-38919) filed on October 28,</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2019).</w:t>
              </w:r>
            </w:hyperlink>
          </w:p>
        </w:tc>
        <w:tc>
          <w:tcPr>
            <w:tcW w:w="620" w:type="dxa"/>
            <w:vAlign w:val="bottom"/>
            <w:tcBorders>
              <w:top w:val="single" w:sz="8" w:color="0000FF"/>
            </w:tcBorders>
            <w:shd w:val="clear" w:color="auto" w:fill="CCEEFF"/>
          </w:tcPr>
          <w:p>
            <w:pPr>
              <w:spacing w:after="0"/>
              <w:rPr>
                <w:sz w:val="17"/>
                <w:szCs w:val="17"/>
                <w:color w:val="auto"/>
              </w:rPr>
            </w:pPr>
          </w:p>
        </w:tc>
        <w:tc>
          <w:tcPr>
            <w:tcW w:w="8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8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920" w:type="dxa"/>
            <w:vAlign w:val="bottom"/>
            <w:tcBorders>
              <w:top w:val="single" w:sz="8" w:color="0000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60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10.26</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ATM Equity OfferingSM Sales Agreement, dated December 11, 2018, by and among Diamondback Energy, Inc., Ajax Resources, LLC,</w:t>
              </w:r>
            </w:hyperlink>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F&amp;A Wylie Investments, LLC and Merrill Lynch, Pierce, Fenner &amp; Smith Incorporated, as sales agent (incorporated by reference to</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Form 8-K, File No. 001-35700, filed by the Company with the SEC on December 12, 2018).</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10.27+</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Energen Corporation Stock Incentive Plan (as amended effective November 7, 2017) (incorporated by reference to Exhibit 10(b) to</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Energen’s Quarterly Report on Form 10-Q for the quarterly period ended September 30, 2017).</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9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10.28+</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Amendment to the Energen Corporation Stock Incentive Plan, dated November 27, 2018 (incorporated by reference to Exhibit 4.7 to the</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Registration Statement on Form S-8, File No. 333-228637, filed by the Company with the SEC on November 30, 2018).</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10.29+</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right w:val="single" w:sz="8" w:color="CCEEFF"/>
            </w:tcBorders>
            <w:gridSpan w:val="17"/>
            <w:shd w:val="clear" w:color="auto" w:fill="CCEEFF"/>
          </w:tcPr>
          <w:p>
            <w:pPr>
              <w:spacing w:after="0" w:line="202"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Form of Stock Option Agreement under the Energen Corporation Stock Incentive Plan (incorporated by reference to Exhibit 10(r)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Energen’s Annual Report on Form 10-K for the year ended December 31, 2012).</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9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10.30+</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Form of Restricted Stock Agreement under the Energen Corporation Stock Incentive Plan (incorporated by reference to Exhibit 10(s) to</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Energen’s Annual Report on Form 10-K for the year ended December 31, 2012).</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10.31+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Form of Restricted Stock Unit Agreement under the Energen Corporation Stock Incentive Plan (incorporated by reference to Exhibit</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Energen’s Current Report on Form 8-K filed December 12,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9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10.32+</w:t>
            </w:r>
          </w:p>
        </w:tc>
        <w:tc>
          <w:tcPr>
            <w:tcW w:w="26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202"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Form of Performance Share Award under the Energen Corporation Stock Incentive Plan (incorporated by reference to Exhibit 10(t) to</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Energen’s Annual Report on Form 10-K for the year ended December 31, 2012).</w:t>
              </w:r>
            </w:hyperlink>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21.1*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rPr>
            </w:pPr>
            <w:hyperlink w:anchor="page214">
              <w:r>
                <w:rPr>
                  <w:rFonts w:ascii="Arial" w:cs="Arial" w:eastAsia="Arial" w:hAnsi="Arial"/>
                  <w:sz w:val="18"/>
                  <w:szCs w:val="18"/>
                  <w:color w:val="0000FF"/>
                </w:rPr>
                <w:t>Subsidiaries of the Registrant.</w:t>
              </w:r>
            </w:hyperlink>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left w:val="single" w:sz="8" w:color="CCEEFF"/>
            </w:tcBorders>
            <w:shd w:val="clear" w:color="auto" w:fill="CCEEFF"/>
          </w:tcPr>
          <w:p>
            <w:pPr>
              <w:spacing w:after="0"/>
              <w:rPr>
                <w:sz w:val="20"/>
                <w:szCs w:val="20"/>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rPr>
            </w:pPr>
            <w:hyperlink w:anchor="page215">
              <w:r>
                <w:rPr>
                  <w:rFonts w:ascii="Arial" w:cs="Arial" w:eastAsia="Arial" w:hAnsi="Arial"/>
                  <w:sz w:val="18"/>
                  <w:szCs w:val="18"/>
                  <w:color w:val="0000FF"/>
                </w:rPr>
                <w:t>Consent of Grant Thornton LLP.</w:t>
              </w:r>
            </w:hyperlink>
          </w:p>
        </w:tc>
      </w:tr>
      <w:tr>
        <w:trPr>
          <w:trHeight w:val="237"/>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23.2*</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9"/>
              </w:rPr>
            </w:pPr>
            <w:hyperlink w:anchor="page216">
              <w:r>
                <w:rPr>
                  <w:rFonts w:ascii="Arial" w:cs="Arial" w:eastAsia="Arial" w:hAnsi="Arial"/>
                  <w:sz w:val="18"/>
                  <w:szCs w:val="18"/>
                  <w:color w:val="0000FF"/>
                  <w:w w:val="99"/>
                </w:rPr>
                <w:t>Consent of Ryder Scott Company, L.P. with respect to the Diamondback Energy, Inc. reserve report included as Exhibit 99.1.</w:t>
              </w:r>
            </w:hyperlink>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1920" w:type="dxa"/>
            <w:vAlign w:val="bottom"/>
            <w:tcBorders>
              <w:top w:val="single" w:sz="8" w:color="0000FF"/>
            </w:tcBorders>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60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left w:val="single" w:sz="8" w:color="CCEEFF"/>
            </w:tcBorders>
            <w:shd w:val="clear" w:color="auto" w:fill="CCEEFF"/>
          </w:tcPr>
          <w:p>
            <w:pPr>
              <w:spacing w:after="0"/>
              <w:rPr>
                <w:sz w:val="20"/>
                <w:szCs w:val="20"/>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23.3*</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9"/>
              </w:rPr>
            </w:pPr>
            <w:hyperlink w:anchor="page217">
              <w:r>
                <w:rPr>
                  <w:rFonts w:ascii="Arial" w:cs="Arial" w:eastAsia="Arial" w:hAnsi="Arial"/>
                  <w:sz w:val="18"/>
                  <w:szCs w:val="18"/>
                  <w:color w:val="0000FF"/>
                  <w:w w:val="99"/>
                </w:rPr>
                <w:t>Consent of Ryder Scott Company, L.P. with respect to the Viper Energy Partners LP reserve report included as Exhibit 99.2.</w:t>
              </w:r>
            </w:hyperlink>
          </w:p>
        </w:tc>
      </w:tr>
      <w:tr>
        <w:trPr>
          <w:trHeight w:val="237"/>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9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1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2"/>
              </w:rPr>
            </w:pPr>
            <w:hyperlink w:anchor="page218">
              <w:r>
                <w:rPr>
                  <w:rFonts w:ascii="Arial" w:cs="Arial" w:eastAsia="Arial" w:hAnsi="Arial"/>
                  <w:sz w:val="18"/>
                  <w:szCs w:val="18"/>
                  <w:color w:val="0000FF"/>
                  <w:w w:val="92"/>
                </w:rPr>
                <w:t>Certification of Chief Executive Officer of the Registrant pursuant to Rule 13a-14(a) promulgated under the Securities Exchange Act of</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w:anchor="page218">
              <w:r>
                <w:rPr>
                  <w:rFonts w:ascii="Arial" w:cs="Arial" w:eastAsia="Arial" w:hAnsi="Arial"/>
                  <w:sz w:val="18"/>
                  <w:szCs w:val="18"/>
                  <w:color w:val="0000FF"/>
                </w:rPr>
                <w:t>1934, as amended.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2"/>
              </w:rPr>
            </w:pPr>
            <w:hyperlink w:anchor="page219">
              <w:r>
                <w:rPr>
                  <w:rFonts w:ascii="Arial" w:cs="Arial" w:eastAsia="Arial" w:hAnsi="Arial"/>
                  <w:sz w:val="18"/>
                  <w:szCs w:val="18"/>
                  <w:color w:val="0000FF"/>
                  <w:w w:val="92"/>
                </w:rPr>
                <w:t>Certification of Chief Financial Officer of the Registrant pursuant to Rule 13a-14(a) promulgated under the Securities Exchange Act of</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219">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2"/>
              </w:rPr>
            </w:pPr>
            <w:hyperlink w:anchor="page220">
              <w:r>
                <w:rPr>
                  <w:rFonts w:ascii="Arial" w:cs="Arial" w:eastAsia="Arial" w:hAnsi="Arial"/>
                  <w:sz w:val="18"/>
                  <w:szCs w:val="18"/>
                  <w:color w:val="0000FF"/>
                  <w:w w:val="92"/>
                </w:rPr>
                <w:t>Certification of Chief Executive Officer of the Registrant pursuant to Rule 13a-14(b) promulgated under the Securities Exchange Act of</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w:anchor="page220">
              <w:r>
                <w:rPr>
                  <w:rFonts w:ascii="Arial" w:cs="Arial" w:eastAsia="Arial" w:hAnsi="Arial"/>
                  <w:sz w:val="18"/>
                  <w:szCs w:val="18"/>
                  <w:color w:val="0000FF"/>
                </w:rPr>
                <w:t>1934, as amended, and Section 1350 of Chapter 63 of Title 18 of the United States Code.</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9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28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260" w:type="dxa"/>
            <w:vAlign w:val="bottom"/>
          </w:tcPr>
          <w:p>
            <w:pPr>
              <w:spacing w:after="0"/>
              <w:rPr>
                <w:sz w:val="17"/>
                <w:szCs w:val="17"/>
                <w:color w:val="auto"/>
              </w:rPr>
            </w:pPr>
          </w:p>
        </w:tc>
        <w:tc>
          <w:tcPr>
            <w:tcW w:w="9880" w:type="dxa"/>
            <w:vAlign w:val="bottom"/>
            <w:gridSpan w:val="18"/>
          </w:tcPr>
          <w:p>
            <w:pPr>
              <w:spacing w:after="0" w:line="202" w:lineRule="exact"/>
              <w:rPr>
                <w:rFonts w:ascii="Arial" w:cs="Arial" w:eastAsia="Arial" w:hAnsi="Arial"/>
                <w:sz w:val="18"/>
                <w:szCs w:val="18"/>
                <w:color w:val="0000FF"/>
                <w:w w:val="92"/>
              </w:rPr>
            </w:pPr>
            <w:hyperlink w:anchor="page221">
              <w:r>
                <w:rPr>
                  <w:rFonts w:ascii="Arial" w:cs="Arial" w:eastAsia="Arial" w:hAnsi="Arial"/>
                  <w:sz w:val="18"/>
                  <w:szCs w:val="18"/>
                  <w:color w:val="0000FF"/>
                  <w:w w:val="92"/>
                </w:rPr>
                <w:t>Certification of Chief Financial Officer of the Registrant pursuant to Rule 13a-14(b) promulgated under the Securities Exchange Act of</w:t>
              </w:r>
            </w:hyperlink>
          </w:p>
        </w:tc>
      </w:tr>
      <w:tr>
        <w:trPr>
          <w:trHeight w:val="196"/>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221">
              <w:r>
                <w:rPr>
                  <w:rFonts w:ascii="Arial" w:cs="Arial" w:eastAsia="Arial" w:hAnsi="Arial"/>
                  <w:sz w:val="18"/>
                  <w:szCs w:val="18"/>
                  <w:color w:val="0000FF"/>
                </w:rPr>
                <w:t>1934, as amended, and Section 1350 of Chapter 63 of Title 18 of the United States Code.</w:t>
              </w:r>
            </w:hyperlink>
          </w:p>
        </w:tc>
        <w:tc>
          <w:tcPr>
            <w:tcW w:w="40" w:type="dxa"/>
            <w:vAlign w:val="bottom"/>
          </w:tcPr>
          <w:p>
            <w:pPr>
              <w:spacing w:after="0"/>
              <w:rPr>
                <w:sz w:val="17"/>
                <w:szCs w:val="17"/>
                <w:color w:val="auto"/>
              </w:rPr>
            </w:pPr>
          </w:p>
        </w:tc>
      </w:tr>
      <w:tr>
        <w:trPr>
          <w:trHeight w:val="156"/>
        </w:trPr>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99.1*</w:t>
            </w:r>
          </w:p>
        </w:tc>
        <w:tc>
          <w:tcPr>
            <w:tcW w:w="26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8"/>
            <w:shd w:val="clear" w:color="auto" w:fill="CCEEFF"/>
          </w:tcPr>
          <w:p>
            <w:pPr>
              <w:spacing w:after="0" w:line="202" w:lineRule="exact"/>
              <w:rPr>
                <w:rFonts w:ascii="Arial" w:cs="Arial" w:eastAsia="Arial" w:hAnsi="Arial"/>
                <w:sz w:val="18"/>
                <w:szCs w:val="18"/>
                <w:color w:val="0000FF"/>
                <w:w w:val="90"/>
              </w:rPr>
            </w:pPr>
            <w:hyperlink w:anchor="page222">
              <w:r>
                <w:rPr>
                  <w:rFonts w:ascii="Arial" w:cs="Arial" w:eastAsia="Arial" w:hAnsi="Arial"/>
                  <w:sz w:val="18"/>
                  <w:szCs w:val="18"/>
                  <w:color w:val="0000FF"/>
                  <w:w w:val="90"/>
                </w:rPr>
                <w:t>Report of Ryder Scott Company, L.P., dated January 10, 2020, with respect to an estimate of the proved reserves, future production and</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rPr>
            </w:pPr>
            <w:hyperlink w:anchor="page222">
              <w:r>
                <w:rPr>
                  <w:rFonts w:ascii="Arial" w:cs="Arial" w:eastAsia="Arial" w:hAnsi="Arial"/>
                  <w:sz w:val="18"/>
                  <w:szCs w:val="18"/>
                  <w:color w:val="0000FF"/>
                </w:rPr>
                <w:t>income attributable to certain leasehold interests of Diamondback Energy, Inc. as of December 31,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9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08"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ind w:left="60"/>
              <w:spacing w:after="0"/>
              <w:rPr>
                <w:sz w:val="20"/>
                <w:szCs w:val="20"/>
                <w:color w:val="auto"/>
              </w:rPr>
            </w:pPr>
            <w:r>
              <w:rPr>
                <w:rFonts w:ascii="Arial" w:cs="Arial" w:eastAsia="Arial" w:hAnsi="Arial"/>
                <w:sz w:val="18"/>
                <w:szCs w:val="18"/>
                <w:i w:val="1"/>
                <w:iCs w:val="1"/>
                <w:color w:val="auto"/>
              </w:rPr>
              <w:t>3. Exhibits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419"/>
        </w:trPr>
        <w:tc>
          <w:tcPr>
            <w:tcW w:w="1280" w:type="dxa"/>
            <w:vAlign w:val="bottom"/>
          </w:tcPr>
          <w:p>
            <w:pPr>
              <w:ind w:left="60"/>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color w:val="0000FF"/>
                <w:w w:val="90"/>
              </w:rPr>
            </w:pPr>
            <w:hyperlink w:anchor="page238">
              <w:r>
                <w:rPr>
                  <w:rFonts w:ascii="Arial" w:cs="Arial" w:eastAsia="Arial" w:hAnsi="Arial"/>
                  <w:sz w:val="18"/>
                  <w:szCs w:val="18"/>
                  <w:color w:val="0000FF"/>
                  <w:w w:val="90"/>
                </w:rPr>
                <w:t>Report of Ryder Scott Company, L.P., dated January 10, 2020, with respect to an estimate of the proved reserves, future production and</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238">
              <w:r>
                <w:rPr>
                  <w:rFonts w:ascii="Arial" w:cs="Arial" w:eastAsia="Arial" w:hAnsi="Arial"/>
                  <w:sz w:val="18"/>
                  <w:szCs w:val="18"/>
                  <w:color w:val="0000FF"/>
                  <w:w w:val="92"/>
                </w:rPr>
                <w:t>income attributable to certain royalty interests of Viper Energy Partners LP, a subsidiary of Diamondback Energy, Inc., as of December</w:t>
              </w:r>
            </w:hyperlink>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238">
              <w:r>
                <w:rPr>
                  <w:rFonts w:ascii="Arial" w:cs="Arial" w:eastAsia="Arial" w:hAnsi="Arial"/>
                  <w:sz w:val="18"/>
                  <w:szCs w:val="18"/>
                  <w:color w:val="0000FF"/>
                  <w:w w:val="87"/>
                </w:rPr>
                <w:t>31, 2019.</w:t>
              </w:r>
            </w:hyperlink>
          </w:p>
        </w:tc>
        <w:tc>
          <w:tcPr>
            <w:tcW w:w="91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63" w:lineRule="exact"/>
        <w:rPr>
          <w:sz w:val="20"/>
          <w:szCs w:val="20"/>
          <w:color w:val="auto"/>
        </w:rPr>
      </w:pPr>
    </w:p>
    <w:p>
      <w:pPr>
        <w:jc w:val="both"/>
        <w:ind w:left="1540" w:right="20" w:hanging="1478"/>
        <w:spacing w:after="0" w:line="312"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Annual Report on Form 10-K for the year ended December 31, 2019, formatted in Inline XBRL: (i) Consolidated Balance Sheets, (ii) Consolidated Statements of Operations, (iii) Consolidated Statement of Changes in Stockholders’ Equity, (iv) Consolidated Statements of Cash Flows and (v) Notes to Consolidated Financial Statements.</w:t>
      </w:r>
    </w:p>
    <w:p>
      <w:pPr>
        <w:spacing w:after="0" w:line="93"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85" w:lineRule="exact"/>
        <w:rPr>
          <w:sz w:val="20"/>
          <w:szCs w:val="20"/>
          <w:color w:val="auto"/>
        </w:rPr>
      </w:pPr>
    </w:p>
    <w:p>
      <w:pPr>
        <w:ind w:left="520" w:hanging="458"/>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520" w:right="20" w:hanging="458"/>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9" w:lineRule="exact"/>
        <w:rPr>
          <w:sz w:val="20"/>
          <w:szCs w:val="20"/>
          <w:color w:val="auto"/>
        </w:rPr>
      </w:pPr>
    </w:p>
    <w:p>
      <w:pPr>
        <w:ind w:left="520" w:hanging="458"/>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ind w:left="520" w:hanging="458"/>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08"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DIAMONDBACK ENERGY, INC.</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26, 2020</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460" w:type="dxa"/>
            <w:vAlign w:val="bottom"/>
            <w:gridSpan w:val="3"/>
          </w:tcPr>
          <w:p>
            <w:pPr>
              <w:ind w:left="3140"/>
              <w:spacing w:after="0"/>
              <w:rPr>
                <w:sz w:val="20"/>
                <w:szCs w:val="20"/>
                <w:color w:val="auto"/>
              </w:rPr>
            </w:pPr>
            <w:r>
              <w:rPr>
                <w:rFonts w:ascii="Arial" w:cs="Arial" w:eastAsia="Arial" w:hAnsi="Arial"/>
                <w:sz w:val="18"/>
                <w:szCs w:val="18"/>
                <w:b w:val="1"/>
                <w:bCs w:val="1"/>
                <w:color w:val="auto"/>
              </w:rPr>
              <w:t>Title</w:t>
            </w:r>
          </w:p>
        </w:tc>
        <w:tc>
          <w:tcPr>
            <w:tcW w:w="88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Travis D. Stice</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Michael P. Cross</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Michael P. Cross</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David L. Houston</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David L. Houston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Mark L. Plaumann</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Mark L. Plaumann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Melanie M. Trent</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Melanie M. Trent</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Kaes Van’t Hof</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w w:val="98"/>
              </w:rPr>
              <w:t>Chief Financial Officer and Executive Vice President—Business Development</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Kaes Van’t Hof</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Chief Accounting Officer, Executive Vice President and Assistant Secretary</w:t>
            </w:r>
          </w:p>
        </w:tc>
        <w:tc>
          <w:tcPr>
            <w:tcW w:w="17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February 26, 2020</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646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75"/>
        </w:trPr>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60" w:type="dxa"/>
            <w:vAlign w:val="bottom"/>
            <w:gridSpan w:val="3"/>
          </w:tcPr>
          <w:p>
            <w:pPr>
              <w:ind w:left="2600"/>
              <w:spacing w:after="0"/>
              <w:rPr>
                <w:sz w:val="20"/>
                <w:szCs w:val="20"/>
                <w:color w:val="auto"/>
              </w:rPr>
            </w:pPr>
            <w:r>
              <w:rPr>
                <w:rFonts w:ascii="Arial" w:cs="Arial" w:eastAsia="Arial" w:hAnsi="Arial"/>
                <w:sz w:val="18"/>
                <w:szCs w:val="18"/>
                <w:color w:val="auto"/>
              </w:rPr>
              <w:t>S-1</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Diamondback Energy, Inc. (a Delaware corporation) and subsidiaries (collectively the “Company”) as of December 31, 2019 and 2018, and the related consolidated statements of operations,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26, 2020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Depletion expense, impairment evaluation and acquisition of oil and gas properties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described in Note 2 to the financial statements, the Company accounts for its oil and gas properties using the full cost method of accounting which requires management to make estimates of proved reserve volumes and future revenues to record depletion expense and measure its oil and gas properties for potential impairment. Additionally, as described in Note 3 to the financial statements, the Company acquired significant oil and gas properties throughout the year. To estimate the volume of proved reserves and future revenues, management makes significant estimates and assumptions including forecasting the production decline rate of producing properties, forecasting the timing and volume of production associated with the Company’s development plan for proved undeveloped properties, and for acquisitions that included proved developed producing properties using an estimated fair value pricing model for the valuation of proved producing reserves.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gas properties, due to its impact on depletion expense, impairment evaluation and acquisition valuation of oil and gas properties, as a critical audit matter.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principal consideration for our determination that the estimation of proved reserves is a critical audit matter is that relatively minor changes in certain inputs and assumptions, which require a high degree of subjectivity, necessary to estimate the volume and future revenues of the Company’s proved reserves could have a significant impact on the measurement of depletion expense or impairment expense. In turn, auditing those inputs and assumptions required subjective and complex auditor judgment.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211" w:lineRule="exact"/>
        <w:rPr>
          <w:sz w:val="20"/>
          <w:szCs w:val="20"/>
          <w:color w:val="auto"/>
        </w:rPr>
      </w:pPr>
    </w:p>
    <w:p>
      <w:pPr>
        <w:ind w:left="660" w:hanging="328"/>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tested the design and operating effectiveness of key controls relating to the preparation of the ceiling test calculation, management’s estimation of proved reserves for the purpose of estimating depletion expense and assessing the Company’s oil and gas properties for potential impairment, and management’s estimation of the fair value of acquired oil and gas properties. Specifically, these controls related to the use of historical information in the estimation of proved reserves derived from the Company’s accounting records and the management review controls on information provided to the reservoir engineering specialists and the management review controls on the final proved reserve report prepared by the Company’s specialists.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Company’s reservoir engineering specialists and their relationship to the Company, made inquiries of those reservoir engineers regarding the process followed and judgments made to estimate the Company’s proved reserve volumes, and read the reserve report prepared by the Company’s specialists.</w:t>
      </w:r>
    </w:p>
    <w:p>
      <w:pPr>
        <w:spacing w:after="0" w:line="18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acquisitions of oil and gas properties during the year in which proved developed producing properties are significant and to the extent key, sensitive inputs and assumptions used to determine proved reserve volumes and other cash flow inputs and assumptions are derived from the Company’s accounting records, such as historical pricing differentials, working and net revenue interests and future capital expenditures and operating costs, we tested management’s process for determining the assumptions, including examining the underlying support. Specifically, our audit procedures involved testing management’s assumptions as follows:</w:t>
      </w:r>
    </w:p>
    <w:p>
      <w:pPr>
        <w:spacing w:after="0" w:line="3"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Analyzed the appropriateness of fair value pricing used in the acquisition reserve report to published product pricing on the acquisition closing date;</w:t>
      </w:r>
    </w:p>
    <w:p>
      <w:pPr>
        <w:ind w:left="130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Analyzed the appropriateness of the future operating cost and capital expenditure assumptions used in the acquisition reserve report to historical operating costs and capital expenditures of similarly located properties</w:t>
      </w:r>
    </w:p>
    <w:p>
      <w:pPr>
        <w:ind w:left="1300" w:right="2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working and net revenue interests used in the acquisition reserve report by inspecting a sample of land and division order records;</w:t>
      </w:r>
    </w:p>
    <w:p>
      <w:pPr>
        <w:ind w:left="1300" w:right="2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Analyzed, on a sample basis, the appropriateness of management’s estimated future production volumes and the production decline curves; and</w:t>
      </w:r>
    </w:p>
    <w:p>
      <w:pPr>
        <w:ind w:left="1300" w:right="20" w:hanging="320"/>
        <w:spacing w:after="0" w:line="261"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Utilized valuation specialists to compare the acreage value allocated, on a per acre basis, to undeveloped properties and to other recent acquisitions in the same or similar locations.</w:t>
      </w:r>
    </w:p>
    <w:p>
      <w:pPr>
        <w:spacing w:after="0" w:line="183"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the extent key, sensitive inputs and assumptions used to determine proved reserve volumes and other cash flow inputs and assumptions are derived from the Company’s accounting records, such as historical pricing differentials, operating costs, estimated capital costs and working and net revenue interests, we tested management’s process for determining the assumptions, including examining the underlying support, on a sample basis. Specifically, our audit procedures involved testing management’s assumptions as follows:</w:t>
      </w:r>
    </w:p>
    <w:p>
      <w:pPr>
        <w:spacing w:after="0" w:line="2" w:lineRule="exact"/>
        <w:rPr>
          <w:rFonts w:ascii="Arial" w:cs="Arial" w:eastAsia="Arial" w:hAnsi="Arial"/>
          <w:sz w:val="17"/>
          <w:szCs w:val="17"/>
          <w:color w:val="auto"/>
        </w:rPr>
      </w:pPr>
    </w:p>
    <w:p>
      <w:pPr>
        <w:ind w:left="130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Compared the estimated pricing differentials used in the reserve report to realized prices related to revenue transactions recorded in the current year and examined contractual support for the pricing differentials;</w:t>
      </w: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models used to estimate the operating costs at year-end compared to historical operating costs;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Compared the models used to determine the future capital expenditures and compared estimated future capital expenditures used in the reserve report to amounts expended for recently drilled and completed wells with similar locations;</w:t>
      </w:r>
    </w:p>
    <w:p>
      <w:pPr>
        <w:ind w:left="1300" w:hanging="320"/>
        <w:spacing w:after="0"/>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working and net revenue interests used in the reserve report by inspecting a sample of land and division order records;</w:t>
      </w:r>
    </w:p>
    <w:p>
      <w:pPr>
        <w:spacing w:after="0" w:line="20" w:lineRule="exact"/>
        <w:rPr>
          <w:rFonts w:ascii="Arial" w:cs="Arial" w:eastAsia="Arial" w:hAnsi="Arial"/>
          <w:sz w:val="17"/>
          <w:szCs w:val="17"/>
          <w:color w:val="auto"/>
        </w:rPr>
      </w:pPr>
    </w:p>
    <w:p>
      <w:pPr>
        <w:ind w:left="1300" w:right="2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Company’s evidence supporting the amount of proved undeveloped properties reflected in the reserve report by examining historical conversion rates and support for the operator’s intent to develop the proved undeveloped properties;</w:t>
      </w:r>
    </w:p>
    <w:p>
      <w:pPr>
        <w:ind w:left="1300" w:right="20" w:hanging="320"/>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estimated ultimate recovery of proved undeveloped properties to the estimated ultimate recovery of comparable proved developed producing properties; and</w:t>
      </w: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Applied analytical procedures to the reserve report by comparing to historical actual results and to the prior year reserve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2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219"/>
          </w:cols>
          <w:pgMar w:left="240" w:top="125" w:right="1440"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8"/>
              </w:rPr>
              <w:t>(In millions, except share amounts)</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700"/>
              <w:spacing w:after="0"/>
              <w:rPr>
                <w:sz w:val="20"/>
                <w:szCs w:val="20"/>
                <w:color w:val="auto"/>
              </w:rPr>
            </w:pPr>
            <w:r>
              <w:rPr>
                <w:rFonts w:ascii="Arial" w:cs="Arial" w:eastAsia="Arial" w:hAnsi="Arial"/>
                <w:sz w:val="18"/>
                <w:szCs w:val="18"/>
                <w:color w:val="auto"/>
              </w:rPr>
              <w:t>Joint interest and other, net</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Oil and natural gas sales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full cost method of accounting ($9,207 million and $9,670 million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excluded from amortization at December 31, 2019 and 2018,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20,372</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real estate, net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21,596</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Accounts payable-trade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21" w:right="419" w:bottom="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240" w:top="121" w:right="419" w:bottom="98"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8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8"/>
              </w:rPr>
              <w:t>(In millions, except share amounts)</w:t>
            </w: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$0.01 par value, 200,000,000 shares authorized, 159,002,338 issued and outstanding at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8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December 31, 2019; 200,000,000 shares authorized, 164,273,447 issued and outstanding at December 31,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12,936</w:t>
            </w: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r>
      <w:tr>
        <w:trPr>
          <w:trHeight w:val="237"/>
        </w:trPr>
        <w:tc>
          <w:tcPr>
            <w:tcW w:w="8060" w:type="dxa"/>
            <w:vAlign w:val="bottom"/>
          </w:tcPr>
          <w:p>
            <w:pPr>
              <w:ind w:left="700"/>
              <w:spacing w:after="0"/>
              <w:rPr>
                <w:sz w:val="20"/>
                <w:szCs w:val="20"/>
                <w:color w:val="auto"/>
              </w:rPr>
            </w:pPr>
            <w:r>
              <w:rPr>
                <w:rFonts w:ascii="Arial" w:cs="Arial" w:eastAsia="Arial" w:hAnsi="Arial"/>
                <w:sz w:val="18"/>
                <w:szCs w:val="18"/>
                <w:color w:val="auto"/>
              </w:rPr>
              <w:t>Total Diamondback Energy, Inc. stockholders’ equity</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13,249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13,700</w:t>
            </w: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r>
      <w:tr>
        <w:trPr>
          <w:trHeight w:val="237"/>
        </w:trPr>
        <w:tc>
          <w:tcPr>
            <w:tcW w:w="80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14,167</w:t>
            </w: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21,596</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121" w:right="41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4680" w:type="dxa"/>
            <w:vAlign w:val="bottom"/>
            <w:tcBorders>
              <w:bottom w:val="single" w:sz="8" w:color="auto"/>
            </w:tcBorders>
            <w:gridSpan w:val="8"/>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6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(In millions, except per share amounts, shares in thousands)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 accretion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Merger and integration expense</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(loss) on revaluation of investment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Diamondback Energy,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97,688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0.9375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4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840" w:type="dxa"/>
            <w:vAlign w:val="bottom"/>
            <w:gridSpan w:val="4"/>
            <w:vMerge w:val="continue"/>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20" w:type="dxa"/>
            <w:vAlign w:val="bottom"/>
            <w:gridSpan w:val="8"/>
          </w:tcPr>
          <w:p>
            <w:pPr>
              <w:ind w:left="20"/>
              <w:spacing w:after="0"/>
              <w:rPr>
                <w:sz w:val="20"/>
                <w:szCs w:val="20"/>
                <w:color w:val="auto"/>
              </w:rPr>
            </w:pPr>
            <w:r>
              <w:rPr>
                <w:rFonts w:ascii="Arial" w:cs="Arial" w:eastAsia="Arial" w:hAnsi="Arial"/>
                <w:sz w:val="18"/>
                <w:szCs w:val="18"/>
                <w:b w:val="1"/>
                <w:bCs w:val="1"/>
                <w:color w:val="auto"/>
              </w:rPr>
              <w:t>in millions, shares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w w:val="99"/>
              </w:rPr>
              <w:t>Net proceeds from issuance of common units - Viper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Energy Partners LP</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Common units issued for acquisition</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issued for Brigham</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w w:val="94"/>
              </w:rPr>
              <w:t>Exercise of stock options and vesting of restricted stock</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units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Change in ownership of consolidated subsidiaries, net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Impact of adoption of ASU 2016-01, net of tax</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proceeds from issuance of common units - Viper</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Partners LP</w:t>
            </w: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Common shares issued for business combination</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63,126</w:t>
            </w: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 assumed in business combination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w w:val="93"/>
              </w:rPr>
              <w:t>Restricted stock units assumed in business combination</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Repurchased shares for tax withholding</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issued for Ajax</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Dividend paid</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w w:val="96"/>
              </w:rPr>
              <w:t>Change in ownership of consolidated subsidiaries, net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164,273</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12,936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proceeds from issuance of common units - Viper</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Partners LP</w:t>
            </w: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w w:val="96"/>
              </w:rPr>
              <w:t>Net proceeds from issuance of common units - Rattler</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Midstream LP</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Common units issued for acquisition</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Repurchased shares for tax withholding</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Repurchased shares for share buyback program</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F-7</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4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0"/>
              </w:rPr>
              <w:t>Common Stock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84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gridSpan w:val="8"/>
          </w:tcPr>
          <w:p>
            <w:pPr>
              <w:ind w:left="240"/>
              <w:spacing w:after="0"/>
              <w:rPr>
                <w:sz w:val="20"/>
                <w:szCs w:val="20"/>
                <w:color w:val="auto"/>
              </w:rPr>
            </w:pPr>
            <w:r>
              <w:rPr>
                <w:rFonts w:ascii="Arial" w:cs="Arial" w:eastAsia="Arial" w:hAnsi="Arial"/>
                <w:sz w:val="18"/>
                <w:szCs w:val="18"/>
                <w:b w:val="1"/>
                <w:bCs w:val="1"/>
                <w:color w:val="auto"/>
              </w:rPr>
              <w:t>($ in millions, shares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Exercise of stock and unit options and awards of</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76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Change in ownership of consolidated subsidiaries, net</w:t>
            </w: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Provision for (benefit from) deferred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equity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(Gain) loss on revaluation of investment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(Gain) loss on sale of assets,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Revenues and royalties payable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Drilling, completions and non-operated additions to 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Infrastructure additions to oil and natural gas properties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leasehold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Acquisition of mineral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midstream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on Energen's credit facility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of senior notes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joint venture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7080" w:type="dxa"/>
            <w:vAlign w:val="bottom"/>
          </w:tcPr>
          <w:p>
            <w:pPr>
              <w:ind w:left="5580"/>
              <w:spacing w:after="0"/>
              <w:rPr>
                <w:sz w:val="20"/>
                <w:szCs w:val="20"/>
                <w:color w:val="auto"/>
              </w:rPr>
            </w:pPr>
            <w:r>
              <w:rPr>
                <w:rFonts w:ascii="Arial" w:cs="Arial" w:eastAsia="Arial" w:hAnsi="Arial"/>
                <w:sz w:val="18"/>
                <w:szCs w:val="18"/>
                <w:color w:val="auto"/>
              </w:rPr>
              <w:t>F-9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6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380"/>
              <w:spacing w:after="0"/>
              <w:rPr>
                <w:sz w:val="20"/>
                <w:szCs w:val="20"/>
                <w:color w:val="auto"/>
              </w:rPr>
            </w:pPr>
            <w:r>
              <w:rPr>
                <w:rFonts w:ascii="Arial" w:cs="Arial" w:eastAsia="Arial" w:hAnsi="Arial"/>
                <w:sz w:val="18"/>
                <w:szCs w:val="18"/>
                <w:color w:val="auto"/>
              </w:rPr>
              <w:t>Premium on extinguishment of debt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Repurchased shares for tax withholdings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Repurchased as part of share buyback</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to stockholders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for Ajax</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stock issued for Brigham</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Common stock issued for business combination</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 billion of Common stock issued for business combination, $14 million for stock options assumed and $52 million for restricted stock units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-302260</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is an independent oil and gas company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wholly-owned subsidiaries of Diamondback, as of December 31, 2019, include Diamondback E&amp;P LLC, a Delaware limited liability company, Diamondback O&amp;G LLC, a Delaware limited liability company, Viper Energy Partners GP LLC, a Delaware limited liability company (“Viper’s General Partner”), Rattler Midstream GP LLC, a Delaware limited liability company (Rattler’s General Partner), and Energen Corporation, an Alabama corporation (“Energen”). The consolidated subsidiaries include these wholly-owned subsidiaries as well as Viper Energy Partners LP, a Delaware limited partnership (“Viper”), Viper’s subsidiary Viper Energy Partners LLC, a Delaware limited liability company (“Viper LLC”), Rattler Midstream LP (formerly known as Rattler Midstream Partners LP), a Delaware limited partnership (“Rattler”), Rattler Midstream Operating LLC (formerly known as Rattler Midstream LLC), a Delaware limited liability company (“Rattler LLC”), Rattler LLC’s wholly-owned subsidiary Tall City Towers LLC, a Delaware limited liability company (“Tall City”), and Energen’s wholly-owned subsidiaries Energen Resources Corporation, an Alabama corporation (“Energen Resources”), and EGN Services, Inc., an Alabama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Viper is consolidated in the financial statements of the Company. As of December 31, 2019, the Company owned approximately 58% of the total units outstanding of Viper and the Company’s wholly owned subsidiary, Viper Energy Partners GP LLC, is Viper’s General Partner.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is consolidated in the financial statements of the Company. As of December 31, 2019, the Company owned approximately 71% of the total units outstanding of Rattler. The Company’s wholly-owned subsidiary, Rattler Midstream GP LLC, is Rattler’s General Partner.</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the Company had restricted cash of $5 million related to the Company’s obligations under its participation and development agreement with Obsidian Resources,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Accounts receivable are stated at amounts due from joint interest owners or purchasers, net of an allowance for doubtful accounts when the Company believes collection is doubtful. For receivables from joint interest owners, the Company typically has the ability to withhold future revenue disbursements to recover any non-payment of joint interest billings.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At December 31, 2019 and 2018, the Company recorded an allowance for doubtful accounts of $2 million related to joint interest receivables.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restricted cash, receivables, payables, derivatives and senior notes. The carrying amount of cash and cash equivalents, receivables and payables approximates fair value because of the short-term nature of the instruments. The fair value of the revolving credit facility approximates its carrying value based on the borrowing rates currently available to the Company for bank loans with similar terms and maturities. The fair value of the senior notes are determined using quoted market prices. Derivatives are recorded at fair value (see Note 16 —Fair Value Measurements).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83"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Prepaid Expenses and Other</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Prepaid expenses and other consist of the following:</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34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0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(In millions)</w:t>
            </w:r>
          </w:p>
        </w:tc>
        <w:tc>
          <w:tcPr>
            <w:tcW w:w="5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Prepaid fees and licenses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prepaid expenses and other</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7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(see Note 9–Equity Method Investments).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$13.54, $12.62 and $11.11 for the years ended December 31, 2019, 2018 and 2017, respectively. Depreciation, depletion and amortization expense for oil and natural gas properties was $1.4 billion, $595 million and $321 million for the years ended December 31, 2019, 2018 and 2017, respectively.</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An impairment on proved oil and natural gas properties of $790 million was recorded for the year ended December 31, 2019. No impairments on proved oil and natural gas properties were recorded for the years ended December 31, 2018 and 2017.</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83"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Real estate assets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above market and below market in-place leases will be recorded based on the present value (using an interest rate which reflects the risks associated with the leases acquired) of the difference between (i) the contractual amounts to be paid pursuant to the in-place leases and (ii) an estimate of fair market lease rates for the corresponding in-place leases measured over a period equal to the non-cancelable term of the lease including any bargain renewal periods. The above market and below market lease values will be capitalized as intangible lease assets or liabilities. Above market lease values will be amortized as an adjustment of rental income over the remaining term of the respective leases. Below market lease values will be amortized as an adjustment of rental income over the remaining term of the respective leases, including any bargain renewal periods. If a lease were to be terminated prior to its stated expiration, all unamortized amounts of above market and below market in-place lease values relating to that lease would be recorded as an adjustment to rental income.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values of in-place leases will include estimated direct costs associated with obtaining a new tenant, and opportunity costs associated with lost rentals which are avoided by acquiring an in-place lease. Direct costs associated with obtaining a new tenant may include commissions, tenant improvements, and other direct costs and are estimated, in part, by management’s consideration of current market costs to execute a similar lease.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direct costs will be included in intangible lease assets on the balance sheet and will be amortized to expense over the remaining term of the respective leases. The value of opportunity costs will be calculated using the contractual amounts to be paid pursuant to the in-place leases over a market absorption period for a similar lease. These intangibles will be included in intangible lease assets on the balance sheet and will be amortized to expense over the remaining term of the respective leases. If a lease were to be terminated prior to its stated expiration, all unamortized amounts of in-place lease assets relating to that lease would be expensed.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property and equipment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 line method over their estimated useful lives, which range from three to 15 years. Depreciation expense for other property and equipment was $16 million, $9 million and $1 million for the years ended December 31, 2019,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a liability relating to the retirement and removal of all assets used in their businesses. 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83"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such impairment losses for the years ended December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The Company capitalized interest of $66 million, $32 million and $22 million for the years ended December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Inventories are stated at the lower of cost or market and consist of tubular goods and equipment at December 31, 2019 and 2018. The Company’s tubular goods and equipment are primarily comprised of oil and natural gas drilling or repair items such as tubing, casing and pumping units. The inventory is primarily acquired for use in future drilling or repair operations and is carried at lower of cost or market. “Market”, in the context of inventory valuation, represents net realizable value, which is the amount that the Company is allowed to bill to the joint accounts under joint operating agreements to which the Company is a party. As of December 31, 2019, the Company estimated that all of its tubular goods and equipment will be utilized within one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assets included capitalized costs related to the credit facility of $36 million and $28 million, net of accumulated amortization of $15 million and $9 million, as of December 31, 2019 and 2018, respectively. Long-term debt included capitalized costs related to the senior notes of $24 million and $32 million, net of accumulated amortization of $14 million and $15 million, as of December 31, 2019 and 2018, respectively. The costs associated with the senior notes are being netted against the senior notes balances and are being amortized over the term of the senior notes using the effective interest method. The costs associated with the Company’s credit facility that are included in other assets are being amortized over the term of the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Other Accrued Liabilities</w:t>
            </w:r>
          </w:p>
        </w:tc>
        <w:tc>
          <w:tcPr>
            <w:tcW w:w="2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490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4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36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drilling costs prepaid by joint interest partners</w:t>
            </w:r>
          </w:p>
        </w:tc>
        <w:tc>
          <w:tcPr>
            <w:tcW w:w="3620" w:type="dxa"/>
            <w:vAlign w:val="bottom"/>
            <w:tcBorders>
              <w:bottom w:val="single" w:sz="8" w:color="CCEEFF"/>
            </w:tcBorders>
            <w:gridSpan w:val="2"/>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expenses payable</w:t>
            </w:r>
          </w:p>
        </w:tc>
        <w:tc>
          <w:tcPr>
            <w:tcW w:w="2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Ad valorem taxes payable</w:t>
            </w: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57"/>
        </w:trPr>
        <w:tc>
          <w:tcPr>
            <w:tcW w:w="4900" w:type="dxa"/>
            <w:vAlign w:val="bottom"/>
          </w:tcPr>
          <w:p>
            <w:pPr>
              <w:ind w:left="280"/>
              <w:spacing w:after="0"/>
              <w:rPr>
                <w:sz w:val="20"/>
                <w:szCs w:val="20"/>
                <w:color w:val="auto"/>
              </w:rPr>
            </w:pPr>
            <w:r>
              <w:rPr>
                <w:rFonts w:ascii="Arial" w:cs="Arial" w:eastAsia="Arial" w:hAnsi="Arial"/>
                <w:sz w:val="18"/>
                <w:szCs w:val="18"/>
                <w:color w:val="auto"/>
              </w:rPr>
              <w:t>Total other accrued liabilities</w:t>
            </w:r>
          </w:p>
        </w:tc>
        <w:tc>
          <w:tcPr>
            <w:tcW w:w="21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51"/>
        </w:trPr>
        <w:tc>
          <w:tcPr>
            <w:tcW w:w="4900" w:type="dxa"/>
            <w:vAlign w:val="bottom"/>
          </w:tcPr>
          <w:p>
            <w:pPr>
              <w:spacing w:after="0"/>
              <w:rPr>
                <w:sz w:val="24"/>
                <w:szCs w:val="24"/>
                <w:color w:val="auto"/>
              </w:rPr>
            </w:pPr>
          </w:p>
        </w:tc>
        <w:tc>
          <w:tcPr>
            <w:tcW w:w="3620" w:type="dxa"/>
            <w:vAlign w:val="bottom"/>
            <w:gridSpan w:val="2"/>
          </w:tcPr>
          <w:p>
            <w:pPr>
              <w:jc w:val="right"/>
              <w:ind w:right="2550"/>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water volumes have been delivered to the fracwater meter for a specified well pad and the wastewater volumes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83"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have been metered downstream of the Company’s facilities. For services contracted through third party providers, Rattler’s performance obligation is satisfied when the service performed by the third party provider has been completed. Revenue is recognized based on the per barrel water delivery or a wastewater gathering and disposal fee charged by Rattler in accordance with the water services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midstream revenue agreements have a term greater than one year, and as such the Company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remainder of the Company’s midstream revenue agreements, which relate to agreements with third parties, are short-term in nature with a term of one year or less. The Company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ASC 606.</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 ended December 31, 2019,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 There was no impairment for the Company’s equity investments for the years ended December 31, 2019, 2018 and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on the Company’s investments, see Note 9—Equity Method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83"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granted various types of stock-based awards including stock options and restricted stock units. Viper has granted various unit-based awards including unit options and phantom units to employees, officers and directors of Viper’s General Partner and the Company who perform services for Viper. Rattler has granted unit-based awards consisting of phantom units to employees, officers and directors of Rattler’s General Partner and the Company who perform services for Rattler. These plans and related accounting policies are defined and described more fully in Note 12—Equity-Based Compensation. Equity compensation awards are measured at fair value on the date of grant and are expensed, net of estimated forfeitures, over the required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risk resulting from the concentration of its crude oil and natural gas sales and receivables with several significant purchasers. For the year ended December 31, 2019, three purchasers each accounted for more than 10% of our revenue: Shell (27%); Plains (23%); and Vitol (15%). For the year ended December 31, 2018, three purchasers each accounted for more than 10% of the Company’s revenue: Shell (26%); Koch (15%); and Occidental Energy Marketing Inc. (11%). For the year ended December 31, 2017, three purchasers each accounted for more than 10% of the Company’s revenue: Shell (31%); Koch (19%); and Enterprise Crude Oil LLC (11%).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subject to margin tax in the state of Texas. During the years ended December 31, 2019, 2018 and 2017, the Company had no margin tax expense. The Company’s 2015, 2016, 2017, 2018 and 2019 federal income tax and state margin tax returns remain open to examination by tax authorities. As of December 31, 2019 and 2018, we had $2 million unrecognized tax benefits. The Company is continuing its practice of recognizing interest and penalties related to income tax matters as interest expense and general and administrative expenses, respectively. During the years ended December 31, 2019, 2018 and 2017, there was no interest or penalties associated with uncertain tax positions recognized in the Company’s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83"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clarifications of ASUs previously disclosed. The following table provides a brief description of recent accounting pronouncements and the Company’s analysis of the effects on its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Arial" w:cs="Arial" w:eastAsia="Arial" w:hAnsi="Arial"/>
                <w:sz w:val="16"/>
                <w:szCs w:val="16"/>
                <w:b w:val="1"/>
                <w:bCs w:val="1"/>
                <w:color w:val="auto"/>
                <w:w w:val="97"/>
              </w:rPr>
              <w:t>Effect on Financial Statements or Other Significant</w:t>
            </w:r>
          </w:p>
        </w:tc>
      </w:tr>
      <w:tr>
        <w:trPr>
          <w:trHeight w:val="210"/>
        </w:trPr>
        <w:tc>
          <w:tcPr>
            <w:tcW w:w="1940" w:type="dxa"/>
            <w:vAlign w:val="bottom"/>
          </w:tcPr>
          <w:p>
            <w:pPr>
              <w:ind w:left="660"/>
              <w:spacing w:after="0"/>
              <w:rPr>
                <w:sz w:val="20"/>
                <w:szCs w:val="20"/>
                <w:color w:val="auto"/>
              </w:rPr>
            </w:pPr>
            <w:r>
              <w:rPr>
                <w:rFonts w:ascii="Arial" w:cs="Arial" w:eastAsia="Arial" w:hAnsi="Arial"/>
                <w:sz w:val="16"/>
                <w:szCs w:val="16"/>
                <w:b w:val="1"/>
                <w:bCs w:val="1"/>
                <w:color w:val="auto"/>
              </w:rPr>
              <w:t>Standard</w:t>
            </w:r>
          </w:p>
        </w:tc>
        <w:tc>
          <w:tcPr>
            <w:tcW w:w="4240" w:type="dxa"/>
            <w:vAlign w:val="bottom"/>
          </w:tcPr>
          <w:p>
            <w:pPr>
              <w:ind w:left="1720"/>
              <w:spacing w:after="0"/>
              <w:rPr>
                <w:sz w:val="20"/>
                <w:szCs w:val="20"/>
                <w:color w:val="auto"/>
              </w:rPr>
            </w:pPr>
            <w:r>
              <w:rPr>
                <w:rFonts w:ascii="Arial" w:cs="Arial" w:eastAsia="Arial" w:hAnsi="Arial"/>
                <w:sz w:val="16"/>
                <w:szCs w:val="16"/>
                <w:b w:val="1"/>
                <w:bCs w:val="1"/>
                <w:color w:val="auto"/>
              </w:rPr>
              <w:t>Description</w:t>
            </w:r>
          </w:p>
        </w:tc>
        <w:tc>
          <w:tcPr>
            <w:tcW w:w="1260" w:type="dxa"/>
            <w:vAlign w:val="bottom"/>
          </w:tcPr>
          <w:p>
            <w:pPr>
              <w:ind w:left="40"/>
              <w:spacing w:after="0"/>
              <w:rPr>
                <w:sz w:val="20"/>
                <w:szCs w:val="20"/>
                <w:color w:val="auto"/>
              </w:rPr>
            </w:pPr>
            <w:r>
              <w:rPr>
                <w:rFonts w:ascii="Arial" w:cs="Arial" w:eastAsia="Arial" w:hAnsi="Arial"/>
                <w:sz w:val="16"/>
                <w:szCs w:val="16"/>
                <w:b w:val="1"/>
                <w:bCs w:val="1"/>
                <w:color w:val="auto"/>
                <w:w w:val="93"/>
              </w:rPr>
              <w:t>Date of Adoption</w:t>
            </w:r>
          </w:p>
        </w:tc>
        <w:tc>
          <w:tcPr>
            <w:tcW w:w="3980" w:type="dxa"/>
            <w:vAlign w:val="bottom"/>
          </w:tcPr>
          <w:p>
            <w:pPr>
              <w:ind w:left="1720"/>
              <w:spacing w:after="0"/>
              <w:rPr>
                <w:sz w:val="20"/>
                <w:szCs w:val="20"/>
                <w:color w:val="auto"/>
              </w:rPr>
            </w:pPr>
            <w:r>
              <w:rPr>
                <w:rFonts w:ascii="Arial" w:cs="Arial" w:eastAsia="Arial" w:hAnsi="Arial"/>
                <w:sz w:val="16"/>
                <w:szCs w:val="16"/>
                <w:b w:val="1"/>
                <w:bCs w:val="1"/>
                <w:color w:val="auto"/>
              </w:rPr>
              <w:t>Matters</w:t>
            </w:r>
          </w:p>
        </w:tc>
      </w:tr>
      <w:tr>
        <w:trPr>
          <w:trHeight w:val="33"/>
        </w:trPr>
        <w:tc>
          <w:tcPr>
            <w:tcW w:w="6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ACACAC"/>
            </w:tcBorders>
            <w:gridSpan w:val="2"/>
            <w:shd w:val="clear" w:color="auto" w:fill="ACACAC"/>
          </w:tcPr>
          <w:p>
            <w:pPr>
              <w:ind w:left="40"/>
              <w:spacing w:after="0"/>
              <w:rPr>
                <w:sz w:val="20"/>
                <w:szCs w:val="20"/>
                <w:color w:val="auto"/>
              </w:rPr>
            </w:pPr>
            <w:r>
              <w:rPr>
                <w:rFonts w:ascii="Arial" w:cs="Arial" w:eastAsia="Arial" w:hAnsi="Arial"/>
                <w:sz w:val="16"/>
                <w:szCs w:val="16"/>
                <w:i w:val="1"/>
                <w:iCs w:val="1"/>
                <w:color w:val="auto"/>
              </w:rPr>
              <w:t>Recently Adopted Pronouncements</w:t>
            </w:r>
          </w:p>
        </w:tc>
        <w:tc>
          <w:tcPr>
            <w:tcW w:w="1260" w:type="dxa"/>
            <w:vAlign w:val="bottom"/>
            <w:tcBorders>
              <w:bottom w:val="single" w:sz="8" w:color="ACACAC"/>
            </w:tcBorders>
            <w:shd w:val="clear" w:color="auto" w:fill="ACACAC"/>
          </w:tcPr>
          <w:p>
            <w:pPr>
              <w:spacing w:after="0"/>
              <w:rPr>
                <w:sz w:val="20"/>
                <w:szCs w:val="20"/>
                <w:color w:val="auto"/>
              </w:rPr>
            </w:pPr>
          </w:p>
        </w:tc>
        <w:tc>
          <w:tcPr>
            <w:tcW w:w="3980" w:type="dxa"/>
            <w:vAlign w:val="bottom"/>
            <w:tcBorders>
              <w:bottom w:val="single" w:sz="8" w:color="ACACAC"/>
            </w:tcBorders>
            <w:shd w:val="clear" w:color="auto" w:fill="ACACAC"/>
          </w:tcPr>
          <w:p>
            <w:pPr>
              <w:spacing w:after="0"/>
              <w:rPr>
                <w:sz w:val="20"/>
                <w:szCs w:val="20"/>
                <w:color w:val="auto"/>
              </w:rPr>
            </w:pPr>
          </w:p>
        </w:tc>
      </w:tr>
      <w:tr>
        <w:trPr>
          <w:trHeight w:val="22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2016-13, “Financial</w:t>
            </w: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This update affects entities holding financial assets and net</w:t>
            </w: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2020</w:t>
            </w: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Company adopted this update effective January 1,</w:t>
            </w:r>
          </w:p>
        </w:tc>
      </w:tr>
      <w:tr>
        <w:trPr>
          <w:trHeight w:val="20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Instruments - Credit Losses”</w:t>
            </w: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investment in leases that are not accounted for at fair value</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2020. The adoption of this update did not have a material</w:t>
            </w:r>
          </w:p>
        </w:tc>
      </w:tr>
      <w:tr>
        <w:trPr>
          <w:trHeight w:val="203"/>
        </w:trPr>
        <w:tc>
          <w:tcPr>
            <w:tcW w:w="1940" w:type="dxa"/>
            <w:vAlign w:val="bottom"/>
            <w:shd w:val="clear" w:color="auto" w:fill="CCEEFF"/>
          </w:tcPr>
          <w:p>
            <w:pPr>
              <w:spacing w:after="0"/>
              <w:rPr>
                <w:sz w:val="17"/>
                <w:szCs w:val="17"/>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through net income. The amendments affect loans, debt</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on its financial position, results of operations or</w:t>
            </w:r>
          </w:p>
        </w:tc>
      </w:tr>
      <w:tr>
        <w:trPr>
          <w:trHeight w:val="203"/>
        </w:trPr>
        <w:tc>
          <w:tcPr>
            <w:tcW w:w="1940" w:type="dxa"/>
            <w:vAlign w:val="bottom"/>
            <w:shd w:val="clear" w:color="auto" w:fill="CCEEFF"/>
          </w:tcPr>
          <w:p>
            <w:pPr>
              <w:spacing w:after="0"/>
              <w:rPr>
                <w:sz w:val="17"/>
                <w:szCs w:val="17"/>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securities, trade receivables, net investments in leases, off-</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liquidity since it does not have a history of credit losses.</w:t>
            </w:r>
          </w:p>
        </w:tc>
      </w:tr>
      <w:tr>
        <w:trPr>
          <w:trHeight w:val="203"/>
        </w:trPr>
        <w:tc>
          <w:tcPr>
            <w:tcW w:w="1940" w:type="dxa"/>
            <w:vAlign w:val="bottom"/>
            <w:shd w:val="clear" w:color="auto" w:fill="CCEEFF"/>
          </w:tcPr>
          <w:p>
            <w:pPr>
              <w:spacing w:after="0"/>
              <w:rPr>
                <w:sz w:val="17"/>
                <w:szCs w:val="17"/>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balance sheet credit exposures, reinsurance receivables, and any</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other financial assets not excluded from the scope that have the</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r>
      <w:tr>
        <w:trPr>
          <w:trHeight w:val="206"/>
        </w:trPr>
        <w:tc>
          <w:tcPr>
            <w:tcW w:w="1940" w:type="dxa"/>
            <w:vAlign w:val="bottom"/>
            <w:shd w:val="clear" w:color="auto" w:fill="CCEEFF"/>
          </w:tcPr>
          <w:p>
            <w:pPr>
              <w:spacing w:after="0"/>
              <w:rPr>
                <w:sz w:val="17"/>
                <w:szCs w:val="17"/>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right to receive cash.</w:t>
            </w:r>
          </w:p>
        </w:tc>
        <w:tc>
          <w:tcPr>
            <w:tcW w:w="126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r>
      <w:tr>
        <w:trPr>
          <w:trHeight w:val="33"/>
        </w:trPr>
        <w:tc>
          <w:tcPr>
            <w:tcW w:w="19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283" w:right="239" w:bottom="1440" w:gutter="0" w:footer="0" w:header="0"/>
        </w:sectPr>
      </w:pPr>
    </w:p>
    <w:p>
      <w:pPr>
        <w:ind w:left="40"/>
        <w:spacing w:after="0" w:line="290" w:lineRule="auto"/>
        <w:rPr>
          <w:sz w:val="20"/>
          <w:szCs w:val="20"/>
          <w:color w:val="auto"/>
        </w:rPr>
      </w:pPr>
      <w:r>
        <w:rPr>
          <w:rFonts w:ascii="Arial" w:cs="Arial" w:eastAsia="Arial" w:hAnsi="Arial"/>
          <w:sz w:val="15"/>
          <w:szCs w:val="15"/>
          <w:color w:val="auto"/>
        </w:rPr>
        <w:t>ASU 2018-13, “Fair Value Measurement (Topic 820) - Disclosure Framework - 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20"/>
                <w:szCs w:val="20"/>
                <w:color w:val="auto"/>
              </w:rPr>
            </w:pPr>
            <w:r>
              <w:rPr>
                <w:rFonts w:ascii="Arial" w:cs="Arial" w:eastAsia="Arial" w:hAnsi="Arial"/>
                <w:sz w:val="16"/>
                <w:szCs w:val="16"/>
                <w:color w:val="auto"/>
                <w:w w:val="95"/>
              </w:rPr>
              <w:t>This update modifies the fair value measurement disclosure</w:t>
            </w:r>
          </w:p>
        </w:tc>
        <w:tc>
          <w:tcPr>
            <w:tcW w:w="1100" w:type="dxa"/>
            <w:vAlign w:val="bottom"/>
          </w:tcPr>
          <w:p>
            <w:pPr>
              <w:ind w:left="180"/>
              <w:spacing w:after="0"/>
              <w:rPr>
                <w:sz w:val="20"/>
                <w:szCs w:val="20"/>
                <w:color w:val="auto"/>
              </w:rPr>
            </w:pPr>
            <w:r>
              <w:rPr>
                <w:rFonts w:ascii="Arial" w:cs="Arial" w:eastAsia="Arial" w:hAnsi="Arial"/>
                <w:sz w:val="16"/>
                <w:szCs w:val="16"/>
                <w:color w:val="auto"/>
              </w:rPr>
              <w:t>Q1 2020</w:t>
            </w:r>
          </w:p>
        </w:tc>
        <w:tc>
          <w:tcPr>
            <w:tcW w:w="4260" w:type="dxa"/>
            <w:vAlign w:val="bottom"/>
          </w:tcPr>
          <w:p>
            <w:pPr>
              <w:ind w:left="340"/>
              <w:spacing w:after="0"/>
              <w:rPr>
                <w:sz w:val="20"/>
                <w:szCs w:val="20"/>
                <w:color w:val="auto"/>
              </w:rPr>
            </w:pPr>
            <w:r>
              <w:rPr>
                <w:rFonts w:ascii="Arial" w:cs="Arial" w:eastAsia="Arial" w:hAnsi="Arial"/>
                <w:sz w:val="16"/>
                <w:szCs w:val="16"/>
                <w:color w:val="auto"/>
              </w:rPr>
              <w:t>The Company adopted this update effective January 1,</w:t>
            </w: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requirements specifically related to Level 3 fair value</w:t>
            </w:r>
          </w:p>
        </w:tc>
        <w:tc>
          <w:tcPr>
            <w:tcW w:w="1100" w:type="dxa"/>
            <w:vAlign w:val="bottom"/>
          </w:tcPr>
          <w:p>
            <w:pPr>
              <w:spacing w:after="0"/>
              <w:rPr>
                <w:sz w:val="17"/>
                <w:szCs w:val="17"/>
                <w:color w:val="auto"/>
              </w:rPr>
            </w:pPr>
          </w:p>
        </w:tc>
        <w:tc>
          <w:tcPr>
            <w:tcW w:w="4260" w:type="dxa"/>
            <w:vAlign w:val="bottom"/>
          </w:tcPr>
          <w:p>
            <w:pPr>
              <w:ind w:left="340"/>
              <w:spacing w:after="0"/>
              <w:rPr>
                <w:sz w:val="20"/>
                <w:szCs w:val="20"/>
                <w:color w:val="auto"/>
              </w:rPr>
            </w:pPr>
            <w:r>
              <w:rPr>
                <w:rFonts w:ascii="Arial" w:cs="Arial" w:eastAsia="Arial" w:hAnsi="Arial"/>
                <w:sz w:val="16"/>
                <w:szCs w:val="16"/>
                <w:color w:val="auto"/>
                <w:w w:val="91"/>
              </w:rPr>
              <w:t>2020. The adoption of this update did not have an impact on</w:t>
            </w: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measurements and transfers between levels.</w:t>
            </w:r>
          </w:p>
        </w:tc>
        <w:tc>
          <w:tcPr>
            <w:tcW w:w="1100" w:type="dxa"/>
            <w:vAlign w:val="bottom"/>
          </w:tcPr>
          <w:p>
            <w:pPr>
              <w:spacing w:after="0"/>
              <w:rPr>
                <w:sz w:val="17"/>
                <w:szCs w:val="17"/>
                <w:color w:val="auto"/>
              </w:rPr>
            </w:pPr>
          </w:p>
        </w:tc>
        <w:tc>
          <w:tcPr>
            <w:tcW w:w="4260" w:type="dxa"/>
            <w:vAlign w:val="bottom"/>
          </w:tcPr>
          <w:p>
            <w:pPr>
              <w:ind w:left="340"/>
              <w:spacing w:after="0"/>
              <w:rPr>
                <w:sz w:val="20"/>
                <w:szCs w:val="20"/>
                <w:color w:val="auto"/>
              </w:rPr>
            </w:pPr>
            <w:r>
              <w:rPr>
                <w:rFonts w:ascii="Arial" w:cs="Arial" w:eastAsia="Arial" w:hAnsi="Arial"/>
                <w:sz w:val="16"/>
                <w:szCs w:val="16"/>
                <w:color w:val="auto"/>
                <w:w w:val="95"/>
              </w:rPr>
              <w:t>its financial position, results of operations or liquidity since</w:t>
            </w:r>
          </w:p>
        </w:tc>
      </w:tr>
      <w:tr>
        <w:trPr>
          <w:trHeight w:val="206"/>
        </w:trPr>
        <w:tc>
          <w:tcPr>
            <w:tcW w:w="4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60" w:type="dxa"/>
            <w:vAlign w:val="bottom"/>
          </w:tcPr>
          <w:p>
            <w:pPr>
              <w:ind w:left="340"/>
              <w:spacing w:after="0"/>
              <w:rPr>
                <w:sz w:val="20"/>
                <w:szCs w:val="20"/>
                <w:color w:val="auto"/>
              </w:rPr>
            </w:pPr>
            <w:r>
              <w:rPr>
                <w:rFonts w:ascii="Arial" w:cs="Arial" w:eastAsia="Arial" w:hAnsi="Arial"/>
                <w:sz w:val="16"/>
                <w:szCs w:val="16"/>
                <w:color w:val="auto"/>
              </w:rPr>
              <w:t>it does not have transfers between fair value levels.</w:t>
            </w:r>
          </w:p>
        </w:tc>
      </w:tr>
    </w:tbl>
    <w:p>
      <w:pPr>
        <w:spacing w:after="0" w:line="438" w:lineRule="exact"/>
        <w:rPr>
          <w:sz w:val="20"/>
          <w:szCs w:val="20"/>
          <w:color w:val="auto"/>
        </w:rPr>
      </w:pPr>
    </w:p>
    <w:p>
      <w:pPr>
        <w:sectPr>
          <w:pgSz w:w="11900" w:h="16838" w:orient="portrait"/>
          <w:cols w:equalWidth="0" w:num="2">
            <w:col w:w="1880" w:space="100"/>
            <w:col w:w="944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ASU 2018-15, “Intangibles - This update requires the capitalization of implementation costs  Q1 2020</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The Company adopted this update prospectively effective</w:t>
            </w: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Other -</w:t>
            </w:r>
          </w:p>
        </w:tc>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incurred in a hosting arrangement that is a service contract for</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January 1, 2020. The adoption of this update did not have an</w:t>
            </w: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 - Use Software</w:t>
            </w:r>
          </w:p>
        </w:tc>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internal-use software. Training and certain data conversion</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impact on its financial position, results of operations or</w:t>
            </w: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(Subtopic 350-40):</w:t>
            </w:r>
          </w:p>
        </w:tc>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costs cannot be capitalized. The entity is required to expense the</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liquidity.</w:t>
            </w: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Customer’s Accounting for</w:t>
            </w:r>
          </w:p>
        </w:tc>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capitalized implementation costs over the term of the hosting</w:t>
            </w:r>
          </w:p>
        </w:tc>
        <w:tc>
          <w:tcPr>
            <w:tcW w:w="4300" w:type="dxa"/>
            <w:vAlign w:val="bottom"/>
            <w:shd w:val="clear" w:color="auto" w:fill="CCEEFF"/>
          </w:tcPr>
          <w:p>
            <w:pPr>
              <w:spacing w:after="0"/>
              <w:rPr>
                <w:sz w:val="17"/>
                <w:szCs w:val="17"/>
                <w:color w:val="auto"/>
              </w:rPr>
            </w:pP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Implementation Costs</w:t>
            </w:r>
          </w:p>
        </w:tc>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agreement.</w:t>
            </w:r>
          </w:p>
        </w:tc>
        <w:tc>
          <w:tcPr>
            <w:tcW w:w="4300" w:type="dxa"/>
            <w:vAlign w:val="bottom"/>
            <w:shd w:val="clear" w:color="auto" w:fill="CCEEFF"/>
          </w:tcPr>
          <w:p>
            <w:pPr>
              <w:spacing w:after="0"/>
              <w:rPr>
                <w:sz w:val="17"/>
                <w:szCs w:val="17"/>
                <w:color w:val="auto"/>
              </w:rPr>
            </w:pP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Incurred in a Cloud</w:t>
            </w:r>
          </w:p>
        </w:tc>
        <w:tc>
          <w:tcPr>
            <w:tcW w:w="52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r>
      <w:tr>
        <w:trPr>
          <w:trHeight w:val="203"/>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Computing Arrangement</w:t>
            </w:r>
          </w:p>
        </w:tc>
        <w:tc>
          <w:tcPr>
            <w:tcW w:w="52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r>
      <w:tr>
        <w:trPr>
          <w:trHeight w:val="206"/>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That Is a Service Contract”</w:t>
            </w:r>
          </w:p>
        </w:tc>
        <w:tc>
          <w:tcPr>
            <w:tcW w:w="52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r>
      <w:tr>
        <w:trPr>
          <w:trHeight w:val="33"/>
        </w:trPr>
        <w:tc>
          <w:tcPr>
            <w:tcW w:w="190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283" w:right="239" w:bottom="1440" w:gutter="0" w:footer="0" w:header="0"/>
          <w:type w:val="continuous"/>
        </w:sectPr>
      </w:pPr>
    </w:p>
    <w:p>
      <w:pPr>
        <w:jc w:val="both"/>
        <w:ind w:left="40"/>
        <w:spacing w:after="0" w:line="305" w:lineRule="auto"/>
        <w:rPr>
          <w:sz w:val="20"/>
          <w:szCs w:val="20"/>
          <w:color w:val="auto"/>
        </w:rPr>
      </w:pPr>
      <w:r>
        <w:rPr>
          <w:rFonts w:ascii="Arial" w:cs="Arial" w:eastAsia="Arial" w:hAnsi="Arial"/>
          <w:sz w:val="15"/>
          <w:szCs w:val="15"/>
          <w:color w:val="auto"/>
        </w:rPr>
        <w:t>ASU 2019-05, “Financial Instruments-Credit Losses (Topic 326)”</w:t>
      </w:r>
    </w:p>
    <w:p>
      <w:pPr>
        <w:spacing w:after="0" w:line="20" w:lineRule="exact"/>
        <w:rPr>
          <w:sz w:val="20"/>
          <w:szCs w:val="20"/>
          <w:color w:val="auto"/>
        </w:rPr>
      </w:pPr>
      <w:r>
        <w:rPr>
          <w:sz w:val="20"/>
          <w:szCs w:val="20"/>
          <w:color w:val="auto"/>
        </w:rPr>
        <w:br w:type="column"/>
      </w:r>
    </w:p>
    <w:p>
      <w:pPr>
        <w:spacing w:after="0"/>
        <w:tabs>
          <w:tab w:leader="none" w:pos="4200" w:val="left"/>
          <w:tab w:leader="none" w:pos="5460" w:val="left"/>
        </w:tabs>
        <w:rPr>
          <w:sz w:val="20"/>
          <w:szCs w:val="20"/>
          <w:color w:val="auto"/>
        </w:rPr>
      </w:pPr>
      <w:r>
        <w:rPr>
          <w:rFonts w:ascii="Arial" w:cs="Arial" w:eastAsia="Arial" w:hAnsi="Arial"/>
          <w:sz w:val="16"/>
          <w:szCs w:val="16"/>
          <w:color w:val="auto"/>
        </w:rPr>
        <w:t>This update allows a fair value option to be elected for certain</w:t>
        <w:tab/>
        <w:t>Q1 2020</w:t>
      </w:r>
      <w:r>
        <w:rPr>
          <w:sz w:val="20"/>
          <w:szCs w:val="20"/>
          <w:color w:val="auto"/>
        </w:rPr>
        <w:tab/>
      </w:r>
      <w:r>
        <w:rPr>
          <w:rFonts w:ascii="Arial" w:cs="Arial" w:eastAsia="Arial" w:hAnsi="Arial"/>
          <w:sz w:val="14"/>
          <w:szCs w:val="14"/>
          <w:color w:val="auto"/>
        </w:rPr>
        <w:t>The Company adopted this update effective January 1,</w:t>
      </w:r>
    </w:p>
    <w:p>
      <w:pPr>
        <w:spacing w:after="0" w:line="22" w:lineRule="exact"/>
        <w:rPr>
          <w:sz w:val="20"/>
          <w:szCs w:val="20"/>
          <w:color w:val="auto"/>
        </w:rPr>
      </w:pPr>
    </w:p>
    <w:p>
      <w:pPr>
        <w:spacing w:after="0"/>
        <w:tabs>
          <w:tab w:leader="none" w:pos="5460" w:val="left"/>
        </w:tabs>
        <w:rPr>
          <w:sz w:val="20"/>
          <w:szCs w:val="20"/>
          <w:color w:val="auto"/>
        </w:rPr>
      </w:pPr>
      <w:r>
        <w:rPr>
          <w:rFonts w:ascii="Arial" w:cs="Arial" w:eastAsia="Arial" w:hAnsi="Arial"/>
          <w:sz w:val="16"/>
          <w:szCs w:val="16"/>
          <w:color w:val="auto"/>
        </w:rPr>
        <w:t>financial assets, other than held-to-maturity debt securities, that</w:t>
      </w:r>
      <w:r>
        <w:rPr>
          <w:sz w:val="20"/>
          <w:szCs w:val="20"/>
          <w:color w:val="auto"/>
        </w:rPr>
        <w:tab/>
      </w:r>
      <w:r>
        <w:rPr>
          <w:rFonts w:ascii="Arial" w:cs="Arial" w:eastAsia="Arial" w:hAnsi="Arial"/>
          <w:sz w:val="14"/>
          <w:szCs w:val="14"/>
          <w:color w:val="auto"/>
        </w:rPr>
        <w:t>2020. The adoption of this update did not have an impact on</w:t>
      </w:r>
    </w:p>
    <w:p>
      <w:pPr>
        <w:spacing w:after="0" w:line="19" w:lineRule="exact"/>
        <w:rPr>
          <w:sz w:val="20"/>
          <w:szCs w:val="20"/>
          <w:color w:val="auto"/>
        </w:rPr>
      </w:pPr>
    </w:p>
    <w:p>
      <w:pPr>
        <w:spacing w:after="0"/>
        <w:tabs>
          <w:tab w:leader="none" w:pos="5460" w:val="left"/>
        </w:tabs>
        <w:rPr>
          <w:sz w:val="20"/>
          <w:szCs w:val="20"/>
          <w:color w:val="auto"/>
        </w:rPr>
      </w:pPr>
      <w:r>
        <w:rPr>
          <w:rFonts w:ascii="Arial" w:cs="Arial" w:eastAsia="Arial" w:hAnsi="Arial"/>
          <w:sz w:val="16"/>
          <w:szCs w:val="16"/>
          <w:color w:val="auto"/>
        </w:rPr>
        <w:t>were previously required to be measured at amortized cost</w:t>
      </w:r>
      <w:r>
        <w:rPr>
          <w:sz w:val="20"/>
          <w:szCs w:val="20"/>
          <w:color w:val="auto"/>
        </w:rPr>
        <w:tab/>
      </w:r>
      <w:r>
        <w:rPr>
          <w:rFonts w:ascii="Arial" w:cs="Arial" w:eastAsia="Arial" w:hAnsi="Arial"/>
          <w:sz w:val="15"/>
          <w:szCs w:val="15"/>
          <w:color w:val="auto"/>
        </w:rPr>
        <w:t>its financial position, results of operations or liquidity since</w:t>
      </w:r>
    </w:p>
    <w:p>
      <w:pPr>
        <w:spacing w:after="0" w:line="19" w:lineRule="exact"/>
        <w:rPr>
          <w:sz w:val="20"/>
          <w:szCs w:val="20"/>
          <w:color w:val="auto"/>
        </w:rPr>
      </w:pPr>
    </w:p>
    <w:p>
      <w:pPr>
        <w:spacing w:after="0"/>
        <w:tabs>
          <w:tab w:leader="none" w:pos="5460" w:val="left"/>
        </w:tabs>
        <w:rPr>
          <w:sz w:val="20"/>
          <w:szCs w:val="20"/>
          <w:color w:val="auto"/>
        </w:rPr>
      </w:pPr>
      <w:r>
        <w:rPr>
          <w:rFonts w:ascii="Arial" w:cs="Arial" w:eastAsia="Arial" w:hAnsi="Arial"/>
          <w:sz w:val="16"/>
          <w:szCs w:val="16"/>
          <w:color w:val="auto"/>
        </w:rPr>
        <w:t>basis.</w:t>
      </w:r>
      <w:r>
        <w:rPr>
          <w:sz w:val="20"/>
          <w:szCs w:val="20"/>
          <w:color w:val="auto"/>
        </w:rPr>
        <w:tab/>
      </w:r>
      <w:r>
        <w:rPr>
          <w:rFonts w:ascii="Arial" w:cs="Arial" w:eastAsia="Arial" w:hAnsi="Arial"/>
          <w:sz w:val="16"/>
          <w:szCs w:val="16"/>
          <w:color w:val="auto"/>
        </w:rPr>
        <w:t>it does not have any cost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33020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1740" w:space="240"/>
            <w:col w:w="9440"/>
          </w:cols>
          <w:pgMar w:left="240" w:top="283"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Pronouncements Not Yet Adopted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2019-12, “Income</w:t>
            </w:r>
          </w:p>
        </w:tc>
        <w:tc>
          <w:tcPr>
            <w:tcW w:w="5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This update is intended to simplify the accounting for income   Q1 2021</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This update is effective for public business entities</w:t>
            </w:r>
          </w:p>
        </w:tc>
      </w:tr>
      <w:tr>
        <w:trPr>
          <w:trHeight w:val="203"/>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Taxes (Topic 740) -</w:t>
            </w:r>
          </w:p>
        </w:tc>
        <w:tc>
          <w:tcPr>
            <w:tcW w:w="5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taxes by removing certain exceptions and by clarifying and</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beginning after December 15, 2020 with early adoption</w:t>
            </w:r>
          </w:p>
        </w:tc>
      </w:tr>
      <w:tr>
        <w:trPr>
          <w:trHeight w:val="203"/>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Simplifying the Accounting</w:t>
            </w:r>
          </w:p>
        </w:tc>
        <w:tc>
          <w:tcPr>
            <w:tcW w:w="5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amending existing guidance.</w:t>
            </w: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permitted. The Company does not believe that the adoption</w:t>
            </w:r>
          </w:p>
        </w:tc>
      </w:tr>
      <w:tr>
        <w:trPr>
          <w:trHeight w:val="203"/>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 Income Taxes”</w:t>
            </w:r>
          </w:p>
        </w:tc>
        <w:tc>
          <w:tcPr>
            <w:tcW w:w="5200" w:type="dxa"/>
            <w:vAlign w:val="bottom"/>
            <w:shd w:val="clear" w:color="auto" w:fill="CCEEFF"/>
          </w:tcPr>
          <w:p>
            <w:pPr>
              <w:spacing w:after="0"/>
              <w:rPr>
                <w:sz w:val="17"/>
                <w:szCs w:val="17"/>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of this update will have an impact on its financial position,</w:t>
            </w:r>
          </w:p>
        </w:tc>
      </w:tr>
      <w:tr>
        <w:trPr>
          <w:trHeight w:val="206"/>
        </w:trPr>
        <w:tc>
          <w:tcPr>
            <w:tcW w:w="192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results of operations or liquidity.</w:t>
            </w:r>
          </w:p>
        </w:tc>
      </w:tr>
      <w:tr>
        <w:trPr>
          <w:trHeight w:val="33"/>
        </w:trPr>
        <w:tc>
          <w:tcPr>
            <w:tcW w:w="192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7960" w:firstLine="8"/>
        <w:spacing w:after="0" w:line="470" w:lineRule="auto"/>
        <w:tabs>
          <w:tab w:leader="none" w:pos="30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2019 Activity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23, 2019, the Company completed its divestiture of 6,589 net acres of certain non-core Permian assets, which were acquired by the Company in its merger with Energen (as described below), for an aggregate sale price of $37 million. This divestiture did not result in a gain or loss because it did not have a significant effect on the Company’s reserve base or depreciation, depletion and amortization 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83" w:right="23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1, 2019, the Company completed its divestiture of 103,750 net acres of certain conventional and non-core Permian assets, which were acquired by the Company in the merger with Energen (as described below), for an aggregate sale price of $285 million. This divestiture did not result in a gain or loss because it did not have a significant effect on the Company’s reserve base or depreciation, depletion and amortization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Drop-Down Transaction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July 29, 2019, the Company entered into a definitive purchase agreement to divest certain mineral and royalty interests to Viper for approximately 18.3 million of Viper’s newly-issued Class B units, approximately 18.3 million newly-issued units of Viper LLC </w:t>
      </w:r>
      <w:r>
        <w:rPr>
          <w:rFonts w:ascii="Arial" w:cs="Arial" w:eastAsia="Arial" w:hAnsi="Arial"/>
          <w:sz w:val="18"/>
          <w:szCs w:val="18"/>
          <w:color w:val="231F20"/>
        </w:rPr>
        <w:t>with a fair value of</w:t>
      </w:r>
      <w:r>
        <w:rPr>
          <w:rFonts w:ascii="Arial" w:cs="Arial" w:eastAsia="Arial" w:hAnsi="Arial"/>
          <w:sz w:val="18"/>
          <w:szCs w:val="18"/>
          <w:color w:val="auto"/>
        </w:rPr>
        <w:t xml:space="preserve"> $497 million and $190 million in cash, after giving effect to closing adjustments for net title benefits (the “Drop-Down”). The mineral and royalty interests divested in the Drop-Down represent approximately 5,490 net royalty acres across the Midland and Delaware Basins, of which over 95% are operated by the Company, and have an average net royalty interest of approximately 3.2% (the “Drop-Down Assets”). The Drop-Down closed on October 1, 2019 and was effective as of July 1, 2019. Viper funded the cash portion of the purchase price of the Drop-Down Assets through a combination of cash on hand and borrowings under Viper LLC’s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City Towers LLC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31, 2018, Tall City Towers LLC, a subsidiary of the Company, completed its acquisition of the Fasken Center office buildings in Midland, TX where the Company’s corporate offices are located for a net purchase price of $110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31, 2018, the Company completed its acquisition of leasehold interests and related assets of Ajax Resources, LLC, which included approximately 25,493 net leasehold acres in the Northern Midland Basin, for $900 million in cash and approximately 2.6 million shares of the Company’s common stock (the “Ajax acquisition”). This transaction was effective as of July 1, 2018. The cash portion of this transaction was funded through a combination of cash on hand, proceeds from the sale of mineral interests to Viper (described below under the caption “2018 Drop-Down Transaction”), borrowing under the Company’s revolving credit facility and a portion of the proceeds from the Company’s September 2018 senior note offering. See Note 10 —Debt for information relating to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Drop-down Transaction</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August 15, 2018, the Company completed a transaction to sell to Viper mineral interests underlying 32,424 gross (1,696 net royalty) acres primarily in Pecos County, Texas, in the Permian Basin, approximately 80% of which are operated by the Company, for $175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31, 2018, the Company completed its acquisitions of leasehold interests and related assets, one with ExL Petroleum Management, LLC and ExL Petroleum Operating, Inc. and one with EnergyQuest II LLC, for an aggregate of approximately 3,646 net leasehold acres in the Northern Midland Basin for a total of $313 million in cash. These transactions were effective as of August 1, 2018 and were funded through a combination of cash on hand, proceeds from the sale of assets to Viper (described immediately above) and borrowing under the Company’s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Corporation Merger</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November 29, 2018, the Company completed its acquisition of Energen in an all-stock transaction (the “ Merger”), which was accounted for as a business combination. Upon completion of the Merger, the addition of Energen’s assets increased the Company’s assets to: (i) 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83"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 resulting in total consideration paid by the Company to the former Energen shareholders of approximately $7.1 billion.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closing of the Merger, the Company repaid outstanding principal under Energen’s revolving credit facility and assumed all of Energen’s long-term debt. See Note 10—Debt for additional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has been accounted for as a business combination, using the acquisition method. The following table represents the allocation of the total purchase price of Energen to the identifiable assets acquired and the liabilities assumed based on the fair values at the acquisition date resulting in no goodwill or bargain purchase gain.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purchase price allocation: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Fair value of the Company's common stock issued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7,136</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11"/>
        </w:trPr>
        <w:tc>
          <w:tcPr>
            <w:tcW w:w="9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liabilities assumed:</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derivative instruments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1,425</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91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Amount attributable to liabilities assumed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r>
      <w:tr>
        <w:trPr>
          <w:trHeight w:val="311"/>
        </w:trPr>
        <w:tc>
          <w:tcPr>
            <w:tcW w:w="9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assets acquired:</w:t>
            </w:r>
          </w:p>
        </w:tc>
        <w:tc>
          <w:tcPr>
            <w:tcW w:w="4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Oil and natural gas properties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9,361</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assets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Investment in real estate</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Asset retirement obligation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postretirement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Noncurrent income tax receivable, net</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 term assets</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9140" w:type="dxa"/>
            <w:vAlign w:val="bottom"/>
          </w:tcPr>
          <w:p>
            <w:pPr>
              <w:ind w:left="600"/>
              <w:spacing w:after="0"/>
              <w:rPr>
                <w:sz w:val="20"/>
                <w:szCs w:val="20"/>
                <w:color w:val="auto"/>
              </w:rPr>
            </w:pPr>
            <w:r>
              <w:rPr>
                <w:rFonts w:ascii="Arial" w:cs="Arial" w:eastAsia="Arial" w:hAnsi="Arial"/>
                <w:sz w:val="18"/>
                <w:szCs w:val="18"/>
                <w:color w:val="auto"/>
              </w:rPr>
              <w:t>Amount attributable to assets acquired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10,177</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$102 million and direct operating expenses of $17 million for the period from December 1, 2018 to December 31, 2018 due to the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summary pro forma consolidated statement of operations data of Diamondback for the years ended December 31, 2018 and 2017 have been prepared to give effect to the Merger as if it had occurred on January 1, 2017.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 stock issued to convert Energen’s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83"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common stock and equity awards as of the closing date of the Merger, (ii) the depletion of Energen’s fair-valued proved oil and natural gas properties and (iii) the estimated tax impacts of the pro forma adjustments.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pro forma earnings were adjusted to exclude acquisition-related costs incurred by the Company of approximately $37 million for the year ended December 31, 2018 and acquisition-related costs incurred by Energen of $59 million. 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 forma consolidated statement of operations data has been included for comparative purposes only and is not necessarily indicative of the results that might have occurred had the Merger taken place on January 1, 2017 and is not intended to be a projection of future results.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9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5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6"/>
              </w:rPr>
              <w:t>(in millions, except per share amounts)</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3,532</w:t>
            </w:r>
          </w:p>
        </w:tc>
        <w:tc>
          <w:tcPr>
            <w:tcW w:w="12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1,559</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2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7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 billion in cash and 7.69 million shares of the Company’s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$48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(in millions)</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2,123</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Revenues and royalties payable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 fair value of net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2,549</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$81 million and direct operating expenses of $24 million for the period from February 28, 2017 to December 31, 2017 due to the acquisition.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83"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years ended December 31, 2017 and 2016 have been prepared to give effect to the February 28, 2017 acquisition as if it had occurred on January 1, 2016. The pro forma data are not necessarily indicative of the financial results that would have been attained had the acquisitions occurred on January 1, 2016.</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data also necessarily exclude various operation expenses related to the properties and the financial statements should not be viewed as indicative of operations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9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9020" w:type="dxa"/>
            <w:vAlign w:val="bottom"/>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218"/>
        </w:trPr>
        <w:tc>
          <w:tcPr>
            <w:tcW w:w="902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millions, except per share</w:t>
            </w:r>
          </w:p>
        </w:tc>
      </w:tr>
      <w:tr>
        <w:trPr>
          <w:trHeight w:val="234"/>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amounts)</w:t>
            </w:r>
          </w:p>
        </w:tc>
        <w:tc>
          <w:tcPr>
            <w:tcW w:w="7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619</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4.85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9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Viper is a publicly traded Delaware limited partnership, the common units of which are listed on the Nasdaq Global Select Market under the symbol “VNOM”. Viper was formed by Diamondback on February 27, 2014, to, among other things, own, acquire and exploit oil and natural gas properties in North America. Viper is currently focused on oil and natural gas properties in the Permian Basin. Viper Energy Partners GP LLC, a consolidated subsidiary of Diamondback, serves as the general partner of, and holds a general partner interest in, Viper. As of December 31, 2019, the Company owned approximately 58% of Viper’s total units outstanding.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Diamondback received distributions of $133 million in respect of its interests in Viper and Viper LLC.</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Viper completed the following equity offerings during the years ended December 31, 2019,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Number of Units of</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 Repaid on</w:t>
            </w:r>
          </w:p>
        </w:tc>
      </w:tr>
      <w:tr>
        <w:trPr>
          <w:trHeight w:val="216"/>
        </w:trPr>
        <w:tc>
          <w:tcPr>
            <w:tcW w:w="426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Number of Units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Units Issued to</w:t>
            </w:r>
          </w:p>
        </w:tc>
        <w:tc>
          <w:tcPr>
            <w:tcW w:w="1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5"/>
              </w:rPr>
              <w:t>Proceeds Received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Viper LLC’s Credit</w:t>
            </w:r>
          </w:p>
        </w:tc>
      </w:tr>
      <w:tr>
        <w:trPr>
          <w:trHeight w:val="234"/>
        </w:trPr>
        <w:tc>
          <w:tcPr>
            <w:tcW w:w="4260" w:type="dxa"/>
            <w:vAlign w:val="bottom"/>
          </w:tcPr>
          <w:p>
            <w:pPr>
              <w:jc w:val="right"/>
              <w:ind w:right="1870"/>
              <w:spacing w:after="0"/>
              <w:rPr>
                <w:sz w:val="20"/>
                <w:szCs w:val="20"/>
                <w:color w:val="auto"/>
              </w:rPr>
            </w:pPr>
            <w:r>
              <w:rPr>
                <w:rFonts w:ascii="Arial" w:cs="Arial" w:eastAsia="Arial" w:hAnsi="Arial"/>
                <w:sz w:val="18"/>
                <w:szCs w:val="18"/>
                <w:b w:val="1"/>
                <w:bCs w:val="1"/>
                <w:color w:val="auto"/>
              </w:rPr>
              <w:t>Date</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2"/>
              </w:rPr>
              <w:t>Common Units Sold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1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by Viper</w:t>
            </w:r>
          </w:p>
        </w:tc>
        <w:tc>
          <w:tcPr>
            <w:tcW w:w="16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Facility</w:t>
            </w:r>
          </w:p>
        </w:tc>
      </w:tr>
      <w:tr>
        <w:trPr>
          <w:trHeight w:val="27"/>
        </w:trPr>
        <w:tc>
          <w:tcPr>
            <w:tcW w:w="4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2017</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9,775,000</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70"/>
        </w:trPr>
        <w:tc>
          <w:tcPr>
            <w:tcW w:w="4260" w:type="dxa"/>
            <w:vAlign w:val="bottom"/>
          </w:tcPr>
          <w:p>
            <w:pPr>
              <w:jc w:val="right"/>
              <w:ind w:right="3290"/>
              <w:spacing w:after="0" w:line="270" w:lineRule="exact"/>
              <w:rPr>
                <w:sz w:val="20"/>
                <w:szCs w:val="20"/>
                <w:color w:val="auto"/>
              </w:rPr>
            </w:pPr>
            <w:r>
              <w:rPr>
                <w:rFonts w:ascii="Arial" w:cs="Arial" w:eastAsia="Arial" w:hAnsi="Arial"/>
                <w:sz w:val="18"/>
                <w:szCs w:val="18"/>
                <w:color w:val="auto"/>
                <w:w w:val="88"/>
              </w:rPr>
              <w:t>July 2017</w:t>
            </w:r>
            <w:r>
              <w:rPr>
                <w:rFonts w:ascii="Arial" w:cs="Arial" w:eastAsia="Arial" w:hAnsi="Arial"/>
                <w:sz w:val="25"/>
                <w:szCs w:val="25"/>
                <w:color w:val="auto"/>
                <w:w w:val="88"/>
                <w:vertAlign w:val="superscript"/>
              </w:rPr>
              <w:t>(1)</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16,100,000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2,100,000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2018</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10,080,000</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4260" w:type="dxa"/>
            <w:vAlign w:val="bottom"/>
          </w:tcPr>
          <w:p>
            <w:pPr>
              <w:jc w:val="right"/>
              <w:spacing w:after="0"/>
              <w:rPr>
                <w:sz w:val="20"/>
                <w:szCs w:val="20"/>
                <w:color w:val="auto"/>
              </w:rPr>
            </w:pPr>
            <w:r>
              <w:rPr>
                <w:rFonts w:ascii="Arial" w:cs="Arial" w:eastAsia="Arial" w:hAnsi="Arial"/>
                <w:sz w:val="18"/>
                <w:szCs w:val="18"/>
                <w:color w:val="auto"/>
              </w:rPr>
              <w:t>March 2019</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10,925,000</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1,425,000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314</w:t>
            </w:r>
          </w:p>
        </w:tc>
      </w:tr>
    </w:tbl>
    <w:p>
      <w:pPr>
        <w:spacing w:after="0" w:line="13" w:lineRule="exact"/>
        <w:rPr>
          <w:sz w:val="20"/>
          <w:szCs w:val="20"/>
          <w:color w:val="auto"/>
        </w:rPr>
      </w:pPr>
    </w:p>
    <w:p>
      <w:pPr>
        <w:jc w:val="both"/>
        <w:ind w:left="3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this offering, Diamondback purchased 700,000 common units, an affiliate of the General Partner purchased 3,000,000 common units and certain officers and directors of the Company and the General Partner purchased an aggregate of 114,000 common units, in each case directly from the underwriters.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a result of Viper’s public offerings, Viper’s issuance of units for acquisitions and Viper’s issuance of unit-based compensation, the Company’s ownership percentage in Viper was reduced. During the year ended December 31, 2019, the Company recorded a $45 million decrease to non-controlling interest in Viper with an increase to additional paid-in capital, which represents the difference between the Company’s share of the underlying net book value in Viper before and after the respective Partnership common unit transactions, on the Company’s consolidated balance sheet.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83" w:right="23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Tax Status Election and Related Transactions by Viper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March 2018, Viper announced that the Board of Directors of the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w:t>
      </w:r>
    </w:p>
    <w:p>
      <w:pPr>
        <w:spacing w:after="0" w:line="2" w:lineRule="exact"/>
        <w:rPr>
          <w:sz w:val="20"/>
          <w:szCs w:val="20"/>
          <w:color w:val="auto"/>
        </w:rPr>
      </w:pPr>
    </w:p>
    <w:p>
      <w:pPr>
        <w:jc w:val="both"/>
        <w:ind w:firstLine="8"/>
        <w:spacing w:after="0" w:line="251" w:lineRule="auto"/>
        <w:tabs>
          <w:tab w:leader="none" w:pos="3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entered into an exchange agreement with the Company, the General Partner and the Operating Company. Simultaneously with the effectiveness of these agreements, the Company delivered and assigned to Viper the 73,150,000 common units the Company owned in exchange for (i) 73,150,000 of Viper’s newly-issued Class B units and (ii) 73,150,000 newly-issued units of the Operating Company pursuant to the terms of a Recapitalization Agreement dated March 28, 2018, as amended as of May 9, 2018 (the “Recapitalization Agreement”). Immediately following that exchange, Viper continued to be the managing member of the Operating Company, with sole control of its operations, and owned approximately 36% of the outstanding units issued by the Operating Company, and the Company owned the remaining approximately 64% of the outstanding units issued by the Operating Company. Upon completion of Viper’s July 2018 offering of units, it owned approximately 41% of the outstanding units issued by the Operating Company and the Company owned the remaining approximately 59%. The Operating Company units and Viper’s Class B units owned by the Company are exchangeable from time to time for Viper’s common units (that is, one Operating Company unit and one Partnership Class B unit, together, will be exchangeable for one Partnership common unit).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10, 2018, the change in Viper’s income tax status became effective. On that date, pursuant to the terms of the Recapitalization Agreement,</w:t>
      </w:r>
    </w:p>
    <w:p>
      <w:pPr>
        <w:spacing w:after="0" w:line="46" w:lineRule="exact"/>
        <w:rPr>
          <w:sz w:val="20"/>
          <w:szCs w:val="20"/>
          <w:color w:val="auto"/>
        </w:rPr>
      </w:pPr>
    </w:p>
    <w:p>
      <w:pPr>
        <w:jc w:val="both"/>
        <w:ind w:firstLine="8"/>
        <w:spacing w:after="0" w:line="286" w:lineRule="auto"/>
        <w:tabs>
          <w:tab w:leader="none" w:pos="23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General Partner made a cash capital contribution of $1 million to Viper in respect of its general partner interest and (ii) the Company made a cash capital contribution of $1 million to Viper in respect of the Class B units. The Company,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the Operating Company for 731,500 common units of Viper and a cash amount of $10,000 representing a proportionate return of the $1 million invested capital in respect of the Class B units. The General Partner continues to serve as Viper’s general partner and the Company continues to control Viper. After the effectiveness of the tax status election and the completion of related transactions, Viper’s minerals business continues to be conducted through the Operating Company,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 and Viper’s Current Report on Form 8-K filed with the SEC on May 15,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amended and restated agreement of limited partnership, dated as of May 9, 2018, as amended as of May 10, 2018 (the “Viper Partnership Agreement”), requires Viper to reimburse Viper’s General Partner for all direct and indirect expenses incurred or paid on Viper’s behalf and all other expenses allocable to Viper or otherwise incurred by Viper’s General Partner in connection with operating Viper’s business. The Viper Partnership Agreement does not set a limit on the amount of expenses for which Viper’s General Partner and its affiliates may be reimbursed. These expenses include salary, bonus, incentive compensation and other amounts paid to persons who perform services for Viper or on its behalf and expenses allocated to Viper’s General Partner by its affiliates. Viper’s General Partner is entitled to determine the expenses that are allocable to Viper. For each of the year ended December 31, 2019 and 2018, Viper’s General Partner allocated $3 million and $2 million, respectively, to Viper.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Viper entered into a tax sharing agreement with Diamondback, dated June 23, 2014, pursuant to which Viper agreed to reimburse Diamondback for its share of state and local income and other taxes for which Viper’s results are included in a consolidated tax return filed by Diamondback with respect to taxable periods including or beginning on June 23, 2014. The amount of any such reimbursement is limited to the tax Viper would have paid had it not been included in a combined group with Diamondback. Diamondback may use its tax attributes to cause its consolidated group, of which Viper may be a member for this purpose, to owe less or no tax. In such a situation, Viper agreed to reimburse Diamondback for the tax Viper would have owed had the tax attributes not been available or used for Viper’s benefit, even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83"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though Diamondback had no cash tax expense for that period. For the year ended December 31, 2019, Viper did not accrue any state income tax expense. For the year ended December 31, 2018, Viper accrued a minimal amount for its share of Texas margin tax for which Viper’s results are included in a combined tax return filed by Diamondback.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LLC’s Revolving Credit Facility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has entered into a secured revolving credit facility with Wells Fargo Bank, National Association, (“Wells Fargo”) as administrative agent sole book runner and lead arranger. See Note 10—Debt for a description of this credit facility.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RATTLER MIDSTREAM LP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Rattler’s General Partner, a wholly-owned subsidiary of Diamondback, serves as the general partner of Rattler. As of December 31, 2019, Diamondback owned approximately 71% of Rattler’s total units outstanding.</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Prior to the completion of Rattler’s initial public offering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has also entered into the following agreements with Rattler: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Partnership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closing of the Rattler Offering, Rattler’s General Partner and Energen Resources entered into the first amended and restated agreement of limited partnership of Rattler, dated May 28, 2019 (the “Rattler Partnership Agreement”). The Rattler Partnership Agreement requires Rattler to reimburse Rattler’s General Partner for all direct and indirect expenses incurred or paid on Rattler’s behalf and all other expenses allocable to Rattler or otherwise incurred by Rattler’s General Partner in connection with operating Rattler’s business. The Rattler Partnership Agreement does not set a limit on the amount of expenses for which its general partner and its affiliates may be reimbursed. These expenses include salary, bonus, incentive compensation and other amounts paid to persons who perform services for Rattler or on its behalf and expenses allocated to Rattler’s General Partner by its affiliates. Rattler’s General Partner is entitled to determine the expenses that are allocable to Rattler. For the year ended December 31, 2019, Rattler’s General Partner allocated $364,342 of such expenses to Rattler.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Services and Secondment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Rattler Offering, Rattler entered into a services and secondment agreement with Diamondback, Diamondback E&amp;P LLC, Rattler’s General Partner and Rattler LLC, dated as of May 28, 2019 (the “Services and Secondment Agreement”). Pursuant to the Services and Secondment Agreement, Diamondback and its subsidiaries second certain operational, construction, design and management employees and contractors of Diamondback to Rattler’s General Partner, Rattler and its subsidiaries, providing management, maintenance and operational functions with respect to Rattler’s assets. The Services and Secondment Agreement requires Rattler’s General Partner and Rattler to reimburse Diamondback for the cost of the seconded employees and contractors, including their wages and benefits. For the year ended December 31, 2019, Rattler’s General Partner and Rattler paid Diamondback $5 million under the Services and Secondment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83"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Tax Sharing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Rattler Offering, Rattler LLC entered into a tax sharing agreement with Diamondback pursuant to which Rattler LLC will reimburse Diamondback for its share of state and local income and other taxes borne by Diamondback as a result of Rattler LLC’s results being included in a combined or consolidated tax return filed by Diamondback with respect to taxable periods including or beginning on May 28, 2019. The amount of any such reimbursement is limited to the tax that Rattler LLC would have paid had it not been included in a combined group with Diamondback. Diamondback may use its tax attributes to cause its combined or consolidated group, of which Rattler LLC may be a member for this purpose, to owe less or no tax. In such a situation, Rattler LLC agreed to reimburse Diamondback for the tax Rattler LLC would have owed had the attributes not been available or used for Rattler LLC’s benefit, even though Diamondback had no cash expense for that period.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2019, Rattler accrued state income tax expense of $188,808 for its share of Texas margin tax for which Rattler’s share of Rattler LLC’s results are included in a combined tax return filed by Diamondback.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LLC’s Revolving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LLC has entered into a secured revolving credit facility with Wells Fargo Bank, National Association, as administrative agent, sole book runner and lead arranger. See Note 10—Debt for a description of this credit facility.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REAL ESTATE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conjunction with Diamondback’s acquisition of Fasken Towers Tall Towers, the Company allocated the $110 million purchase price between real estate assets and intangible lease assets related to in-place and above-market leases. In addition, the Company owns $10 million in office buildings. The following schedules present the cost and related accumulated depreciation or amortization (as applicable) of Diamondback’s real estate assets including intangible lease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 Useful</w:t>
            </w:r>
          </w:p>
        </w:tc>
        <w:tc>
          <w:tcPr>
            <w:tcW w:w="40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Lives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40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3220" w:type="dxa"/>
            <w:vAlign w:val="bottom"/>
            <w:tcBorders>
              <w:bottom w:val="single" w:sz="8" w:color="CCEEFF"/>
            </w:tcBorders>
            <w:gridSpan w:val="2"/>
            <w:shd w:val="clear" w:color="auto" w:fill="CCEEFF"/>
          </w:tcPr>
          <w:p>
            <w:pPr>
              <w:jc w:val="center"/>
              <w:ind w:left="1550"/>
              <w:spacing w:after="0"/>
              <w:rPr>
                <w:sz w:val="20"/>
                <w:szCs w:val="20"/>
                <w:color w:val="auto"/>
              </w:rPr>
            </w:pPr>
            <w:r>
              <w:rPr>
                <w:rFonts w:ascii="Arial" w:cs="Arial" w:eastAsia="Arial" w:hAnsi="Arial"/>
                <w:sz w:val="18"/>
                <w:szCs w:val="18"/>
                <w:color w:val="auto"/>
                <w:w w:val="91"/>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322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322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real estate assets</w:t>
            </w:r>
          </w:p>
        </w:tc>
        <w:tc>
          <w:tcPr>
            <w:tcW w:w="1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 in land and buildings, net</w:t>
            </w:r>
          </w:p>
        </w:tc>
        <w:tc>
          <w:tcPr>
            <w:tcW w:w="16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Pr>
          <w:p>
            <w:pPr>
              <w:spacing w:after="0"/>
              <w:rPr>
                <w:sz w:val="24"/>
                <w:szCs w:val="24"/>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(Months)</w:t>
            </w:r>
          </w:p>
        </w:tc>
        <w:tc>
          <w:tcPr>
            <w:tcW w:w="40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 intangibles</w:t>
            </w:r>
          </w:p>
        </w:tc>
        <w:tc>
          <w:tcPr>
            <w:tcW w:w="3220" w:type="dxa"/>
            <w:vAlign w:val="bottom"/>
            <w:tcBorders>
              <w:bottom w:val="single" w:sz="8" w:color="CCEEFF"/>
            </w:tcBorders>
            <w:gridSpan w:val="2"/>
            <w:shd w:val="clear" w:color="auto" w:fill="CCEEFF"/>
          </w:tcPr>
          <w:p>
            <w:pPr>
              <w:jc w:val="center"/>
              <w:ind w:left="1550"/>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Less: accumulated amortization</w:t>
            </w:r>
          </w:p>
        </w:tc>
        <w:tc>
          <w:tcPr>
            <w:tcW w:w="16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In-place lease intangibles, net</w:t>
            </w:r>
          </w:p>
        </w:tc>
        <w:tc>
          <w:tcPr>
            <w:tcW w:w="1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Above-market lease intangibles</w:t>
            </w:r>
          </w:p>
        </w:tc>
        <w:tc>
          <w:tcPr>
            <w:tcW w:w="3220" w:type="dxa"/>
            <w:vAlign w:val="bottom"/>
            <w:gridSpan w:val="2"/>
          </w:tcPr>
          <w:p>
            <w:pPr>
              <w:jc w:val="center"/>
              <w:ind w:left="1550"/>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accumulated amortization</w:t>
            </w:r>
          </w:p>
        </w:tc>
        <w:tc>
          <w:tcPr>
            <w:tcW w:w="16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560" w:type="dxa"/>
            <w:vAlign w:val="bottom"/>
          </w:tcPr>
          <w:p>
            <w:pPr>
              <w:ind w:left="380"/>
              <w:spacing w:after="0"/>
              <w:rPr>
                <w:sz w:val="20"/>
                <w:szCs w:val="20"/>
                <w:color w:val="auto"/>
              </w:rPr>
            </w:pPr>
            <w:r>
              <w:rPr>
                <w:rFonts w:ascii="Arial" w:cs="Arial" w:eastAsia="Arial" w:hAnsi="Arial"/>
                <w:sz w:val="18"/>
                <w:szCs w:val="18"/>
                <w:color w:val="auto"/>
              </w:rPr>
              <w:t>Above-market lease intangibles, net</w:t>
            </w:r>
          </w:p>
        </w:tc>
        <w:tc>
          <w:tcPr>
            <w:tcW w:w="1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intangible lease assets, net</w:t>
            </w:r>
          </w:p>
        </w:tc>
        <w:tc>
          <w:tcPr>
            <w:tcW w:w="16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340" w:type="dxa"/>
            <w:vAlign w:val="bottom"/>
            <w:gridSpan w:val="3"/>
            <w:vMerge w:val="restart"/>
          </w:tcPr>
          <w:p>
            <w:pPr>
              <w:ind w:left="980"/>
              <w:spacing w:after="0"/>
              <w:rPr>
                <w:sz w:val="20"/>
                <w:szCs w:val="20"/>
                <w:color w:val="auto"/>
              </w:rPr>
            </w:pPr>
            <w:r>
              <w:rPr>
                <w:rFonts w:ascii="Arial" w:cs="Arial" w:eastAsia="Arial" w:hAnsi="Arial"/>
                <w:sz w:val="18"/>
                <w:szCs w:val="18"/>
                <w:color w:val="auto"/>
              </w:rPr>
              <w:t>F-26</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60" w:type="dxa"/>
            <w:vAlign w:val="bottom"/>
          </w:tcPr>
          <w:p>
            <w:pPr>
              <w:spacing w:after="0"/>
              <w:rPr>
                <w:sz w:val="24"/>
                <w:szCs w:val="24"/>
                <w:color w:val="auto"/>
              </w:rPr>
            </w:pPr>
          </w:p>
        </w:tc>
        <w:tc>
          <w:tcPr>
            <w:tcW w:w="33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Arial" w:cs="Arial" w:eastAsia="Arial" w:hAnsi="Arial"/>
                <w:sz w:val="18"/>
                <w:szCs w:val="18"/>
                <w:b w:val="1"/>
                <w:bCs w:val="1"/>
                <w:color w:val="auto"/>
              </w:rPr>
              <w:t>7.  PROPERTY AND EQUIPMENT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52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r>
      <w:tr>
        <w:trPr>
          <w:trHeight w:val="27"/>
        </w:trPr>
        <w:tc>
          <w:tcPr>
            <w:tcW w:w="8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(in millions)</w:t>
            </w:r>
          </w:p>
        </w:tc>
        <w:tc>
          <w:tcPr>
            <w:tcW w:w="880" w:type="dxa"/>
            <w:vAlign w:val="bottom"/>
          </w:tcPr>
          <w:p>
            <w:pPr>
              <w:spacing w:after="0"/>
              <w:rPr>
                <w:sz w:val="20"/>
                <w:szCs w:val="20"/>
                <w:color w:val="auto"/>
              </w:rPr>
            </w:pP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16,575</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12,629</w:t>
            </w: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9,670</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22,299</w:t>
            </w: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8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20,853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19,556</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700</w:t>
            </w: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and equipment, net of accumulated depreciation, depletion, amortization and impairment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20,372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Incurred in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2018</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Incurred in 2017</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2016</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57"/>
        </w:trPr>
        <w:tc>
          <w:tcPr>
            <w:tcW w:w="8520" w:type="dxa"/>
            <w:vAlign w:val="bottom"/>
          </w:tcPr>
          <w:p>
            <w:pPr>
              <w:ind w:left="500"/>
              <w:spacing w:after="0"/>
              <w:rPr>
                <w:sz w:val="20"/>
                <w:szCs w:val="20"/>
                <w:color w:val="auto"/>
              </w:rPr>
            </w:pPr>
            <w:r>
              <w:rPr>
                <w:rFonts w:ascii="Arial" w:cs="Arial" w:eastAsia="Arial" w:hAnsi="Arial"/>
                <w:sz w:val="18"/>
                <w:szCs w:val="18"/>
                <w:color w:val="auto"/>
              </w:rPr>
              <w:t>Total not subject to depletion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$49 million, $29 million and $22 million for the years ended December 31, 2019, 2018 and 2017,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283" w:right="239" w:bottom="1440" w:gutter="0" w:footer="0" w:header="0"/>
          <w:type w:val="continuous"/>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the decline in commodity prices during 2019, the Company recorded a non-cash ceiling test impairment for the year ended December 31, 2019 of $790 million which was included in accumulated depletion. The impairment charge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 No impairment on proved oil and natural gas properties was recorded for the year ended December 31, 2018.</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2019, there was $228 million in exploration costs and development costs and $118 million in capitalized interest that are not subject to depletion. At December 31, 2018, there were $68 million exploration costs and development costs and $55 million capitalized interest that are not subject to depletion.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EQUITY METHOD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2018, Rattler had the following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Net Ownership</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4"/>
          </w:tcPr>
          <w:p>
            <w:pPr>
              <w:jc w:val="right"/>
              <w:ind w:right="141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3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3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Amarillo Rattler, LLC</w:t>
            </w:r>
          </w:p>
        </w:tc>
        <w:tc>
          <w:tcPr>
            <w:tcW w:w="3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540" w:type="dxa"/>
            <w:vAlign w:val="bottom"/>
            <w:gridSpan w:val="3"/>
            <w:vMerge w:val="restart"/>
          </w:tcPr>
          <w:p>
            <w:pPr>
              <w:ind w:left="1640"/>
              <w:spacing w:after="0"/>
              <w:rPr>
                <w:sz w:val="20"/>
                <w:szCs w:val="20"/>
                <w:color w:val="auto"/>
              </w:rPr>
            </w:pPr>
            <w:r>
              <w:rPr>
                <w:rFonts w:ascii="Arial" w:cs="Arial" w:eastAsia="Arial" w:hAnsi="Arial"/>
                <w:sz w:val="18"/>
                <w:szCs w:val="18"/>
                <w:color w:val="auto"/>
              </w:rPr>
              <w:t>F-28</w:t>
            </w: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54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35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income (loss) of equity method investees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10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HMW LLC</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2014, the Company acquired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30, 2018, HMW LLC’s operating agreement was amended. As a result of the amendment, Rattler no longer recognizes an equity investment in HMW LLC but instead consolidates its undivided interest in the produced water disposal (“PWD”) assets owned by HMW LLC. In exchange for Rattler’s 25% investment, Rattler received a 50% undivided ownership interest in two of the four PWD wells and associated assets previously owned by HMW LLC. Rattler’s basis in the assets is equivalent to its basis in the equity investment in HMW LLC.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2019, Rattler LLC acquired a 10% equity interest in EPIC Crude Holdings, LP (“EPIC”), which is building a pipeline (the “EPIC project”) that, once fully operational, will transport crude and NGL across Texas for delivery into the Corpus Christi market. The EPIC project began initial operations during the third quarter of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15, 2019, Rattler LLC acquired a 10% equity interest in Gray Oak Pipeline, LLC (“Gray Oak”), which is building a pipeline (the “Gray Oak project”) that, once operational, will transport crude from the Permian to Corpus Christi on the Texas Gulf Coast. The Gray Oak project began initial operations during the fourth quarter of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29, 2019, Rattler LLC executed a short-term promissory note to Gray Oak. The note allows for borrowing by Gray Oak of up to $123 million at 2.52% interest rate with a maturity date of March 31, 2022. During the year ended December 31, 2019, there were $23 million in borrowings and repayments under this note. The short-term promissory note was repaid on May 31, 2019.</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June 4, 2019, Rattler entered into an equity contribution agreement with respect to Gray Oak. The equity contribution agreement requires Rattler to contribute equity or make loans to Gray Oak so that Gray Oak can, to the extent necessary, cure payment defaults under Gray Oak’s credit agreement and, in certain instances, repay Gray Oak’s credit agreement in full. Rattler’s obligations under the equity contribution agreement are limited to its proportionate ownership interest in Gray Oak, and such obligations are guaranteed by Rattler LLC, Tall City, Rattler OMOG LLC and Rattler Ajax Processing LLC.</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project”). The Wink to Webster project is expected to begin service in the first half of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2019, Rattler LLC acquired a 60% equity interest in OMOG JV LLC (“OMOG”). On November 7, 2019, OMOG acquired 100% of Reliance Gathering, LLC which operates a crude oil gathering system in the Permian, and was renamed as Oryx Midland Oil Gathering LLC following the acquisition. While Rattler’s equity interest is 60%, the investment is accounted for as an equity method investment as Rattler does not control operating activities and substantive participating rights exist with the controlling minority investor.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20, 2019, Rattler LLC acquired a 50% equity interest in Amarillo Rattler LLC, which currently owns and operates the Yellow Rose gas gathering and processing system with estimated total processing capacity of 40,000 Mcf/d and over 84 miles of gathering and regional transportation pipelines in Dawson, Martin and Andrews Counties, Texas. This joint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83"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venture also intends to construct and operate a new 60,000 Mcf/d cryogenic natural gas processing plant in Martin County, Texas. While Rattler’s equity interest is 50%, the investment is accounted for as an equity method investment as Rattler does not control operating activities and substantive participating rights exist with the controlling investor.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impairments were recorded for Rattler’s equity method investments for the year ended December 31, 2019 or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2019, there was $1 million of capitalized interest that was related to equity method investments that have not yet begun operations.</w:t>
      </w:r>
    </w:p>
    <w:p>
      <w:pPr>
        <w:spacing w:after="0" w:line="2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DEBT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millions)</w:t>
            </w:r>
          </w:p>
        </w:tc>
        <w:tc>
          <w:tcPr>
            <w:tcW w:w="138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4.625%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7.320%</w:t>
            </w:r>
          </w:p>
        </w:tc>
        <w:tc>
          <w:tcPr>
            <w:tcW w:w="658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2.875%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4.750%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3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5.375%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3.250%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7.350%</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7.125%</w:t>
            </w:r>
          </w:p>
        </w:tc>
        <w:tc>
          <w:tcPr>
            <w:tcW w:w="658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3.500%</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DrillCo Agreement</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Unamortized discount costs</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premium costs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7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Viper revolving credit facility</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Viper 5.375% Senior Notes due 2027</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Rattler revolving credit facility</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Total long-term debt</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4,464</w:t>
            </w:r>
          </w:p>
        </w:tc>
      </w:tr>
      <w:tr>
        <w:trPr>
          <w:trHeight w:val="20"/>
        </w:trPr>
        <w:tc>
          <w:tcPr>
            <w:tcW w:w="6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4.750% Senior Notes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October 28, 2016, the Company issued $500 million in aggregate principal amount of 4.750% senior notes due 2024 (“4.750% senior notes”), under an indenture among the Company, the subsidiary guarantors party thereto and Wells Fargo, as the trustee. On September 25, 2018, the Company issued $750 million aggregate principal amount of new 4.750% senior notes as additional notes under, and subject to the terms of, the same indenture governing the 4.750% senior notes. The Company received approximately $741 million in net proceeds, after deducting the initial purchasers’ discount and its estimated offering expenses, but disregarding accrued interest, from the issuance of the new 4.750% senior notes. The Company used a portion of the net proceeds from the issuance of the new 4.750% senior notes to repay a portion of the outstanding borrowings its revolving credit facility and the balance for general corporate purposes, including funding a portion of the cash consideration for the acquisition of certain assets from Ajax Resources, LLC..</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20, 2019, the Company redeemed all of the outstanding 4.750% senior notes. The redemption payment (the “Redemption Payment”) included $1.25 billion of outstanding principal at a redemption price of 103.563% of the principal amount of the 4.750% senior notes, plus accrued and unpaid interest on the outstanding principal amount to the Redemption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83"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Date. On December 5, 2019, the indenture governing the 4.750% senior notes was fully satisfied and discharged and the guarantors were released from their guarantees of the 4.750% senior notes. The Company funded the Redemption Payment with a portion of the net proceeds from the issuance of the December 2019 Notes.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4.750% senior notes bore interest at a rate of 4.750% per annum, payable semi-annually, in arrears on May 1 and November 1 of each year, commencing on May 1, 2017 and would have matured on November 1, 2024. All of our restricted subsidiaries that guaranteed our revolving credit facility guaranteed the 4.750% senior notes; provided, however, that the 4.750% senior notes were not guaranteed by Viper, Viper’s General Partner, Viper LLC, Rattler, Rattler’s General Partner or Rattler 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2016, the Company issued $500 million in aggregate principal amount of 5.375% senior notes due 2025 (the “existing 2025 notes”), under an indenture among us, the subsidiary guarantors party thereto and Wells Fargo, as the trustee (the “2025 indenture”). On January 29, 2018, the Company issued $300 million aggregate principal amount of new 5.375% senior notes due 2025 as additional notes under the 2025 indenture (the “new 2025 notes” and, together with the existing 2025 notes, the 2025 senior notes). The Company received approximately $308 million in net proceeds, after deducting the initial purchaser’s discount and the Company’s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2025 senior notes bear interest at a rate of 5.375% per annum, payable semi-annually, in arrears on May 31 and November 30 of each year and will mature on May 31, 2025. All of the Company’s existing and future restricted subsidiaries that guarantee its revolving credit facility guarantee the 2025 senior notes. Currently, the 2025 senior notes are not guaranteed by any of the Company’s subsidiaries other than Diamondback O&amp;G LLC and will not be guaranteed by any of the Company’s future unrestricted subsidiaries.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Notes Offering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5, 2019, the Company issued $1.0 billion in aggregate principal amount of 2.875% senior notes due 2024 (the “2024 notes”), $800 million in aggregate principal amount of 3.250% senior notes due 2026 (the “2026 notes”), and $1.2 billion aggregate principal amount of 3.500% senior notes due 2029, (the “2029 notes” and, together with the 2024 notes and the 2026 notes, the “December 2019 Notes”).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fully and unconditionally guaranteed by Diamondback O&amp;G LLC and are not guaranteed by any of the Company’s other subsidiaries.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December 2019 Notes were issued under an indenture, dated as of December 5, 2019, among the Company and Wells Fargo, as the trustee, as supplemented by the first supplemental indenture dated as of December 5, 2019 (the “December 2019 Notes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w:t>
      </w:r>
      <w:r>
        <w:rPr>
          <w:rFonts w:ascii="Arial" w:cs="Arial" w:eastAsia="Arial" w:hAnsi="Arial"/>
          <w:sz w:val="18"/>
          <w:szCs w:val="18"/>
          <w:color w:val="212529"/>
        </w:rPr>
        <w:t>ompany may redeem (i) the 2024 Notes in whole or in part at any time prior to November 1, 2024 (one month prior to the maturity date of the</w:t>
      </w:r>
      <w:r>
        <w:rPr>
          <w:rFonts w:ascii="Arial" w:cs="Arial" w:eastAsia="Arial" w:hAnsi="Arial"/>
          <w:sz w:val="18"/>
          <w:szCs w:val="18"/>
          <w:color w:val="auto"/>
        </w:rPr>
        <w:t xml:space="preserve"> </w:t>
      </w:r>
      <w:r>
        <w:rPr>
          <w:rFonts w:ascii="Arial" w:cs="Arial" w:eastAsia="Arial" w:hAnsi="Arial"/>
          <w:sz w:val="18"/>
          <w:szCs w:val="18"/>
          <w:color w:val="212529"/>
        </w:rPr>
        <w:t>2024 Notes), (ii) the 2026 Notes in whole or in part at any time prior to October 1, 2026 (two months prior to the maturity date of the 2026 Notes) and (iii) the 2029 Notes in whole or in part at any time prior to September 1, 2029 (three months prior to the maturity date of the 2029 Notes) (each such date, a “par call date”), in each case at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83"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529"/>
        </w:rPr>
        <w:t xml:space="preserve">redemption price set forth in the indenture governing the December 2019 Notes. If the December 2019 Notes are redeemed on or after their respective par call dates, in each case, such December 2019 Notes will be redeemed at a redemption price equal to </w:t>
      </w:r>
      <w:r>
        <w:rPr>
          <w:rFonts w:ascii="Arial" w:cs="Arial" w:eastAsia="Arial" w:hAnsi="Arial"/>
          <w:sz w:val="18"/>
          <w:szCs w:val="18"/>
          <w:color w:val="000000"/>
        </w:rPr>
        <w:t>100%</w:t>
      </w:r>
      <w:r>
        <w:rPr>
          <w:rFonts w:ascii="Arial" w:cs="Arial" w:eastAsia="Arial" w:hAnsi="Arial"/>
          <w:sz w:val="18"/>
          <w:szCs w:val="18"/>
          <w:color w:val="212529"/>
        </w:rPr>
        <w:t xml:space="preserve"> of the principal amount of the December 2019 Notes to be redeemed plus interest accrued thereon to but not including the redemption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12529"/>
        </w:rPr>
        <w:t xml:space="preserve">Upon the occurrence of a Change of Control Triggering Event (as defined in the indenture governing the December 2019 Notes), holders may require the Company to purchase some or all of their December 2019 Notes for cash at a price equal to </w:t>
      </w:r>
      <w:r>
        <w:rPr>
          <w:rFonts w:ascii="Arial" w:cs="Arial" w:eastAsia="Arial" w:hAnsi="Arial"/>
          <w:sz w:val="18"/>
          <w:szCs w:val="18"/>
          <w:color w:val="000000"/>
        </w:rPr>
        <w:t>101%</w:t>
      </w:r>
      <w:r>
        <w:rPr>
          <w:rFonts w:ascii="Arial" w:cs="Arial" w:eastAsia="Arial" w:hAnsi="Arial"/>
          <w:sz w:val="18"/>
          <w:szCs w:val="18"/>
          <w:color w:val="212529"/>
        </w:rPr>
        <w:t xml:space="preserve"> of the principal amount of the December 2019 Notes being purchased, plus accrued and unpaid interest, if any, to the date of purchase.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12529"/>
        </w:rPr>
        <w:t>The indenture governing the December 2019 Notes contains customary terms and covenants, including limitations on the Company’s ability and the ability of certain of its subsidiaries to incur liens securing funded indebtedness and on the Company’s ability to consolidate, merge or sell, convey, transfer or lease all or substantially all of its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(the “investment grade changeover date”). On November 20, 2019, Diamondback O&amp;G LLC caused Diamondback O&amp;G LLC to deliver a notice as borrower under the revolving credit facility to trigger the “investment grade changeover date.” As of December 31, 2019, the maximum credit amount available under the credit agreement is $2.0 billion. As of December 31, 2019, the Company had approximately $13 million of outstanding borrowings under its revolving credit facility and $1.99 billion available for future borrowings under the revolving credit facility.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and, as of December 31, 2019, the credit agreement is guaranteed by Diamondback Energy, Inc. None of the Company’s other subsidiaries are guarantors under the revolving credit facility. On December 5, 2019, Diamondback O&amp;G LLC delivered a letter notifying the administrative agent under the credit agreement that as of such date, each of the guarantors, other than Diamondback Energy, Inc., ceased to be a guarantor under the credit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us that is equal to the alternate base rate (which is equal to the greatest of the prime rate, the Federal Funds effective rate plus 0.5%, and 3 month LIBOR plus 1.0%) or LIBOR, in each case plus the applicable margin. The applicable margin with range from 0.125% to 1.0% per annum and from 1.125% to 2.0% per annum in the case of LIBOR, in each case, depending on the pricing level, which in turn depends on the rating agencies’ rating of our unsecured debt. We are obligated to pay a quarterly commitment fee ranging from 0.125% to 0.350% per year on the unused portion of the commitment, based on the pricing level, which in turn depends on the rating agencies’ rating of our unsecured debt.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Loan principal may be optionally 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2019 and 2018, the Company was in compliance with all financial covenants under the revolving credit facility, as then in effect. 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83"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the Company’s wholly owned subsidiary and remained the issuer of an aggregate principal amount of $530 million in notes (the “Energen Notes”), issued under an indenture dated September 1, 1996 with The Bank of New York as Trustee (the “Energen Indenture”). As of December 31, 2019, the Energen Notes consist of: (1) $399 million aggregate principal amount of 4.625% senior notes due on September 1, 2021, (2) $108 million of 7.125% notes due on February 15, 2028, (3) $21 million of 7.32% notes due on July 28, 2022, and (4) $11 million of 7.35% notes due on July 28, 2027.</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Energen Notes are the senior unsecured obligations of Energen and, post-merger, Energen, as a wholly owned subsidiary, continues to be the sole issuer and obligor under the Energen Notes. The Energen Notes rank equally in right of payment with all other senior unsecured indebtedness of Energen if any, and are effectively subordinated to Energen’s senior secured indebtedness, if any, to the extent of the value of the collateral securing such indebtedness. Neither we nor any of our subsidiaries guarantee the Energen Notes.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 The Energen Indenture not include a restriction on the payment of dividends.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 As a result of such guarantees, under the terms of and the 2025 Indenture, Energen is also a guarantor of the 2025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 - Wells Fargo Bank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(the “Viper credit agreement”), provides for a revolving credit facility in the maximum credit amount of $2 billion and a borrowing base based on Viper LLC’s oil and natural gas reserves and other factors (the “borrowing base”) of $775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In connection with Viper’s fall redetermination in November 2019, the borrowing base under the Viper credit agreement was increased to $775 million. As of December 31, 2019, the borrowing base was set at $775 million, and Viper LLC had $97 million of outstanding borrowings and $678 million available for future borrowings under the Viper credit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Viper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83" w:right="23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purchases of margin stock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02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4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4020" w:type="dxa"/>
            <w:vAlign w:val="bottom"/>
            <w:tcBorders>
              <w:bottom w:val="single" w:sz="8" w:color="CCEEFF"/>
            </w:tcBorders>
            <w:shd w:val="clear" w:color="auto" w:fill="CCEEFF"/>
          </w:tcPr>
          <w:p>
            <w:pPr>
              <w:jc w:val="center"/>
              <w:ind w:left="143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the Viper credit agreement</w:t>
            </w:r>
          </w:p>
        </w:tc>
        <w:tc>
          <w:tcPr>
            <w:tcW w:w="4020" w:type="dxa"/>
            <w:vAlign w:val="bottom"/>
          </w:tcPr>
          <w:p>
            <w:pPr>
              <w:jc w:val="center"/>
              <w:ind w:left="1430"/>
              <w:spacing w:after="0"/>
              <w:rPr>
                <w:sz w:val="20"/>
                <w:szCs w:val="20"/>
                <w:color w:val="auto"/>
              </w:rPr>
            </w:pPr>
            <w:r>
              <w:rPr>
                <w:rFonts w:ascii="Arial" w:cs="Arial" w:eastAsia="Arial" w:hAnsi="Arial"/>
                <w:sz w:val="18"/>
                <w:szCs w:val="18"/>
                <w:color w:val="auto"/>
                <w:w w:val="89"/>
              </w:rPr>
              <w:t>Not less than 1.0 to 1.0</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The covenant limiting dividends and distributions includes an exception allowing Viper LLC to make distributions if no default, event of default or borrowing base deficiency exists.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and 2018, Viper and Viper LLC were in compliance with all financial covenants under the Viper credit agreement, as then in effect.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16, 2019, Viper completed an offering in which it issued its 5.375% Senior Notes due 2027 in aggregate principal amount of $500 million (the “Viper Notes”). Viper received gross proceeds of $500 million from the such offering, which it loaned to Viper LLC. Viper LLC paid the expenses of the offering, resulting in net proceeds of the offering of $490 million, which Viper LLC used to pay down borrowings under the Viper credit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Notes were issued under an indenture, dated as of October 16, 2019, among Viper, as issuer, Viper LLC, as guarantor and Wells Fargo, as trustee (the “Viper Indenture”). Pursuant to the Viper Indenture and the Viper Notes, interest on the Viper Notes accrues at a rate of 5.375% per annum on the outstanding principal amount thereof, payable semi-annually on May 1 and November 1 of each year, commencing on May 1, 2020. The Viper Notes will mature on November 1, 2027.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Viper LLC guarantees the Viper Notes pursuant to the Viper Indenture. Neither the Company nor any of its other subsidiaries guarantee the Viper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Bank, as administrative agent, and a syndicate of banks, as lenders party thereto (the “Rattler credit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Rattler credit agreement is guaranteed by Rattler, Tall City, Rattler OMOG LLC and Rattler Ajax Processing LLC. As of December 31, 2019, Rattler LLC had $424 million of outstanding borrowings and $176 million available for future borrowings under the Rattler credit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83"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3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Consolidated Total Leverage Ratio commencing with the fiscal quarter ending September 30, 2019</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Not greater than 5.00 to 1.00 (or not greater than 5.50</w:t>
            </w:r>
          </w:p>
        </w:tc>
      </w:tr>
      <w:tr>
        <w:trPr>
          <w:trHeight w:val="216"/>
        </w:trPr>
        <w:tc>
          <w:tcPr>
            <w:tcW w:w="7360" w:type="dxa"/>
            <w:vAlign w:val="bottom"/>
            <w:shd w:val="clear" w:color="auto" w:fill="CCEEFF"/>
          </w:tcPr>
          <w:p>
            <w:pPr>
              <w:spacing w:after="0"/>
              <w:rPr>
                <w:sz w:val="18"/>
                <w:szCs w:val="18"/>
                <w:color w:val="auto"/>
              </w:rPr>
            </w:pP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 1.00 for 3 fiscal quarters following certain</w:t>
            </w:r>
          </w:p>
        </w:tc>
      </w:tr>
      <w:tr>
        <w:trPr>
          <w:trHeight w:val="216"/>
        </w:trPr>
        <w:tc>
          <w:tcPr>
            <w:tcW w:w="7360" w:type="dxa"/>
            <w:vAlign w:val="bottom"/>
            <w:shd w:val="clear" w:color="auto" w:fill="CCEEFF"/>
          </w:tcPr>
          <w:p>
            <w:pPr>
              <w:spacing w:after="0"/>
              <w:rPr>
                <w:sz w:val="18"/>
                <w:szCs w:val="18"/>
                <w:color w:val="auto"/>
              </w:rPr>
            </w:pP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acquisitions), but if the Consolidated Senior Secured</w:t>
            </w:r>
          </w:p>
        </w:tc>
      </w:tr>
      <w:tr>
        <w:trPr>
          <w:trHeight w:val="216"/>
        </w:trPr>
        <w:tc>
          <w:tcPr>
            <w:tcW w:w="7360" w:type="dxa"/>
            <w:vAlign w:val="bottom"/>
            <w:shd w:val="clear" w:color="auto" w:fill="CCEEFF"/>
          </w:tcPr>
          <w:p>
            <w:pPr>
              <w:spacing w:after="0"/>
              <w:rPr>
                <w:sz w:val="18"/>
                <w:szCs w:val="18"/>
                <w:color w:val="auto"/>
              </w:rPr>
            </w:pP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Leverage Ratio (as defined in the Rattler credit</w:t>
            </w:r>
          </w:p>
        </w:tc>
      </w:tr>
      <w:tr>
        <w:trPr>
          <w:trHeight w:val="216"/>
        </w:trPr>
        <w:tc>
          <w:tcPr>
            <w:tcW w:w="7360" w:type="dxa"/>
            <w:vAlign w:val="bottom"/>
            <w:shd w:val="clear" w:color="auto" w:fill="CCEEFF"/>
          </w:tcPr>
          <w:p>
            <w:pPr>
              <w:spacing w:after="0"/>
              <w:rPr>
                <w:sz w:val="18"/>
                <w:szCs w:val="18"/>
                <w:color w:val="auto"/>
              </w:rPr>
            </w:pP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agreement) is applicable, then not greater than 5.25 to</w:t>
            </w:r>
          </w:p>
        </w:tc>
      </w:tr>
      <w:tr>
        <w:trPr>
          <w:trHeight w:val="237"/>
        </w:trPr>
        <w:tc>
          <w:tcPr>
            <w:tcW w:w="736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3"/>
              </w:rPr>
              <w:t>Consolidated Senior Secured Leverage Ratio commencing with the last day of any fiscal quarter in</w:t>
            </w:r>
          </w:p>
        </w:tc>
        <w:tc>
          <w:tcPr>
            <w:tcW w:w="406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which the Financial Covenant Election (as defined in the Rattler credit agreement) is made</w:t>
            </w:r>
          </w:p>
        </w:tc>
        <w:tc>
          <w:tcPr>
            <w:tcW w:w="4060" w:type="dxa"/>
            <w:vAlign w:val="bottom"/>
          </w:tcPr>
          <w:p>
            <w:pPr>
              <w:jc w:val="center"/>
              <w:spacing w:after="0"/>
              <w:rPr>
                <w:sz w:val="20"/>
                <w:szCs w:val="20"/>
                <w:color w:val="auto"/>
              </w:rPr>
            </w:pPr>
            <w:r>
              <w:rPr>
                <w:rFonts w:ascii="Arial" w:cs="Arial" w:eastAsia="Arial" w:hAnsi="Arial"/>
                <w:sz w:val="18"/>
                <w:szCs w:val="18"/>
                <w:color w:val="auto"/>
                <w:w w:val="89"/>
              </w:rPr>
              <w:t>Not greater than 3.50 to 1.00</w:t>
            </w:r>
          </w:p>
        </w:tc>
      </w:tr>
      <w:tr>
        <w:trPr>
          <w:trHeight w:val="27"/>
        </w:trPr>
        <w:tc>
          <w:tcPr>
            <w:tcW w:w="736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Consolidated Interest Coverage Ratio (as defined in the Rattler credit agreement) commencing with</w:t>
            </w:r>
          </w:p>
        </w:tc>
        <w:tc>
          <w:tcPr>
            <w:tcW w:w="4060" w:type="dxa"/>
            <w:vAlign w:val="bottom"/>
            <w:shd w:val="clear" w:color="auto" w:fill="CCEEFF"/>
          </w:tcPr>
          <w:p>
            <w:pPr>
              <w:spacing w:after="0"/>
              <w:rPr>
                <w:sz w:val="19"/>
                <w:szCs w:val="19"/>
                <w:color w:val="auto"/>
              </w:rPr>
            </w:pPr>
          </w:p>
        </w:tc>
      </w:tr>
      <w:tr>
        <w:trPr>
          <w:trHeight w:val="230"/>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fiscal quarter ending September 30, 2019</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less than 2.50 to 1.00</w:t>
            </w:r>
          </w:p>
        </w:tc>
      </w:tr>
      <w:tr>
        <w:trPr>
          <w:trHeight w:val="27"/>
        </w:trPr>
        <w:tc>
          <w:tcPr>
            <w:tcW w:w="736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December 31, 2019, CEMOF had funded approximately $36 million. As of December 31, 2019, eleven joint wells have been drilled and completed.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83" w:right="23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have been incurred and charged to interest expense for the years ended December 31, 2019,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fees and expenses</w:t>
            </w:r>
          </w:p>
        </w:tc>
        <w:tc>
          <w:tcPr>
            <w:tcW w:w="1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complete any equity offerings during the years ended December 31, 2019,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Equity Offerings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information regarding Viper’s completed equity offerings during the years ended December 31, 2019, 2018 and 2017, refer to Note 4—Viper Energy Partners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are included in the consolidated earnings per share computation based on the consolidated group’s holdings of the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88"/>
              </w:rPr>
              <w:t>(In millions, except per share amounts, shares in</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163,843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104,929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97,688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attributable to 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Diluted net income attributable to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112"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 thousands)</w:t>
            </w: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280" w:type="dxa"/>
            <w:vAlign w:val="bottom"/>
            <w:gridSpan w:val="2"/>
            <w:shd w:val="clear" w:color="auto" w:fill="CCEEFF"/>
          </w:tcPr>
          <w:p>
            <w:pPr>
              <w:jc w:val="right"/>
              <w:ind w:right="6700"/>
              <w:spacing w:after="0"/>
              <w:rPr>
                <w:sz w:val="20"/>
                <w:szCs w:val="20"/>
                <w:color w:val="auto"/>
              </w:rPr>
            </w:pPr>
            <w:r>
              <w:rPr>
                <w:rFonts w:ascii="Arial" w:cs="Arial" w:eastAsia="Arial" w:hAnsi="Arial"/>
                <w:sz w:val="18"/>
                <w:szCs w:val="18"/>
                <w:color w:val="auto"/>
                <w:w w:val="91"/>
              </w:rPr>
              <w:t>Restricted stock units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284</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283" w:right="239" w:bottom="1440" w:gutter="0" w:footer="0" w:header="0"/>
          <w:type w:val="continuous"/>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2012, the Board of Directors approved the Diamondback Energy, Inc. 2012 Equity Incentive Plan (the “2012 Plan”), which is intended to provide eligible employees with equity-based incentives. The 2012 Plan provides for the granting of incentive stock options, nonstatutory stock options, restricted awards (restricted stock and restricted stock units), performance awards, and stock appreciation rights, or any combination of the foregoing. A total of 1,313,588 shares of the Company’s common stock has been reserved for issuance pursuant to this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and stock based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48</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7"/>
              </w:rPr>
              <w:t>Equity-based compensation capitalized pursuant to full cost method of accounting for oil and natural gas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17</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Equity Plan, approved by the Board of Directors, the Company is authorized to issue restricted stock and restricted stock units to eligible employees. The Company estimates the fair values of restricted stock awards and units as the closing price of the Company’s common stock on the grant date of the award, which is expensed over the applicable vesting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restricted stock units activity under the Equity Plan during the year ended December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7080" w:type="dxa"/>
            <w:vAlign w:val="bottom"/>
          </w:tcPr>
          <w:p>
            <w:pPr>
              <w:spacing w:after="0"/>
              <w:rPr>
                <w:sz w:val="18"/>
                <w:szCs w:val="18"/>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7080" w:type="dxa"/>
            <w:vAlign w:val="bottom"/>
          </w:tcPr>
          <w:p>
            <w:pPr>
              <w:spacing w:after="0"/>
              <w:rPr>
                <w:sz w:val="20"/>
                <w:szCs w:val="20"/>
                <w:color w:val="auto"/>
              </w:rPr>
            </w:pPr>
          </w:p>
        </w:tc>
        <w:tc>
          <w:tcPr>
            <w:tcW w:w="2080" w:type="dxa"/>
            <w:vAlign w:val="bottom"/>
          </w:tcPr>
          <w:p>
            <w:pPr>
              <w:jc w:val="right"/>
              <w:ind w:right="330"/>
              <w:spacing w:after="0"/>
              <w:rPr>
                <w:sz w:val="20"/>
                <w:szCs w:val="20"/>
                <w:color w:val="auto"/>
              </w:rPr>
            </w:pPr>
            <w:r>
              <w:rPr>
                <w:rFonts w:ascii="Arial" w:cs="Arial" w:eastAsia="Arial" w:hAnsi="Arial"/>
                <w:sz w:val="18"/>
                <w:szCs w:val="18"/>
                <w:b w:val="1"/>
                <w:bCs w:val="1"/>
                <w:color w:val="auto"/>
              </w:rPr>
              <w:t>Awards &amp; Units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324,224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697,679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99.36</w:t>
            </w:r>
          </w:p>
        </w:tc>
      </w:tr>
      <w:tr>
        <w:trPr>
          <w:trHeight w:val="27"/>
        </w:trPr>
        <w:tc>
          <w:tcPr>
            <w:tcW w:w="7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(425,608)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(90,428)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106.55</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505,867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96.01</w:t>
            </w:r>
          </w:p>
        </w:tc>
      </w:tr>
      <w:tr>
        <w:trPr>
          <w:trHeight w:val="20"/>
        </w:trPr>
        <w:tc>
          <w:tcPr>
            <w:tcW w:w="70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aggregate fair value of restricted stock units that vested during the years ended December 31, 2019, 2018 and 2017 was $45 million, $19 million and $15 million, respectively. As of December 31, 2019, the Company’s unrecognized compensation cost related to unvested restricted stock awards and units was $38 million. Such cost is expected to be recognized over a weighted-average period of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vested at December 31, 2018. Eligible employees received additional performance restricted stock unit awards totaling 74,880 units from which a minimum of 0% and a maximum of 200% units could be awarded. The awards have a performance period of January 1, 2017 to December 31, 2019 and vested at December 31,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283" w:right="23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The awards have a performance period of January 1, 2018 to December 31, 2020 and cliff vest at December 31, 2020.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2019, eligible employees received performance restricted stock unit awards totaling 199,723 units from which a minimum of 0% and a maximum of 200% units could be awarded. The awards have a performance period of January 1, 2019 to December 31, 2021 and cliff vest at December 31, 2021.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grant-date fair values of performance restricted stock units granted and the related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Three-Year</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Three-Year</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Two-Year</w:t>
            </w: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Three-Year</w:t>
            </w:r>
          </w:p>
        </w:tc>
      </w:tr>
      <w:tr>
        <w:trPr>
          <w:trHeight w:val="216"/>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Performance</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Performance</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Performance</w:t>
            </w: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Grant-date fair value (5-year vesting)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Company volatility</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41.14%</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Equity Plan for the year ended 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75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Stock Units</w:t>
            </w: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196,203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356,227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131.30</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(176,976)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93.32</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(103,635)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155.23</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Unvested at December 31, 2019</w:t>
            </w:r>
            <w:r>
              <w:rPr>
                <w:rFonts w:ascii="Arial" w:cs="Arial" w:eastAsia="Arial" w:hAnsi="Arial"/>
                <w:sz w:val="25"/>
                <w:szCs w:val="25"/>
                <w:color w:val="auto"/>
                <w:vertAlign w:val="superscript"/>
              </w:rPr>
              <w:t>(1)</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271,819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147.07</w:t>
            </w:r>
          </w:p>
        </w:tc>
      </w:tr>
      <w:tr>
        <w:trPr>
          <w:trHeight w:val="20"/>
        </w:trPr>
        <w:tc>
          <w:tcPr>
            <w:tcW w:w="75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543,638 units could be awarded based upon the Company’s final TSR ranking.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the Company’s unrecognized compensation cost related to unvested performance based restricted stock awards and units was $24 million. Such cost is expected to be recognized over a weighted-average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(i) that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(ii)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83" w:right="23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stock appreciation rights activity during the year ended December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57,721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(11,399)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70.69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42,547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90.89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Energen Merger, each option to purchase shares of Energen common stock that was outstanding immediately prior to the effective time of the merger was converted into a fully vested option to purchase (i) that number of whole shares of Diamondback common stock (rounded down to the nearest whole share) equal to the product of (A) the total number of shares of Energen common stock subject to such option immediately prior to the effective time of the merger multiplied by (B) the exchange ratio, (ii) at an exercise price per share of Diamondback common stock (rounded up to the nearest whole cent) equal to the quotient of (A) the exercise price per share of Energen common stock of such option immediately prior to the effective time divided by (B) the exchange ratio. The exercise price of stock options granted may not be less than the market value of the stock at the date of grant.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 treasury yield curve rate for the expected term of the option at the date of grant. All such amounts represent the weighted-average amounts for each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4"/>
          </w:tcPr>
          <w:p>
            <w:pPr>
              <w:ind w:left="420"/>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23"/>
                <w:szCs w:val="23"/>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7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332,387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(116,044)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216,343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2019</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216,343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216,343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Long-Term Incentive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17, 2014, in connection with the Viper Offering, the Board of Directors of the General Partner adopted the Viper Energy Partners LP Long Term Incentive Plan (“Viper LTIP”), effective June 17, 2014, for employees, officers, consultants and directors of the General Partner and any of its affiliates, including Diamondback, who perform services for Viper. The Viper LTIP provides for the grant of unit options, unit appreciation rights, restricted units, unit awards, phantom units, distribution equivalent rights, cash awards, performance awards, other unit-based awards and substitute awards. A total of 8,892,918 common units has been reserved for issuance pursuant to the Viper LTIP. Common units that are cancelled, forfeited or withheld to satisfy exercise prices or tax withholding obligations will be available for delivery pursuant to other awards. The Viper LTIP is administered by the Board of Directors of the General Partner or a committee thereof.</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Viper LTIP, the Board of Directors of Viper’s General Partner is authorized to issue phantom units to eligible employees. Viper estimates the fair value of phantom units as the closing price of Viper’s common units on the grant date of the award, which is expensed over the applicable vesting period. Upon vesting the phantom units entitle the recipient one common unit of Viper for each phantom unit.</w:t>
      </w:r>
    </w:p>
    <w:p>
      <w:pPr>
        <w:sectPr>
          <w:pgSz w:w="11900" w:h="16838" w:orient="portrait"/>
          <w:cols w:equalWidth="0" w:num="1">
            <w:col w:w="11420"/>
          </w:cols>
          <w:pgMar w:left="240" w:top="283"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283" w:right="239" w:bottom="1440" w:gutter="0" w:footer="0" w:header="0"/>
          <w:type w:val="continuous"/>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9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Phantom Units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125,053</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56,582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30.33</w:t>
            </w:r>
          </w:p>
        </w:tc>
      </w:tr>
      <w:tr>
        <w:trPr>
          <w:trHeight w:val="27"/>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(85,359)</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(1,028)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42.50</w:t>
            </w:r>
          </w:p>
        </w:tc>
      </w:tr>
      <w:tr>
        <w:trPr>
          <w:trHeight w:val="27"/>
        </w:trPr>
        <w:tc>
          <w:tcPr>
            <w:tcW w:w="7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95,248</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year ended December 31, 2019 was $2 million. As of December 31, 2019, the unrecognized compensation cost related to unvested phantom units was $1 million. Such cost is expected to be recognized over a weighted-average period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660" w:type="dxa"/>
            <w:vAlign w:val="bottom"/>
          </w:tcPr>
          <w:p>
            <w:pPr>
              <w:spacing w:after="0"/>
              <w:rPr>
                <w:sz w:val="18"/>
                <w:szCs w:val="18"/>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Phantom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766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May 28,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2,284,038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19.14</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Unvested at December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2,226,895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19.14</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 unrecognized compensation cost related to unvested phantom units was $37 million. Such cost is expected to be recognized over a weighted-average period of 2.4 years.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Viper</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connection with the closing of the Viper Offering, Viper and Viper’s General Partner entered into an advisory services agreement (the “Viper Advisory Services Agreement”) with Wexford, dated as of June 23, 2014, under which Wexford provided Viper and Viper’s General Partner with general financial and strategic advisory services related to the business in return for an annual fee of $500,000, plus reasonable out-of-pocket expenses. The Advisory Services Agreement was terminated on November 12, 2018 and Viper’s payment obligation ended in June 2019. During 2019, Viper did not pay any amounts under the Advisory Services Agreement. For the year ended December 31, 2018, Viper did not pay any amounts under the Advisory Services Agreement.</w:t>
      </w:r>
    </w:p>
    <w:p>
      <w:pPr>
        <w:sectPr>
          <w:pgSz w:w="11900" w:h="16838" w:orient="portrait"/>
          <w:cols w:equalWidth="0" w:num="1">
            <w:col w:w="11420"/>
          </w:cols>
          <w:pgMar w:left="240" w:top="283"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283" w:right="239" w:bottom="1440" w:gutter="0" w:footer="0" w:header="0"/>
          <w:type w:val="continuous"/>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Viper</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2019, the Company paid Viper $277,977 in lease bonus payments to extend the term of six leases and $182,646 in lease bonus payments for four new leases. During the year ended December 31, 2018, the Company paid Viper $3 million in lease bonus payments to extend the term of 13 leases and less than $1 million in lease bonus payments for one new lease. During the year ended December 31, 2017, the Company paid Viper $105,690 in lease bonus payments to extend the term of two leases.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4—Viper Energy Partners LP for additional information regarding relationships between the Company and Viper.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Offering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5—Rattler Midstream LP for information regarding relationships between the Company and Rattler.</w:t>
      </w: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Rattler and Rattler LLC, file a federal corporate income tax return on a consolidated basis. As discussed further below, Viper is a taxable entity for federal income tax purposes effective May 10, 2018, and as such files a federal corporate income tax return including the activity of its investment in Viper LLC. Subsequent to Rattler’s election to be treated as a corporation for federal income tax purposes effective May 24, 2019, Rattler is also a taxable entity and as such files a federal corporate income tax return including the activity of its investment in Rattler LLC. Viper’s and Rattler’s provision for income taxes is included in the Company’s consolidated income tax provision and, to the extent applicable, in net income attributable to the non-controlling interest.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Cuts and Jobs Act, a historic reform of the U.S. federal income tax statutes, was enacted on December 22, 2017. As of the completion of the Company’s financial statements for the year ended December 31, 2017, the Company had substantially completed its accounting for the effects of the enactment of the Tax Cuts and Jobs Act and with respect to those items for which the Company’s accounting was not complete, the Company made reasonable estimates of the effects on its deferred tax balances.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account for the effects of the Tax Cut and Jobs Act, the Company remeasured its deferred tax assets and liabilities based on the federal income and state income tax rates at which they expected to reverse, which is generally a federal income tax rate of 21%. The enacted rate change resulted in a non-cash decrease of approximately $68 million to the Company’s income tax provision for the period ended December 31, 2017 and a corresponding reduction to the Company’s net noncurrent deferred tax liability balance as of December 31, 2017. At December 31, 2018, the Company completed its accounting for all of the enactment-date income tax effects of the Tax Cuts and Jobs Act and did not made any adjustments to the provisional amounts recorded December 31, 2017.</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income tax rates were 13.0% and 15.1% for the years ended December 31, 2019 and 2018, respectively. Total income tax expense for the year ended December 31, 2019 differed from amounts computed by applying the United States federal statutory tax rate to pre-tax income for the period primarily due to the revision of estimated deferred taxes recognized as a result of Viper’s change in tax status, and state income taxes net of federal benefit. Total income tax expense for the year ended December 31, 2018 differed from amounts computed by applying the United States federal statutory rate to pre-tax income for the period primarily due to the impact of deferred taxes recognized as a result of Viper’s change in tax status, net income attributable to the noncontrolling interest, and state income taxes net of federal benefit.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283"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components of the Company’s consolidated provision for income taxes from continuing operations for the years ended December 31, 2019, 2018 and 2017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 (benefit):</w:t>
            </w: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income tax provision (benefit)</w:t>
            </w:r>
          </w:p>
        </w:tc>
        <w:tc>
          <w:tcPr>
            <w:tcW w:w="1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1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1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federal income tax amount from continuing operations to the recorded expense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Income tax expense at the federal statutory rate</w:t>
            </w:r>
            <w:r>
              <w:rPr>
                <w:rFonts w:ascii="Arial" w:cs="Arial" w:eastAsia="Arial" w:hAnsi="Arial"/>
                <w:sz w:val="25"/>
                <w:szCs w:val="25"/>
                <w:color w:val="auto"/>
                <w:vertAlign w:val="superscript"/>
              </w:rPr>
              <w:t>(1)</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nontaxable noncontrolling interest</w:t>
            </w:r>
          </w:p>
        </w:tc>
        <w:tc>
          <w:tcPr>
            <w:tcW w:w="10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relating to change in statutory tax rate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 expense, net of federal tax effect</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0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related to change in Viper LP's tax status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2300" w:hanging="5532"/>
        <w:spacing w:after="0" w:line="778"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statutory rates for the years ended December 31, 2019, 2018 and 2017 were 21%, 21% and 35%, respectively. F-42</w:t>
      </w:r>
    </w:p>
    <w:p>
      <w:pPr>
        <w:sectPr>
          <w:pgSz w:w="11900" w:h="16838" w:orient="portrait"/>
          <w:cols w:equalWidth="0" w:num="1">
            <w:col w:w="11420"/>
          </w:cols>
          <w:pgMar w:left="240" w:top="283"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2019 and 2018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millions)</w:t>
            </w:r>
          </w:p>
        </w:tc>
        <w:tc>
          <w:tcPr>
            <w:tcW w:w="13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Net operating loss and other carryforwards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Stock 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Viper LP's investment in Viper LLC</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7440" w:type="dxa"/>
            <w:vAlign w:val="bottom"/>
          </w:tcPr>
          <w:p>
            <w:pPr>
              <w:ind w:left="820"/>
              <w:spacing w:after="0"/>
              <w:rPr>
                <w:sz w:val="20"/>
                <w:szCs w:val="20"/>
                <w:color w:val="auto"/>
              </w:rPr>
            </w:pPr>
            <w:r>
              <w:rPr>
                <w:rFonts w:ascii="Arial" w:cs="Arial" w:eastAsia="Arial" w:hAnsi="Arial"/>
                <w:sz w:val="18"/>
                <w:szCs w:val="18"/>
                <w:color w:val="auto"/>
              </w:rPr>
              <w:t>Deferred tax assets</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Valuation allowance</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440" w:type="dxa"/>
            <w:vAlign w:val="bottom"/>
          </w:tcPr>
          <w:p>
            <w:pPr>
              <w:ind w:left="1040"/>
              <w:spacing w:after="0"/>
              <w:rPr>
                <w:sz w:val="20"/>
                <w:szCs w:val="20"/>
                <w:color w:val="auto"/>
              </w:rPr>
            </w:pPr>
            <w:r>
              <w:rPr>
                <w:rFonts w:ascii="Arial" w:cs="Arial" w:eastAsia="Arial" w:hAnsi="Arial"/>
                <w:sz w:val="18"/>
                <w:szCs w:val="18"/>
                <w:color w:val="auto"/>
              </w:rPr>
              <w:t>Deferred tax assets, net of valuation allowance</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liabilities: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Oil and natural gas properties and equipment</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Midstream investments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Derivative instruments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Rattler LP's investment in Rattler LLC</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deferred tax liabilities</w:t>
            </w:r>
          </w:p>
        </w:tc>
        <w:tc>
          <w:tcPr>
            <w:tcW w:w="1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r>
      <w:tr>
        <w:trPr>
          <w:trHeight w:val="257"/>
        </w:trPr>
        <w:tc>
          <w:tcPr>
            <w:tcW w:w="7440" w:type="dxa"/>
            <w:vAlign w:val="bottom"/>
          </w:tcPr>
          <w:p>
            <w:pPr>
              <w:ind w:left="2000"/>
              <w:spacing w:after="0"/>
              <w:rPr>
                <w:sz w:val="20"/>
                <w:szCs w:val="20"/>
                <w:color w:val="auto"/>
              </w:rPr>
            </w:pPr>
            <w:r>
              <w:rPr>
                <w:rFonts w:ascii="Arial" w:cs="Arial" w:eastAsia="Arial" w:hAnsi="Arial"/>
                <w:sz w:val="18"/>
                <w:szCs w:val="18"/>
                <w:color w:val="auto"/>
              </w:rPr>
              <w:t>Net deferred tax liabilities</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1,688</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had net deferred tax liabilities of approximately $1.7 billion at December 31, 2019 and 2018. On November 29, 2018, the Company completed its acquisition of Energen. For federal income tax purposes, the acquisition was a tax-free merger whereby the Company’s tax basis in Energen assets and liabilities was unaffected by the acquisition. As of December 31, 2018, the Company recorded a deferred tax liability of $1.4 billion associated with the acquired assets, which includes deferred tax assets related to tax attributes acquired from Energen. As of December 31, 2019, the Company has completed its purchase price allocation for the acquisition, including an increase of $23 million to the deferred tax liability as a result of adjustments to fair value of the acquired assets.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incurred a tax net operating loss ("NOL") in the current year due principally to the ability to expense certain intangible drilling and development costs under current law. There is no tax refund available to the Company as a result of its loss, nor is there any current federal income tax payable. At December 31, 2019, the Company had approximately $400 million of federal NOLs expiring in 2032 through 2037 and $1.3 billion of federal NOLs with an indefinite carryforward life, including NOLs acquired from Energen. The Company principally operates in the state of Texas and is subject to Texas Margin Tax, which currently does not include an NOL carryover provision. The Company’s federal tax attributes acquired from Energen are subject to an annual limitation under Section 382 of the Internal Revenue Code of 1986, as amended, which relates to tax attribute limitations upon the 50% or greater change of ownership of an entity during any three-year look back period. The Company believes that the application of Section 382 will not have an adverse effect on future usage of the Company’s NOLs and credits, including federal tax attributes acquired from Energen. The Company’s minimum tax credits, including those acquired from Energen, are classified as $19 million current and $19 million noncurrent income tax receivables on the balance sheet.</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2019, the Company has a valuation allowance of $7 million primarily related to certain state NOL carryforwards which the Company does not believe are realizable as it does not anticipate future operations in those states. Management’s assessment at each balance sheet date included consideration of all available positive and negative evidence including the anticipated timing of reversal of deferred tax liabilities. Management believes that the balance of the Company’s NOLs are realizable to the extent of future taxable income primarily related to the excess of book carrying value of properties over their respective tax bases. As of December 31, 2019, management determined that it is more likely than not that the Company will realize its remaining deferred tax assets.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further in Note 4—Viper Energy Partners LP, on March 29, 2018, Viper announced that the Board of Directors of its General Partner had unanimously approved a change of Viper’s federal income tax status from that of a pass-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283"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through partnership to that of a taxable entity, which change became effective on May 10, 2018. The transactions undertaken in connection with the change in Viper’s tax status were not taxable to the Company. Subsequent to Viper’s change in tax status, Viper’s provision for income taxes for the periods ended December 31, 2018 and 2019 are based on its estimated annual effective tax rate plus discrete items. As such, Viper’s provision for income taxes is included in the Company’s consolidated financial statements and to the extent applicable, in net income attributable to the non-controlling interest.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2019, the Company’s net deferred tax liabilities include a deferred tax asset of approximately $134 million related to Viper’s investment in Viper LLC, approximately $115 million of which was recorded as a result of Viper’s change in tax status. Under federal income tax provisions applicable to Viper’s change in tax status, Viper’s basis for federal income tax purposes in its interest in Viper LLC consisted primarily of the sum of Viper’s unitholders’ tax bases in their interests in Viper on the date of the tax status change. Viper prepared its best estimate of the tax basis in Viper LLC for purposes of Viper’s income tax provision for the period of the change, but information necessary for Viper to finalize its determination was not available until unitholders’ tax basis information was fully reported and Viper finalized its federal income tax computations for 2018. Based on such finalized information as of the third quarter 2019, Viper revised its estimate of the difference between its tax basis and its basis for financial accounting purposes in Viper LLC on the date of the tax status change, resulting in deferred income tax benefit of $42 million included in the Company’s consolidated income tax provision for the year ended December 31, 2019. As of December 31, 2019, Viper has federal net operating loss carryforwards of approximately $38 million which may be carried forward indefinitely to offset future taxable income.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discussed further in Note 5—Rattler Midstream LP,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December 31, 2019, the Company’s net deferred tax liabilities include a deferred tax liability of approximately $8 million related to Rattler’s investment in Rattler LLC. Subsequent to the deemed formation of Rattler LLC as a partnership for federal income tax purposes upon Rattler’s IPO, deferred taxes are no longer provided on the underlying assets and liabilities of Rattler LLC but are provided on the difference between Rattler’s basis for financial accounting purposes and basis for federal income tax purposes in its investment in Rattler LLC. Rattler incurred an NOL in the current year due principally to Rattler LLC’s tax deductions for accelerated depreciation, which exceeded its other items of taxable income. At December 31, 2019, Rattler has federal net operating loss carryforwards of approximately $1 million which may be carried forward indefinitely to offset future taxable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The following table sets forth changes in the Company’s unrecognized tax benefits:</w:t>
            </w: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4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13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Increase resulting from tax positions acquired</w:t>
            </w:r>
          </w:p>
        </w:tc>
        <w:tc>
          <w:tcPr>
            <w:tcW w:w="13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resulting from prior period tax positions</w:t>
            </w:r>
          </w:p>
        </w:tc>
        <w:tc>
          <w:tcPr>
            <w:tcW w:w="1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Increase resulting from current period tax positions</w:t>
            </w:r>
          </w:p>
        </w:tc>
        <w:tc>
          <w:tcPr>
            <w:tcW w:w="132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Effects of temporary items</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that, if recognized, would impact the effective income tax rate as of the end of the year</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federal and state income tax returns for 2012 through the current tax year remain open and subject to examination by the IRS and major state taxing jurisdictions. Energen is currently under IRS examination of its federal consolidated income tax returns for 2014 and 2016. Accordingly,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283"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continuing its practice of recognizing interest and penalties related to income tax matters as interest expense and general and administrative expenses, respectively. During the years ended December 31, 2019 and 2018, there were no penalties and less than $1 million and $0 million of interest, respectively, associated with uncertain tax positions recognized in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derivative financial instruments are recorded at fair value in the accompanying balance sheet. The Company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Commodity Contracts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used fixed price swap contracts, fixed price basis swap contracts, double-up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Magellan East Houston oil price and the WTI Cushing oil price and for the spread between the Henry Hub natural gas price and the Waha Hub natural gas price. The Company also utilizes double-up swap contracts for a portion of its natural gas sales. These contracts include a traditional fixed price swap in addition to a call option at the same quantity and price, providing the counterparty the option to double the volume in the swap contract should the monthly settlement price exceed the fixed price contracted upon.</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the New York Mercantile Exchange Henry Hub and Waha Hub pricing and liquids derivative settlements based on Mt. Belvieu pricing.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283"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90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5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Fixed Price Swap (per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Fixed Price Swap (per</w:t>
            </w:r>
          </w:p>
        </w:tc>
      </w:tr>
      <w:tr>
        <w:trPr>
          <w:trHeight w:val="234"/>
        </w:trPr>
        <w:tc>
          <w:tcPr>
            <w:tcW w:w="35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12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Bbl/MMBtu)</w:t>
            </w: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3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57.78</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Oil Swaps - WTI Magellan East Houston</w:t>
            </w:r>
          </w:p>
        </w:tc>
        <w:tc>
          <w:tcPr>
            <w:tcW w:w="1840" w:type="dxa"/>
            <w:vAlign w:val="bottom"/>
          </w:tcPr>
          <w:p>
            <w:pPr>
              <w:jc w:val="right"/>
              <w:spacing w:after="0"/>
              <w:rPr>
                <w:sz w:val="20"/>
                <w:szCs w:val="20"/>
                <w:color w:val="auto"/>
              </w:rPr>
            </w:pPr>
            <w:r>
              <w:rPr>
                <w:rFonts w:ascii="Arial" w:cs="Arial" w:eastAsia="Arial" w:hAnsi="Arial"/>
                <w:sz w:val="18"/>
                <w:szCs w:val="18"/>
                <w:color w:val="auto"/>
              </w:rPr>
              <w:t>2,196,000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BRENT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Oil Basis Swaps - WTI Cushing</w:t>
            </w:r>
          </w:p>
        </w:tc>
        <w:tc>
          <w:tcPr>
            <w:tcW w:w="1840" w:type="dxa"/>
            <w:vAlign w:val="bottom"/>
          </w:tcPr>
          <w:p>
            <w:pPr>
              <w:jc w:val="right"/>
              <w:spacing w:after="0"/>
              <w:rPr>
                <w:sz w:val="20"/>
                <w:szCs w:val="20"/>
                <w:color w:val="auto"/>
              </w:rPr>
            </w:pPr>
            <w:r>
              <w:rPr>
                <w:rFonts w:ascii="Arial" w:cs="Arial" w:eastAsia="Arial" w:hAnsi="Arial"/>
                <w:sz w:val="18"/>
                <w:szCs w:val="18"/>
                <w:color w:val="auto"/>
              </w:rPr>
              <w:t>13,860,000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Rolling Hedge - WTI Cushing</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Natural Gas Swaps - Henry Hub</w:t>
            </w:r>
          </w:p>
        </w:tc>
        <w:tc>
          <w:tcPr>
            <w:tcW w:w="1840" w:type="dxa"/>
            <w:vAlign w:val="bottom"/>
          </w:tcPr>
          <w:p>
            <w:pPr>
              <w:jc w:val="right"/>
              <w:spacing w:after="0"/>
              <w:rPr>
                <w:sz w:val="20"/>
                <w:szCs w:val="20"/>
                <w:color w:val="auto"/>
              </w:rPr>
            </w:pPr>
            <w:r>
              <w:rPr>
                <w:rFonts w:ascii="Arial" w:cs="Arial" w:eastAsia="Arial" w:hAnsi="Arial"/>
                <w:sz w:val="18"/>
                <w:szCs w:val="18"/>
                <w:color w:val="auto"/>
              </w:rPr>
              <w:t>10,050,000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 - Waha Hub</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Natural Gas Basis Swaps - Waha Hub</w:t>
            </w:r>
          </w:p>
        </w:tc>
        <w:tc>
          <w:tcPr>
            <w:tcW w:w="1840" w:type="dxa"/>
            <w:vAlign w:val="bottom"/>
          </w:tcPr>
          <w:p>
            <w:pPr>
              <w:jc w:val="right"/>
              <w:spacing w:after="0"/>
              <w:rPr>
                <w:sz w:val="20"/>
                <w:szCs w:val="20"/>
                <w:color w:val="auto"/>
              </w:rPr>
            </w:pPr>
            <w:r>
              <w:rPr>
                <w:rFonts w:ascii="Arial" w:cs="Arial" w:eastAsia="Arial" w:hAnsi="Arial"/>
                <w:sz w:val="18"/>
                <w:szCs w:val="18"/>
                <w:color w:val="auto"/>
              </w:rPr>
              <w:t>23,450,000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54,750,000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(0.70)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8"/>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WTI Magellan</w:t>
            </w: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WTI Cushing</w:t>
            </w:r>
          </w:p>
        </w:tc>
        <w:tc>
          <w:tcPr>
            <w:tcW w:w="30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Brent</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East Houston</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68.61</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tcPr>
          <w:p>
            <w:pPr>
              <w:ind w:left="40"/>
              <w:spacing w:after="0"/>
              <w:rPr>
                <w:sz w:val="20"/>
                <w:szCs w:val="20"/>
                <w:color w:val="auto"/>
              </w:rPr>
            </w:pPr>
            <w:r>
              <w:rPr>
                <w:rFonts w:ascii="Arial" w:cs="Arial" w:eastAsia="Arial" w:hAnsi="Arial"/>
                <w:sz w:val="18"/>
                <w:szCs w:val="18"/>
                <w:b w:val="1"/>
                <w:bCs w:val="1"/>
                <w:color w:val="auto"/>
              </w:rPr>
              <w:t>Gas Swap Double-Up - Waha Hub</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7"/>
        </w:trPr>
        <w:tc>
          <w:tcPr>
            <w:tcW w:w="10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(Mcf)</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10,050,000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Swap price (per Mcf)</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10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price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10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Swaps and Treasury Locks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used interest rate swaps and treasury locks to reduce the Company’s exposure to variable rate interest payments associated with the Company’s revolving credit facility. The interest rate swaps and treasury locks have not been designated as hedging instruments and as a result, the Company recognizes all changes in fair value immediately in earnings. Effective November 2019, the Company terminated all of its interest rate swaps and treasury locks which resulted in a gain of $43 million, net of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283"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December 31, 2019 and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Amounts netted in the Consolidated Balance Sheet</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7"/>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millions)</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14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1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72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72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4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283" w:right="239" w:bottom="1440" w:gutter="0" w:footer="0" w:header="0"/>
          <w:type w:val="continuous"/>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asset retirement obligations pursuant to the provisions of the Financial Accounting Standards Board issued Accounting Standards Codification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8—Asset Retirement Obligations for further discussion of the Company’s asset retirement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derivative instruments and Viper’s cost method investment. The fair value of Viper’s investment is determined using quoted market prices. These valuations are Level 1 inputs.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fair value measurement information for financial assets and liabilities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December 31, 2019</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December 31, 2018</w:t>
            </w:r>
          </w:p>
        </w:tc>
        <w:tc>
          <w:tcPr>
            <w:tcW w:w="11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Investment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price swaps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Fixed price swaps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283" w:right="239" w:bottom="1440" w:gutter="0" w:footer="0" w:header="0"/>
        </w:sectPr>
      </w:pPr>
    </w:p>
    <w:bookmarkStart w:id="148" w:name="page149"/>
    <w:bookmarkEnd w:id="14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EE"/>
            </w:tcBorders>
          </w:tcPr>
          <w:p>
            <w:pPr>
              <w:spacing w:after="0"/>
              <w:rPr>
                <w:sz w:val="17"/>
                <w:szCs w:val="17"/>
                <w:color w:val="auto"/>
              </w:rPr>
            </w:pPr>
          </w:p>
        </w:tc>
        <w:tc>
          <w:tcPr>
            <w:tcW w:w="9040" w:type="dxa"/>
            <w:vAlign w:val="bottom"/>
          </w:tcPr>
          <w:p>
            <w:pPr>
              <w:jc w:val="center"/>
              <w:ind w:left="250"/>
              <w:spacing w:after="0" w:line="205" w:lineRule="exact"/>
              <w:rPr>
                <w:sz w:val="20"/>
                <w:szCs w:val="20"/>
                <w:color w:val="auto"/>
              </w:rPr>
            </w:pPr>
            <w:r>
              <w:rPr>
                <w:rFonts w:ascii="Arial" w:cs="Arial" w:eastAsia="Arial" w:hAnsi="Arial"/>
                <w:sz w:val="18"/>
                <w:szCs w:val="18"/>
                <w:b w:val="1"/>
                <w:bCs w:val="1"/>
                <w:color w:val="auto"/>
                <w:w w:val="90"/>
              </w:rPr>
              <w:t>Diamondback Energy, Inc. and Subsidiaries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904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48"/>
        </w:trPr>
        <w:tc>
          <w:tcPr>
            <w:tcW w:w="1006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summarizes the changes in fair value of Viper’s cost method investment during the periods presented: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10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(in millions)</w:t>
            </w:r>
          </w:p>
        </w:tc>
      </w:tr>
      <w:tr>
        <w:trPr>
          <w:trHeight w:val="27"/>
        </w:trPr>
        <w:tc>
          <w:tcPr>
            <w:tcW w:w="10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Value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Gain on investment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0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Value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10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Value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Impact of adoption of Accounting Standards Update 2016-01</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0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 at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10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320" w:type="dxa"/>
            <w:vAlign w:val="bottom"/>
            <w:gridSpan w:val="3"/>
          </w:tcPr>
          <w:p>
            <w:pPr>
              <w:ind w:left="840"/>
              <w:spacing w:after="0"/>
              <w:rPr>
                <w:sz w:val="20"/>
                <w:szCs w:val="20"/>
                <w:color w:val="auto"/>
              </w:rPr>
            </w:pPr>
            <w:r>
              <w:rPr>
                <w:rFonts w:ascii="Arial" w:cs="Arial" w:eastAsia="Arial" w:hAnsi="Arial"/>
                <w:sz w:val="18"/>
                <w:szCs w:val="18"/>
                <w:b w:val="1"/>
                <w:bCs w:val="1"/>
                <w:color w:val="auto"/>
              </w:rPr>
              <w:t>December 31, 2019</w:t>
            </w: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560" w:type="dxa"/>
            <w:vAlign w:val="bottom"/>
          </w:tcPr>
          <w:p>
            <w:pPr>
              <w:spacing w:after="0"/>
              <w:rPr>
                <w:sz w:val="20"/>
                <w:szCs w:val="20"/>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Fair Value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60" w:type="dxa"/>
            <w:vAlign w:val="bottom"/>
          </w:tcPr>
          <w:p>
            <w:pPr>
              <w:ind w:left="42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8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4.625%</w:t>
            </w:r>
          </w:p>
        </w:tc>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399</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860" w:type="dxa"/>
            <w:vAlign w:val="bottom"/>
          </w:tcPr>
          <w:p>
            <w:pPr>
              <w:ind w:left="280"/>
              <w:spacing w:after="0"/>
              <w:rPr>
                <w:sz w:val="20"/>
                <w:szCs w:val="20"/>
                <w:color w:val="auto"/>
              </w:rPr>
            </w:pPr>
            <w:r>
              <w:rPr>
                <w:rFonts w:ascii="Arial" w:cs="Arial" w:eastAsia="Arial" w:hAnsi="Arial"/>
                <w:sz w:val="18"/>
                <w:szCs w:val="18"/>
                <w:color w:val="auto"/>
                <w:w w:val="91"/>
              </w:rPr>
              <w:t>7.320%</w:t>
            </w:r>
          </w:p>
        </w:tc>
        <w:tc>
          <w:tcPr>
            <w:tcW w:w="358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1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2.875% Senior Notes due 2024</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w:t>
            </w:r>
          </w:p>
        </w:tc>
        <w:tc>
          <w:tcPr>
            <w:tcW w:w="6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1,012</w:t>
            </w: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4.750% Senior Notes due 2024</w:t>
            </w:r>
            <w:r>
              <w:rPr>
                <w:rFonts w:ascii="Arial" w:cs="Arial" w:eastAsia="Arial" w:hAnsi="Arial"/>
                <w:sz w:val="25"/>
                <w:szCs w:val="25"/>
                <w:color w:val="auto"/>
                <w:vertAlign w:val="superscript"/>
              </w:rPr>
              <w:t>(1)</w:t>
            </w:r>
          </w:p>
        </w:tc>
        <w:tc>
          <w:tcPr>
            <w:tcW w:w="11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1,236</w:t>
            </w:r>
          </w:p>
        </w:tc>
        <w:tc>
          <w:tcPr>
            <w:tcW w:w="6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0"/>
        </w:trPr>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5.375%</w:t>
            </w:r>
          </w:p>
        </w:tc>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Senior Notes due 2025</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6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r>
      <w:tr>
        <w:trPr>
          <w:trHeight w:val="270"/>
        </w:trPr>
        <w:tc>
          <w:tcPr>
            <w:tcW w:w="444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3.250% Senior Notes due 2026</w:t>
            </w:r>
            <w:r>
              <w:rPr>
                <w:rFonts w:ascii="Arial" w:cs="Arial" w:eastAsia="Arial" w:hAnsi="Arial"/>
                <w:sz w:val="25"/>
                <w:szCs w:val="25"/>
                <w:color w:val="auto"/>
                <w:vertAlign w:val="superscript"/>
              </w:rPr>
              <w:t>(1)</w:t>
            </w:r>
          </w:p>
        </w:tc>
        <w:tc>
          <w:tcPr>
            <w:tcW w:w="11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792</w:t>
            </w:r>
          </w:p>
        </w:tc>
        <w:tc>
          <w:tcPr>
            <w:tcW w:w="6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812</w:t>
            </w:r>
          </w:p>
        </w:tc>
        <w:tc>
          <w:tcPr>
            <w:tcW w:w="6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7.350%</w:t>
            </w:r>
          </w:p>
        </w:tc>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1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60" w:type="dxa"/>
            <w:vAlign w:val="bottom"/>
          </w:tcPr>
          <w:p>
            <w:pPr>
              <w:ind w:left="280"/>
              <w:spacing w:after="0"/>
              <w:rPr>
                <w:sz w:val="20"/>
                <w:szCs w:val="20"/>
                <w:color w:val="auto"/>
              </w:rPr>
            </w:pPr>
            <w:r>
              <w:rPr>
                <w:rFonts w:ascii="Arial" w:cs="Arial" w:eastAsia="Arial" w:hAnsi="Arial"/>
                <w:sz w:val="18"/>
                <w:szCs w:val="18"/>
                <w:color w:val="auto"/>
                <w:w w:val="91"/>
              </w:rPr>
              <w:t>7.125%</w:t>
            </w:r>
          </w:p>
        </w:tc>
        <w:tc>
          <w:tcPr>
            <w:tcW w:w="358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1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6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3.500% Senior Notes due 2029</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w:t>
            </w:r>
          </w:p>
        </w:tc>
        <w:tc>
          <w:tcPr>
            <w:tcW w:w="6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1,226</w:t>
            </w: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Viper revolving credit facility</w:t>
            </w:r>
          </w:p>
        </w:tc>
        <w:tc>
          <w:tcPr>
            <w:tcW w:w="11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4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Viper's 5.375% Senior Notes due 2027</w:t>
            </w:r>
          </w:p>
        </w:tc>
        <w:tc>
          <w:tcPr>
            <w:tcW w:w="1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Rattler revolving credit facility</w:t>
            </w:r>
          </w:p>
        </w:tc>
        <w:tc>
          <w:tcPr>
            <w:tcW w:w="11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6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424</w:t>
            </w:r>
          </w:p>
        </w:tc>
        <w:tc>
          <w:tcPr>
            <w:tcW w:w="6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DrillCo Agreement</w:t>
            </w: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revolving credit facility, the Viper credit agreement and the Rattler credit agreement approximates their carrying value based on borrowing rates available to the Company for bank loans with similar terms and maturities and is classified as Level 2 in the fair value hierarchy. The fair value of the Senior Notes and the Energen Notes was determined using the December 31, 2019 quoted market price, a Level 1 classification in the fair value hierarchy.</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drilling rigs, facilities, compression and other equipment.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discussed in Note 2—Summary of Significant Accounting Policies, the Company adopted ASU 2016-02, ASU 2018-11 and ASU 2019-01 on January 1, 2019 using the optional transition method of adoption. The Company elected a package of practical expedients that together allows an entity to not reassess (i) whether a contract is or contains a lease, (ii) lease classification and (iii) initial direct costs. In addition, the Company elected the following practical expedients: (i) to not reassess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276"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land easements; (ii) to not apply the recognition requirements under the standard to short-term leases; (iii) to not reassess lease terms on leases entered into prior to the effective date of adoption; and (iv) lessor accounting policy election to exclude lessor costs paid directly by the lessee.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leases where the Company is the lessee, the Company recorded a total of $13 million in right-of-use assets and corresponding new lease liabilities in other on its Condensed Consolidated Balance Sheet representing the present value of its future operating lease payments. Adoption of the standards did not require an adjustment to the opening balance of retained earnings. The discount rate used to determine present value was based on the rate of interest that the Company estimated it would have to pay to borrow (on a collateralized-basis over a similar term) an amount equal to the lease payments in a similar economic environment as of January 1, 2019. The Company is required to reassess the discount rate for any new and modified lease contracts as of the lease effective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right-of-use assets and lease liabilities recognized upon adoption of ASU 2016-02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lease costs for the year ended December 31, 2019:</w:t>
      </w:r>
    </w:p>
    <w:p>
      <w:pPr>
        <w:spacing w:after="0" w:line="16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Year Ended December</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22860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380" w:val="left"/>
          <w:tab w:leader="none" w:pos="11120" w:val="left"/>
        </w:tabs>
        <w:rPr>
          <w:sz w:val="20"/>
          <w:szCs w:val="20"/>
          <w:color w:val="auto"/>
        </w:rPr>
      </w:pPr>
      <w:r>
        <w:rPr>
          <w:rFonts w:ascii="Arial" w:cs="Arial" w:eastAsia="Arial" w:hAnsi="Arial"/>
          <w:sz w:val="18"/>
          <w:szCs w:val="18"/>
          <w:color w:val="auto"/>
        </w:rPr>
        <w:t>Operating lease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26</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2019, cash paid for operating lease liabilities, and reported in cash flows provided by operating activities on the Company's Statement of Condensed Consolidated Cash Flows, was $26 million. During the year ended December 31, 2019, the Company recorded an additional $17 million of right-of-use assets in exchange for new lease liabilities.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operating lease right-of-use assets were reported in other assets and the current and noncurrent portions of the operating lease liabilities were reported in other accrued liabilities and other long-term liabilities, respectively, on the Condensed Consolidated Balance Sheet. As of December 31, 2019, the operating right-of-use assets were $15 million and operating lease liabilities were $15 million, of which $8 million was classified as current. As of December 31, 2019, the weighted average remaining lease term was 2.1 years and the weighted average discount rate was 8.2%.</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Schedule of Operating Lease Liability Maturities</w:t>
      </w:r>
      <w:r>
        <w:rPr>
          <w:rFonts w:ascii="Arial" w:cs="Arial" w:eastAsia="Arial" w:hAnsi="Arial"/>
          <w:sz w:val="18"/>
          <w:szCs w:val="18"/>
          <w:color w:val="auto"/>
        </w:rPr>
        <w:t>. The following table summarizes undiscounted cash flows owed by the Company to lessors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contractual agreements in effect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As of December 31, 2019</w:t>
            </w: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right"/>
              <w:ind w:right="750"/>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leases in which the Company is the lessor, the Company (i) retained classification of our historical leases as we are not required to reassess classification upon adoption of the new standard, (ii) expensed indirect leasing costs in connection with new or extended tenant leases, the recognition of which would have been deferred under prior accounting guidance and (iii) aggregated revenue from our lease components and non-lease components (comprised of tenant expense reimbursements) into revenue from rental properties.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283"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COMMITMENTS AND CONTINGENCIES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is a party to various legal proceedings, disputes and claims arising in the course of its business, including those that arise from interpretation of federal and state laws and regulations affecting the natural gas and crude oil industry, personal injury claims, title disputes, royalty disputes, contract claims, contamination claims relating to oil and gas exploration and development and environmental claims, including claims involving assets owned by acquired companies and claims involving assets previously sold to third parties and no longer part of the Company’s current operations. While the ultimate outcome of the pending proceedings, disputes or claims, and any resulting impact on the Company, cannot be predicted with certainty, the Company believes that none of these matters, if ultimately decided adversely, will have a material adverse effect on the Company’s financial condition, cash flows or results of operations.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 The Company reassesses the probability and estimability of contingent losses as new information becomes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schedule of minimum future payments with commitments that have initial or remaining noncancelable terms in excess of one year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Sand Supply</w:t>
            </w:r>
          </w:p>
        </w:tc>
      </w:tr>
      <w:tr>
        <w:trPr>
          <w:trHeight w:val="234"/>
        </w:trPr>
        <w:tc>
          <w:tcPr>
            <w:tcW w:w="9940" w:type="dxa"/>
            <w:vAlign w:val="bottom"/>
          </w:tcPr>
          <w:p>
            <w:pPr>
              <w:ind w:left="39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Agreement</w:t>
            </w:r>
          </w:p>
        </w:tc>
      </w:tr>
      <w:tr>
        <w:trPr>
          <w:trHeight w:val="27"/>
        </w:trPr>
        <w:tc>
          <w:tcPr>
            <w:tcW w:w="9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leases office space in Oklahoma City, Oklahoma from an unrelated third party. Amounts prior to January 1, 2018, include rent expense related to the Company’s corporate office located in the Fasken Center in Midland, Texas. On January 31, 2018, the Company completed its acquisition of the Fasken Center office buildings.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rent expense for the years ended December 31, 2019,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4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Trafigura Trading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entered into a firm commitment oil purchase agreement with Trafigura Trading LLC (“Trafigura”) in which the Company agreed to sell and deliver a firm quantity of 25,000 barrels of crude oil per day to Trafigura during the term of the agreement. Under this agreement, which has a seven-year term beginning on August 1, 2018, the price per barrel of oil paid to us by Trafigura is based on the average of the published settlement quotations for NYMEX CMA, as adjusted for different delivery methods and periods. If during the term of the agreement the Company fails to deliver the required quantities of oil for any month other than for specified force majeure events, the Company has agreed to pay Trafigura a deficiency payment equal to any unfavorable difference between the contract price and the spot price, multiplied by the deficiency volume.</w:t>
      </w:r>
    </w:p>
    <w:p>
      <w:pPr>
        <w:sectPr>
          <w:pgSz w:w="11900" w:h="16838" w:orient="portrait"/>
          <w:cols w:equalWidth="0" w:num="1">
            <w:col w:w="11420"/>
          </w:cols>
          <w:pgMar w:left="240" w:top="283"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283" w:right="239" w:bottom="1440" w:gutter="0" w:footer="0" w:header="0"/>
          <w:type w:val="continuous"/>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Plains Marketing LP</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July 2019, the Company’s wholly-owned subsidiary, Energen Resources Corporation (“Energen Resources”) entered into a long-term crude oil sales agreement with Plains Marketing LP (“Plains”) pursuant to which, among other things, the Company’s existing agreements with Plains were terminated. The Company’s new agreement with Plains requires that it makes available 50,000 barrels of crude oil per day until the date occurring ten years following the date service commences for ExxonMobil Oil Corporation (“Exxon”) pursuant to the transportation service agreement between Exxon and the Wink to Webster pipeline carrier (plus extensions for force majeure). If during the term of the agreement the Company fails to deliver the required quantities of oil for any month other than for specified force majeure events or acts or omissions of Plains, the Company has agreed to pay Plains a specified per barrel amount, subject to escalation, multiplied by the deficiency volume. If during the term of the agreement the Company fails to deliver the quantities of oil for any month that it has committed for such month other than for specified force majeure events or acts or omissions of Plains, the Company has agreed to pay Plains a deficiency payment . The Company has also dedicated certain crude oil production attributable to certain of its interests to Plains in connection with this agreement. Pricing for the Company’s production under the Plains agreement (i) prior to the date service commences for Exxon pursuant to the transportation service agreement between Exxon and the Wink to Webster pipeline carrier, is at a Midland WTI or WTL, as applicable, base price less certain costs and (ii) following the date service commences for Exxon pursuant to the transportation service agreement between Exxon and the Wink to Webster pipeline carrier, for volumes up to 100,000 barrels of crude oil per day, is at a MEH WTI or WTL base price, as applicable, less certain costs.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Agreement with Shell Trading (USA) Company</w:t>
      </w:r>
    </w:p>
    <w:p>
      <w:pPr>
        <w:spacing w:after="0" w:line="225" w:lineRule="exact"/>
        <w:rPr>
          <w:sz w:val="20"/>
          <w:szCs w:val="20"/>
          <w:color w:val="auto"/>
        </w:rPr>
      </w:pPr>
    </w:p>
    <w:p>
      <w:pPr>
        <w:jc w:val="both"/>
        <w:ind w:left="40" w:firstLine="608"/>
        <w:spacing w:after="0" w:line="268" w:lineRule="auto"/>
        <w:rPr>
          <w:sz w:val="20"/>
          <w:szCs w:val="20"/>
          <w:color w:val="auto"/>
        </w:rPr>
      </w:pPr>
      <w:r>
        <w:rPr>
          <w:rFonts w:ascii="Arial" w:cs="Arial" w:eastAsia="Arial" w:hAnsi="Arial"/>
          <w:sz w:val="17"/>
          <w:szCs w:val="17"/>
          <w:color w:val="auto"/>
        </w:rPr>
        <w:t>In December 2018, the Company entered into an oil purchase agreement with Shell Trading (USA) Company (“Shell”) which was amended and restated in December 2019, in which Shell agreed to transport crude oil it purchases from us through the EPIC pipeline, with which the Company has an agreement for the transportation of certain crude oil. The Company’s agreement with Shell provides for different purchase obligations during the pre-commencement and service commencement periods for the EPIC pipeline, and provides for a three-year term beginning on the service commencement date for the EPIC pipeline. Shell has the option to extend its purchase obligations for up to three one-year terms, but not beyond March 31, 2026 except in the event of force majeure. The Company’s delivery obligation (i) prior to the full service commencement of the EPIC pipeline will be, subject to certain conditions, including the Company’s right to repurchase certain volumes, either 30,000 or 40,000 barrels of crude oil per day and (ii) during the full service term will not exceed 50,000 barrels of crude oil per day. In addition, the Company’s wholly-owned subsidiary Energen Resources has signed an agreement with Shell in which all or a portion of the 50,000 barrels of crude oil per day referenced in the previous sentence could also be satisfied by Energen Resources. During different pre-commencement periods, Shell has agreed to pay the Company the price per barrel of oil based on the arithmetic average of the daily settlement price for the “Light Sweet Crude Oil” Prompt Month future contracts reported by the NYMEX over the applicable one-month period, subject to certain adjustments, plus a Corpus Christi differential determined based on Shell’s average sales price for its WTI barrels in Corpus Christi less certain other costs, expenses and fees. During the full service term, the price per barrel of oil payable by Shell to the Company is based on calendar dated Brent pricing plus a negotiated differential generally based on certain Argus WTI Houston CIF Rotterdam and Platts Midland DAP Rotterdam pricing, less certain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Vitol Inc.</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18, 2018, the Company entered into an agreement with Vitol to, among other things, sell an average of 23,750 barrels of crude oil per day plus other agreed upon volumes. The Company is continuing to sell crude to Vitol on a month-to-month basis and expects to continue to do so under its existing arrangement with Vitol until its new agreement with Vitol becomes effective. Under the Company’s new agreement with Vitol, the Company agreed to sell, and Vitol agreed to purchase, (i) subject to certain conditions, including accelerated commissioning service on the Gray Oak pipeline and completion of certain infrastructure connections, 50,000 barrels of crude oil per day on average during each month occurring during the first seven years of full service on the Gray Oak pipeline, (ii) subject to certain conditions and the satisfaction of other conditions, including full service on the Gray Oak pipeline and completion of certain infrastructure connections, an additional 50,000 barrels of crude oil per day on average during each month occurring during the first seven years following satisfaction of such conditions, (iii) subject to certain conditions, including notice that transportation services on the EPIC pipeline are ready to commence and completion of certain infrastructure connections, an additional 50,000 barrels of crude oil per day on average during each month occurring during the first seven years following satisfaction of such conditions and (iv) such other volumes of crude oil as agreed by the parties. The Company is entitled to receive payment for such crude oil under netback pricing, whereby the price for the Company’s crude oil is determined based on a formula which takes into consideration the final purchase price obtained by Vitol in marketing such crude oil in certain third party transactions less certain costs. In connection therewith, Vitol has agreed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283" w:right="23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among other things, use commercially reasonable efforts to (i) maximize the final purchase price to the Company and mitigate any costs factored into the price determination and (ii) acquire third party crude oil to cover any shortfall below the Company’s volumes commitments. Vitol also agrees to (i) use the same care and apply the same policies as it would exercise and apply if it were trading the subject crude oil for Vitol’s own account and (ii) transport such crude oil on certain designated pipelines, including the Gray Oak pipeline pursuant to rights we have obtained through our Gray Oak transportation services agreement described below under third party shipper rights or term assignments, as applicable, prior to Vitol’s downstream marketing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Services Agreement with Gray Oak Pipeline, LLC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an addendum, dated as of August 13, 2018, to the transportation services agreement with Gray Oak Pipeline, LLC, dated as of April 23, 2018 (the “Gray Oak TSA 1”), Diamondback E&amp;P LLC agreed to accelerated commissioning service (“ACS”) on the Gray Oak pipeline in the amount of 50,000 barrels of crude oil per day. Under the ACS program, shippers must make a deficiency payment for any barrels not shipped during the ACS term, which expires the day before the Gray Oak pipeline goes into full service, which is currently anticipated to occur in the second quarter of 2020. The ACS commenced on November 12, 2019 and is ongoing. Due to restrictive API gravity provisions and the lack of markets, Diamondback E&amp;P LLC has been unable to ship any volumes over the Gray Oak pipeline since the inception of ACS. This has resulted in Diamondback E&amp;P LLC owing deficiency payments to Gray Oak Pipeline, LLC during 2019 in the aggregate amount of $11 million. The deficiency payment rate varies depending upon the month in which the deficiency occurs. Certain deficiencies can be used as a credit against volumes shipped in excess of a customer’s minimum contract volume each quarter during the first two years of full service on the Gray Oak pipeline, subject to certain restrictions.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Once full service commences on the Gray Oak pipeline, subject to the terms and conditions of the Gray Oak TSA 1, Diamondback E&amp;P LLC will be required to ship 50,000 barrels per day of crude oil on the Gray Oak pipeline or pay a deficiency payment for any shortfall in volumes as measured on a quarterly basis. Such deficiency payments can be used as a credit against future shipments in excess of our minimum contract volume each quarter, subject to certain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 401(k) defined contribution plan for the benefit of substantially all employees at their date of hire. The plan allows eligible employees to contribute up to 100% of their annual compensation, not to exceed annual limits established by the federal government. The Company makes matching contributions of up to 6% of an employee’s compensation and may make additional discretionary contributions for eligible employees. Employer contributions vest immediately. For the years ended December 31, 2019, 2018 and 2017 the Company paid $8 million, $2 million and $2 million, respectively, in contributions to the plan.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2019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14, 2020, the Board of Directors of the Company declared a cash dividend for the fourth quarter of 2019 of $0.3750 per share of common stock, payable on March 10, 2020 to its stockholders of record at the close of business on March 3,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December 31, 2019, the Company entered into new fixed price swaps, fixed price basis swaps, three-way collars and put spreads. The Company’s derivative contracts are based upon reported settlement prices on commodity exchanges, with crude oil derivative settlements based on WTI and Crude Oil Brent and gas derivative settlements based on Waha Hub and Brent.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283" w:right="23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December 31, 2019. When aggregating multiple contracts, the weighted average contract price is disclosed.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2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62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18"/>
        </w:trPr>
        <w:tc>
          <w:tcPr>
            <w:tcW w:w="7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Fixed Price Swap (per</w:t>
            </w:r>
          </w:p>
        </w:tc>
      </w:tr>
      <w:tr>
        <w:trPr>
          <w:trHeight w:val="234"/>
        </w:trPr>
        <w:tc>
          <w:tcPr>
            <w:tcW w:w="754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32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Oil Swaps - BRENT</w:t>
            </w:r>
          </w:p>
        </w:tc>
        <w:tc>
          <w:tcPr>
            <w:tcW w:w="1840" w:type="dxa"/>
            <w:vAlign w:val="bottom"/>
          </w:tcPr>
          <w:p>
            <w:pPr>
              <w:jc w:val="right"/>
              <w:spacing w:after="0"/>
              <w:rPr>
                <w:sz w:val="20"/>
                <w:szCs w:val="20"/>
                <w:color w:val="auto"/>
              </w:rPr>
            </w:pPr>
            <w:r>
              <w:rPr>
                <w:rFonts w:ascii="Arial" w:cs="Arial" w:eastAsia="Arial" w:hAnsi="Arial"/>
                <w:sz w:val="18"/>
                <w:szCs w:val="18"/>
                <w:color w:val="auto"/>
              </w:rPr>
              <w:t>732,000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 - Waha Hub</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Natural Gas Basis Swaps - Waha Hub</w:t>
            </w:r>
          </w:p>
        </w:tc>
        <w:tc>
          <w:tcPr>
            <w:tcW w:w="1840" w:type="dxa"/>
            <w:vAlign w:val="bottom"/>
          </w:tcPr>
          <w:p>
            <w:pPr>
              <w:jc w:val="right"/>
              <w:spacing w:after="0"/>
              <w:rPr>
                <w:sz w:val="20"/>
                <w:szCs w:val="20"/>
                <w:color w:val="auto"/>
              </w:rPr>
            </w:pPr>
            <w:r>
              <w:rPr>
                <w:rFonts w:ascii="Arial" w:cs="Arial" w:eastAsia="Arial" w:hAnsi="Arial"/>
                <w:sz w:val="18"/>
                <w:szCs w:val="18"/>
                <w:color w:val="auto"/>
              </w:rPr>
              <w:t>13,750,000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Diesel Price Swaps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75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7"/>
        </w:trPr>
        <w:tc>
          <w:tcPr>
            <w:tcW w:w="9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3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Brent</w:t>
            </w:r>
          </w:p>
        </w:tc>
      </w:tr>
      <w:tr>
        <w:trPr>
          <w:trHeight w:val="27"/>
        </w:trPr>
        <w:tc>
          <w:tcPr>
            <w:tcW w:w="9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9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69.25</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7"/>
        </w:trPr>
        <w:tc>
          <w:tcPr>
            <w:tcW w:w="10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Put Spreads - WTI</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Volume (Bbls)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829,125</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put price (per Bbl)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60.50</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Put Spreads - Brent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Volume (Bbls)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1,758,750</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put price (per Bbl)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Floor price (per Bbl)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65.00</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REPORT OF BUSINESS SEGMENTS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reports its operations in two business segments: (i) the upstream segment, which is engaged in the acquisition, development, exploration and exploitation of unconventional, onshore oil and natural gas reserves in the Permian Basin in West Texas and (ii) the midstream operations segment includes midstream services and real estate. All of Rattler’s equity method investments are included in the midstream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283"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business segments during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Midstream</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Upstream</w:t>
            </w:r>
          </w:p>
        </w:tc>
        <w:tc>
          <w:tcPr>
            <w:tcW w:w="16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Services</w:t>
            </w:r>
          </w:p>
        </w:tc>
        <w:tc>
          <w:tcPr>
            <w:tcW w:w="2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3,964</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16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3,964</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w:t>
            </w: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other income (expense), net</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Net income attributable to Diamondback Energy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23,531</w:t>
            </w:r>
          </w:p>
        </w:tc>
      </w:tr>
      <w:tr>
        <w:trPr>
          <w:trHeight w:val="230"/>
        </w:trPr>
        <w:tc>
          <w:tcPr>
            <w:tcW w:w="20" w:type="dxa"/>
            <w:vAlign w:val="bottom"/>
          </w:tcPr>
          <w:p>
            <w:pPr>
              <w:spacing w:after="0"/>
              <w:rPr>
                <w:sz w:val="20"/>
                <w:szCs w:val="20"/>
                <w:color w:val="auto"/>
              </w:rPr>
            </w:pPr>
          </w:p>
        </w:tc>
        <w:tc>
          <w:tcPr>
            <w:tcW w:w="8840" w:type="dxa"/>
            <w:vAlign w:val="bottom"/>
            <w:gridSpan w:val="6"/>
          </w:tcPr>
          <w:p>
            <w:pPr>
              <w:jc w:val="right"/>
              <w:ind w:right="910"/>
              <w:spacing w:after="0"/>
              <w:rPr>
                <w:sz w:val="20"/>
                <w:szCs w:val="20"/>
                <w:color w:val="auto"/>
              </w:rPr>
            </w:pPr>
            <w:r>
              <w:rPr>
                <w:rFonts w:ascii="Arial" w:cs="Arial" w:eastAsia="Arial" w:hAnsi="Arial"/>
                <w:sz w:val="18"/>
                <w:szCs w:val="18"/>
                <w:color w:val="auto"/>
                <w:w w:val="91"/>
              </w:rPr>
              <w:t>(1)  The impairment for the midstream services segment of $2 million is included in other income (expense).</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Midstream</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Upstream</w:t>
            </w:r>
          </w:p>
        </w:tc>
        <w:tc>
          <w:tcPr>
            <w:tcW w:w="1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6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Third-party revenues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1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w:t>
            </w:r>
          </w:p>
        </w:tc>
        <w:tc>
          <w:tcPr>
            <w:tcW w:w="1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21,596</w:t>
            </w:r>
          </w:p>
        </w:tc>
      </w:tr>
      <w:tr>
        <w:trPr>
          <w:trHeight w:val="675"/>
        </w:trPr>
        <w:tc>
          <w:tcPr>
            <w:tcW w:w="4600" w:type="dxa"/>
            <w:vAlign w:val="bottom"/>
          </w:tcPr>
          <w:p>
            <w:pPr>
              <w:spacing w:after="0"/>
              <w:rPr>
                <w:sz w:val="24"/>
                <w:szCs w:val="2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F-55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Midstream</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Upstream</w:t>
            </w:r>
          </w:p>
        </w:tc>
        <w:tc>
          <w:tcPr>
            <w:tcW w:w="1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7,771</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tab/>
        <w:t>GUARANTOR FINANCIAL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December 31, 2019, Diamondback O&amp;G LLC is a guarantor under the indenture relating to the Series of Senior Notes. In connection with the satisfaction and discharge of the indenture governing the 2024 Senior Notes, Diamondback E&amp;P LLC and Energen Corporation and its subsidiaries were released as guarantors under the 2024 Senior Notes, the 2025 Senior Notes and Diamondback O&amp;G LLC’s revolving credit facility. Rattler LLC was released as a guarantor under Diamondback O&amp;G LLC’s credit agreement on May 28, 2019. Viper, Viper’s General Partner, Viper LLC, Rattler, Rattler’s General Partner and Rattler’s subsidiaries remain Non-Guarantor Subsidiaries. The following presents condensed consolidated financial information for the Company (which for purposes of this Note 21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None of Rattler, Rattler’s General Partner or Rattler’s subsidiaries were guarantors under the 2024 Senior Notes, the 2025 Senior Notes or Diamondback O&amp;G LLC’s revolving credit facility for the previous periods presented; therefore, the schedules that follow have been adjusted to reflect this correction of an immaterial change. Rattler LLC was a guarantor under Diamondback O&amp;G LLC’s credit agreement until May 28,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283"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Oil and natural gas properties, full cost method of accounting</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25,782</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21,835</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method investments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Investment in real estate, net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23,531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Accrued capital expenditures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accrued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Revenues and royalties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8,625</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4,295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14,906</w:t>
            </w:r>
          </w:p>
        </w:tc>
        <w:tc>
          <w:tcPr>
            <w:tcW w:w="0" w:type="dxa"/>
            <w:vAlign w:val="bottom"/>
          </w:tcPr>
          <w:p>
            <w:pPr>
              <w:spacing w:after="0"/>
              <w:rPr>
                <w:sz w:val="1"/>
                <w:szCs w:val="1"/>
                <w:color w:val="auto"/>
              </w:rPr>
            </w:pPr>
          </w:p>
        </w:tc>
      </w:tr>
      <w:tr>
        <w:trPr>
          <w:trHeight w:val="243"/>
        </w:trPr>
        <w:tc>
          <w:tcPr>
            <w:tcW w:w="492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15,845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10,422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23,531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1420"/>
          </w:cols>
          <w:pgMar w:left="240" w:top="283" w:right="239" w:bottom="1440" w:gutter="0" w:footer="0" w:header="0"/>
          <w:type w:val="continuous"/>
        </w:sectPr>
      </w:pPr>
    </w:p>
    <w:bookmarkStart w:id="157" w:name="page158"/>
    <w:bookmarkEnd w:id="1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392</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4,555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925</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Oil and natural gas properties, full cost method of accounting</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11,170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22,299</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(2,774)</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8,760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20,372</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method investments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12,689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Investment in real estate, net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83"/>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17,244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9,114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12,728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(17,490)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21,596</w:t>
            </w:r>
          </w:p>
        </w:tc>
      </w:tr>
      <w:tr>
        <w:trPr>
          <w:trHeight w:val="25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capital expenditures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accrued liabilities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and royalties payable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3,962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1,716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1,019</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4,464</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1,785</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2,432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5,493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4,177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7,429</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14,812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13,700</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14,812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14,167</w:t>
            </w: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21,596</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1420"/>
          </w:cols>
          <w:pgMar w:left="240" w:top="283" w:right="239" w:bottom="1440" w:gutter="0" w:footer="0" w:header="0"/>
          <w:type w:val="continuous"/>
        </w:sectPr>
      </w:pPr>
    </w:p>
    <w:bookmarkStart w:id="158" w:name="page159"/>
    <w:bookmarkEnd w:id="1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operating income</w:t>
            </w: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9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3,964</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9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Midstream services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1,447</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expense</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9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3,269</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income (expense), net</w:t>
            </w:r>
          </w:p>
        </w:tc>
        <w:tc>
          <w:tcPr>
            <w:tcW w:w="9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derivative instruments, net</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Gain on revaluation of investment</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from subsidiaries</w:t>
            </w:r>
          </w:p>
        </w:tc>
        <w:tc>
          <w:tcPr>
            <w:tcW w:w="90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900" w:type="dxa"/>
            <w:vAlign w:val="bottom"/>
          </w:tcPr>
          <w:p>
            <w:pPr>
              <w:spacing w:after="0"/>
              <w:rPr>
                <w:sz w:val="21"/>
                <w:szCs w:val="21"/>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9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9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(loss) attributable to Diamondback Energy, Inc.</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240</w:t>
            </w: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283" w:right="23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1,879</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operating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Merger and integration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expenses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1,165</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Gain on revaluation of investment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from subsidiaries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945</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283" w:right="23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9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9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1,205</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9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9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 expense</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90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900" w:type="dxa"/>
            <w:vAlign w:val="bottom"/>
          </w:tcPr>
          <w:p>
            <w:pPr>
              <w:spacing w:after="0"/>
              <w:rPr>
                <w:sz w:val="21"/>
                <w:szCs w:val="21"/>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90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derivative instruments, net</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from subsidiaries</w:t>
            </w: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expense, net</w:t>
            </w:r>
          </w:p>
        </w:tc>
        <w:tc>
          <w:tcPr>
            <w:tcW w:w="9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22"/>
                <w:szCs w:val="22"/>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9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9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283"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(485)</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(3,888)</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2,350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Premium on extinguishment of debt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joint venture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Repurchased for tax withholdings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Repurchased as part of share buyback</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to stockholders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1,062</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283" w:right="23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(3,503)</w:t>
            </w:r>
          </w:p>
        </w:tc>
      </w:tr>
      <w:tr>
        <w:trPr>
          <w:trHeight w:val="27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2,652</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Repayment on Energen's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Contributions to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to parent</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Repurchased for tax withholdings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to stockholders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2,041</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283" w:right="23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27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754</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Purchase of subsidiary units by parent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w:t>
            </w: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283" w:right="23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SUPPLEMENTAL INFORMATION ON OIL AND NATURAL GAS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Proved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16,575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Unproved properties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oil and natural gas properties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22,299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oil and natural gas properties capitalized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19,556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4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4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 millions)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2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Proved properties</w:t>
            </w:r>
          </w:p>
        </w:tc>
        <w:tc>
          <w:tcPr>
            <w:tcW w:w="3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2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Development costs</w:t>
            </w:r>
          </w:p>
        </w:tc>
        <w:tc>
          <w:tcPr>
            <w:tcW w:w="2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3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costs</w:t>
            </w:r>
          </w:p>
        </w:tc>
        <w:tc>
          <w:tcPr>
            <w:tcW w:w="2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57"/>
        </w:trPr>
        <w:tc>
          <w:tcPr>
            <w:tcW w:w="37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13,066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4,072</w:t>
            </w:r>
          </w:p>
        </w:tc>
      </w:tr>
      <w:tr>
        <w:trPr>
          <w:trHeight w:val="20"/>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51"/>
        </w:trPr>
        <w:tc>
          <w:tcPr>
            <w:tcW w:w="3760" w:type="dxa"/>
            <w:vAlign w:val="bottom"/>
          </w:tcPr>
          <w:p>
            <w:pPr>
              <w:spacing w:after="0"/>
              <w:rPr>
                <w:sz w:val="24"/>
                <w:szCs w:val="24"/>
                <w:color w:val="auto"/>
              </w:rPr>
            </w:pPr>
          </w:p>
        </w:tc>
        <w:tc>
          <w:tcPr>
            <w:tcW w:w="3320" w:type="dxa"/>
            <w:vAlign w:val="bottom"/>
            <w:gridSpan w:val="2"/>
          </w:tcPr>
          <w:p>
            <w:pPr>
              <w:jc w:val="right"/>
              <w:ind w:right="1110"/>
              <w:spacing w:after="0"/>
              <w:rPr>
                <w:sz w:val="20"/>
                <w:szCs w:val="20"/>
                <w:color w:val="auto"/>
              </w:rPr>
            </w:pPr>
            <w:r>
              <w:rPr>
                <w:rFonts w:ascii="Arial" w:cs="Arial" w:eastAsia="Arial" w:hAnsi="Arial"/>
                <w:sz w:val="18"/>
                <w:szCs w:val="18"/>
                <w:color w:val="auto"/>
              </w:rPr>
              <w:t>F-65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65" w:name="page166"/>
    <w:bookmarkEnd w:id="1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natural gas and natural gas liquids. It does not include any interest costs or general and administrative costs and it reflects estimated corporate income taxes at enacted tax rates expected to be applicable the Company. Therefore, the following schedule is not necessarily indicative of the contribution to the net operating results of the Company’s oil, natural gas and natural gas liquids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natural gas and natural gas liquid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operating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Gathering and transportation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of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Proved oil and natural gas reserve estimates as of December 31, 2019, 2018 and 2017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283"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changes in estimated proved reserves are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Natural Gas</w:t>
            </w:r>
          </w:p>
        </w:tc>
        <w:tc>
          <w:tcPr>
            <w:tcW w:w="1480" w:type="dxa"/>
            <w:vAlign w:val="bottom"/>
          </w:tcPr>
          <w:p>
            <w:pPr>
              <w:spacing w:after="0"/>
              <w:rPr>
                <w:sz w:val="24"/>
                <w:szCs w:val="24"/>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Oil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Liquids</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Natural Gas</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(MMcf)</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and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January 1,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139,174</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37,134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174,896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109,032</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(10,065)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34,640</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233,181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285,369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154,088</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11,138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3,642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281,333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640,761</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626,936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190,291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1,048,649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318,874</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(84,789)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(149,657)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19,830</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(33,269)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(21,272)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(97,613)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710,903</w:t>
            </w:r>
          </w:p>
        </w:tc>
        <w:tc>
          <w:tcPr>
            <w:tcW w:w="1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230,203</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1,118,811</w:t>
            </w:r>
          </w:p>
        </w:tc>
      </w:tr>
      <w:tr>
        <w:trPr>
          <w:trHeight w:val="257"/>
        </w:trPr>
        <w:tc>
          <w:tcPr>
            <w:tcW w:w="67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January 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105,399</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141,246</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35,412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190,740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403,051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705,084</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457,083</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165,173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824,760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January 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69,497</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91,935</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19,198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94,629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343,565</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253,820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65,030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294,051</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year ended December 31, 2019, the Company’s extensions and discoveries totaling 376,287 MBOE resulted primarily from the drilling of 283 new wells and from 291 new proved undeveloped locations added in which the Company owns a working interest. Viper royalty interests accounted for 5% of the extension volumes. The Company’s downward revisions of 117,898 MBOE were the result of proved undeveloped downgrades associated with inventory refinement following the Energen acquisition along with updated development plans and lower realized prices. Purchases of 21,092 MBOE were the result of 10,939 MBOE of working interest purchases and 10,153 MBOE of Viper royalty purchases, excluding mineral interests dropped down to Viper.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2018, the Company’s extensions and discoveries of 202,089 MBOE resulted primarily from the drilling of 135 new wells and from 138 new proved undeveloped locations added in which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283" w:right="239" w:bottom="1440" w:gutter="0" w:footer="0" w:header="0"/>
        </w:sectPr>
      </w:pPr>
    </w:p>
    <w:bookmarkStart w:id="167" w:name="page168"/>
    <w:bookmarkEnd w:id="1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owns a working interest. Viper royalty interests accounted for 10% of the extension volumes. The Company’s revisions of previous estimates were primarily the result of positive technical and performance revisions of 14,218 MBOE, upward revisions of 6,032 MBOE due to higher pricing and downward revisions of 4,815 MBOE from PUD reclassifications due to timing. Purchases of 486,992 MBOE were the result of 477,686 of working interest purchases, primarily attributable to Energen, and 9,306 MBOE of Viper royalty purchases.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2017, the Company’s extensions and discoveries of 138,977 MBOE resulted primarily from the drilling of 102 new wells and from 87 new proved undeveloped locations added. Viper royalty interests accounted for 8% of the extension volumes. The Company’s revisions of previous estimates were primarily the result of 2,550 MBOE from reclassifying PUD locations due to anticipated timing, with the remaining 8,308 MBOE being technical revisions. Delaware Basin working interest purchases accounted for 87% of the total purchases and Viper royalty interest purchases accounted for 10%, with working interest purchases contributing the remainder.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2019, the Company’s estimated PUD reserves were approximately 367,859 MBOE, a 21,931 MBOE increase over the reserve estimate at December 31, 2018 of 345,928 MBOE. The following table includes the changes in PUD reserves for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(MBOE)</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2018</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(120,920)</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Divestitures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221,500</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proved undeveloped reserves at December 31, 2019</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367,859</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proved undeveloped reserves was primarily attributable to extensions of 213,909 MBOE from 291 gross (262 net) wells in which the Company has a working interest and 7,591 MBOE from 97 gross wells in which Viper owns royalty interests. Of the 291 gross working interest wells, 64 were in the Delaware Basin. Transfers of 120,920 MBOE were the result of drilling or participating in 135 gross (119 net) horizontal wells in which the Company has a working interest and 79 gross wells in which the Company has a royalty interest or mineral interest through Viper. The Company owns a working interest in 75 of the 79 gross Viper wells. Downward revisions of 77,519 MBOE resulted from 67,114 MBOE of PUD downgrades due to refinement of the PUD inventory following the acquisition of Energen. These downgrades were offset with Extensions. The remaining 10,405 MOE of downward revisions were mostly from lower benchmark commodity prices.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all of the Company’s proved undeveloped reserves are planned to be developed within five years from the date they were initially recorded. During 2019, approximately $956 million in capital expenditures went toward the development of proved undeveloped reserves, which includes drilling, completion and other facility costs associated with developing proved undeveloped wells.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standardized measure of discounted future net cash flows is based on the unweighted average, first-day-of-the-month price.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283" w:right="239" w:bottom="1440" w:gutter="0" w:footer="0" w:header="0"/>
        </w:sectPr>
      </w:pPr>
    </w:p>
    <w:bookmarkStart w:id="168" w:name="page169"/>
    <w:bookmarkEnd w:id="1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development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production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production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income tax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Future net cash flows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discount to reflect timing of cash flows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table below the average first-day-of–the-month price for oil, natural gas and natural gas liquids is presented, all utilized in the computation of future cash inflows.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5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Unweighted Arithmetic Average</w:t>
            </w:r>
          </w:p>
        </w:tc>
        <w:tc>
          <w:tcPr>
            <w:tcW w:w="100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First-Day-of-the-Month Prices</w:t>
            </w:r>
          </w:p>
        </w:tc>
        <w:tc>
          <w:tcPr>
            <w:tcW w:w="1000" w:type="dxa"/>
            <w:vAlign w:val="bottom"/>
          </w:tcPr>
          <w:p>
            <w:pPr>
              <w:spacing w:after="0"/>
              <w:rPr>
                <w:sz w:val="23"/>
                <w:szCs w:val="23"/>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51.88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15.65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Sales of oil and natural gas, net of production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Divestiture of reserves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1420"/>
          </w:cols>
          <w:pgMar w:left="240" w:top="283" w:right="239" w:bottom="1440" w:gutter="0" w:footer="0" w:header="0"/>
          <w:type w:val="continuous"/>
        </w:sectPr>
      </w:pPr>
    </w:p>
    <w:bookmarkStart w:id="169" w:name="page170"/>
    <w:bookmarkEnd w:id="1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unaudited quarterly financial data for 2019 and 2018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First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Quarter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Diamondback Energy, Inc.</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0.06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47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First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Quarter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7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283" w:right="239" w:bottom="1440" w:gutter="0" w:footer="0" w:header="0"/>
        </w:sectPr>
      </w:pPr>
    </w:p>
    <w:bookmarkStart w:id="170" w:name="page171"/>
    <w:bookmarkEnd w:id="170"/>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 OF 1934</w:t>
      </w:r>
    </w:p>
    <w:p>
      <w:pPr>
        <w:spacing w:after="0" w:line="169" w:lineRule="exact"/>
        <w:rPr>
          <w:sz w:val="20"/>
          <w:szCs w:val="20"/>
          <w:color w:val="auto"/>
        </w:rPr>
      </w:pPr>
    </w:p>
    <w:p>
      <w:pPr>
        <w:ind w:left="40" w:right="120" w:firstLine="608"/>
        <w:spacing w:after="0" w:line="312" w:lineRule="auto"/>
        <w:rPr>
          <w:sz w:val="20"/>
          <w:szCs w:val="20"/>
          <w:color w:val="auto"/>
        </w:rPr>
      </w:pPr>
      <w:r>
        <w:rPr>
          <w:rFonts w:ascii="Arial" w:cs="Arial" w:eastAsia="Arial" w:hAnsi="Arial"/>
          <w:sz w:val="15"/>
          <w:szCs w:val="15"/>
          <w:b w:val="1"/>
          <w:bCs w:val="1"/>
          <w:i w:val="1"/>
          <w:iCs w:val="1"/>
          <w:color w:val="auto"/>
        </w:rPr>
        <w:t>The following is a summary of common stock of Diamondback Energy, Inc. (the “Company,” “we,” “us,” and “our”), which is the only class of securities registered under Section 12 of the Securities Exchange Act of 1934, as amended. The following summary is not complete. You should refer to the applicable provisions of our Amended and Restated Certificate of Incorporation and the Certificate of Amendment No. 1 of the Amended and Restated Certificate of Incorporation and any subsequent amendments thereto (collectively, “our certificate of incorporation”), our Amended and Restated Bylaws, the First Amendment to our Amended and Restated Bylaws and any subsequent amendments thereto (collectively, “our bylaws”) and the Delaware General Corporation Law (the “DGCL”) for a complete statement of the terms and rights of our common stock. Copies of our Amended and Restated Certificate of Incorporation, Amendment No. 1 thereto, our Amended and Restated Bylaws and the First Amendment thereto have been filed with the Securities and Exchange Commission as exhibits 3.1, 3.2, 3.3 and 3.4, respectively, to our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$0.01 per share, and 10,000,000 shares of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w:t>
      </w:r>
    </w:p>
    <w:p>
      <w:pPr>
        <w:spacing w:after="0"/>
        <w:rPr>
          <w:sz w:val="20"/>
          <w:szCs w:val="20"/>
          <w:color w:val="auto"/>
        </w:rPr>
      </w:pPr>
      <w:r>
        <w:rPr>
          <w:rFonts w:ascii="Arial" w:cs="Arial" w:eastAsia="Arial" w:hAnsi="Arial"/>
          <w:sz w:val="16"/>
          <w:szCs w:val="16"/>
          <w:color w:val="auto"/>
        </w:rPr>
        <w:t>Our certificate of incorporation denies stockholders any preemptive rights to acquire or subscribe for any stock, obligation, warrant or other securities of ours.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shares of our common stock have no redemption or conversion rights nor are they entitled to the benefits of any sinking fund provisions.</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February 14, 2020, there were 158,284,486 shares of our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is authorized to issue up to 10,000,000 shares of preferred stock in one or more series. The board of directors may fix for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24"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144" w:lineRule="exact"/>
        <w:rPr>
          <w:rFonts w:ascii="Arial" w:cs="Arial" w:eastAsia="Arial" w:hAnsi="Arial"/>
          <w:sz w:val="18"/>
          <w:szCs w:val="18"/>
          <w:color w:val="auto"/>
        </w:rPr>
      </w:pPr>
    </w:p>
    <w:p>
      <w:pPr>
        <w:ind w:left="980" w:right="700" w:hanging="324"/>
        <w:spacing w:after="0" w:line="30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6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19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239" w:lineRule="exact"/>
        <w:rPr>
          <w:sz w:val="20"/>
          <w:szCs w:val="20"/>
          <w:color w:val="auto"/>
        </w:rPr>
      </w:pPr>
    </w:p>
    <w:p>
      <w:pPr>
        <w:ind w:left="660" w:right="60" w:hanging="328"/>
        <w:spacing w:after="0" w:line="30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61" w:lineRule="exact"/>
        <w:rPr>
          <w:rFonts w:ascii="Arial" w:cs="Arial" w:eastAsia="Arial" w:hAnsi="Arial"/>
          <w:sz w:val="18"/>
          <w:szCs w:val="18"/>
          <w:color w:val="auto"/>
        </w:rPr>
      </w:pPr>
    </w:p>
    <w:p>
      <w:pPr>
        <w:ind w:left="660" w:right="240" w:hanging="328"/>
        <w:spacing w:after="0" w:line="30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permits certain of our stockholders, officers and directors, including our non-employee directors, to conduct business that competes with us and to make investments in any kind of property in which we may make investments;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provides that if certain of our officers or directors, including our non-employee directors, becomes aware of a potential business opportunity,</w:t>
      </w:r>
    </w:p>
    <w:p>
      <w:pPr>
        <w:sectPr>
          <w:pgSz w:w="11900" w:h="16849" w:orient="portrait"/>
          <w:cols w:equalWidth="0" w:num="1">
            <w:col w:w="11420"/>
          </w:cols>
          <w:pgMar w:left="240" w:top="797" w:right="239" w:bottom="0" w:gutter="0" w:footer="0" w:header="0"/>
        </w:sectPr>
      </w:pPr>
    </w:p>
    <w:bookmarkStart w:id="171" w:name="page172"/>
    <w:bookmarkEnd w:id="171"/>
    <w:p>
      <w:pPr>
        <w:ind w:left="660"/>
        <w:spacing w:after="0" w:line="337" w:lineRule="auto"/>
        <w:rPr>
          <w:sz w:val="20"/>
          <w:szCs w:val="20"/>
          <w:color w:val="auto"/>
        </w:rPr>
      </w:pPr>
      <w:r>
        <w:rPr>
          <w:rFonts w:ascii="Arial" w:cs="Arial" w:eastAsia="Arial" w:hAnsi="Arial"/>
          <w:sz w:val="16"/>
          <w:szCs w:val="16"/>
          <w:color w:val="auto"/>
        </w:rPr>
        <w:t>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88"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b w:val="1"/>
          <w:bCs w:val="1"/>
          <w:i w:val="1"/>
          <w:iCs w:val="1"/>
          <w:color w:val="auto"/>
        </w:rPr>
        <w:t xml:space="preserve">Stockholder meetings. </w:t>
      </w:r>
      <w:r>
        <w:rPr>
          <w:rFonts w:ascii="Arial" w:cs="Arial" w:eastAsia="Arial" w:hAnsi="Arial"/>
          <w:sz w:val="16"/>
          <w:szCs w:val="16"/>
          <w:color w:val="auto"/>
        </w:rPr>
        <w:t>Our certificate of incorporation and bylaws provide that a special meeting of stockholders may be called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the Chief Executive Officer or by a resolution adopted by a majority of our board of directors, assuming there are no vacancies.</w:t>
      </w:r>
    </w:p>
    <w:p>
      <w:pPr>
        <w:spacing w:after="0" w:line="124"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b w:val="1"/>
          <w:bCs w:val="1"/>
          <w:i w:val="1"/>
          <w:iCs w:val="1"/>
          <w:color w:val="auto"/>
        </w:rPr>
        <w:t xml:space="preserve">Requirements for advance notification of stockholder nominations and proposals. </w:t>
      </w:r>
      <w:r>
        <w:rPr>
          <w:rFonts w:ascii="Arial" w:cs="Arial" w:eastAsia="Arial" w:hAnsi="Arial"/>
          <w:sz w:val="16"/>
          <w:szCs w:val="16"/>
          <w:color w:val="auto"/>
        </w:rPr>
        <w:t>Our bylaws establish advance notice procedures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proposals and the nomination of candidates for election as directors, other than nominations made by or at the direction of the board of directors.</w:t>
      </w:r>
    </w:p>
    <w:p>
      <w:pPr>
        <w:spacing w:after="0" w:line="12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b w:val="1"/>
          <w:bCs w:val="1"/>
          <w:i w:val="1"/>
          <w:iCs w:val="1"/>
          <w:color w:val="auto"/>
        </w:rPr>
        <w:t xml:space="preserve">Stockholder action by written consent. </w:t>
      </w:r>
      <w:r>
        <w:rPr>
          <w:rFonts w:ascii="Arial" w:cs="Arial" w:eastAsia="Arial" w:hAnsi="Arial"/>
          <w:sz w:val="16"/>
          <w:szCs w:val="16"/>
          <w:color w:val="auto"/>
        </w:rPr>
        <w:t>Our certificate of incorporation provides that, except as may otherwise be provided with respect to the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i w:val="1"/>
          <w:iCs w:val="1"/>
          <w:color w:val="auto"/>
        </w:rPr>
        <w:t xml:space="preserve">Amendment of the bylaws. </w:t>
      </w:r>
      <w:r>
        <w:rPr>
          <w:rFonts w:ascii="Arial" w:cs="Arial" w:eastAsia="Arial" w:hAnsi="Arial"/>
          <w:sz w:val="17"/>
          <w:szCs w:val="17"/>
          <w:color w:val="auto"/>
        </w:rPr>
        <w:t>Under Delaware law, the power to adopt, amend or repeal bylaws is conferred upon the stockholders. A corporation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66 2/3% of the voting power of all then outstanding shares of capital stock entitled to vote generally in the election of directors, voting together as a single class.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provide that members of our board of directors may only be removed by the affirmative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at least 66 2/3% of the voting power of all then outstanding shares of capital stock entitled to vote generally in the election of directors, voting together as a single class.</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or 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 However, our board of directors does not intend or view the proposed increase in authorized common stock as an anti-takeover measure and did not propose the increase in response to any attempt or plan to obtain control of the company.</w:t>
      </w:r>
    </w:p>
    <w:p>
      <w:pPr>
        <w:spacing w:after="0" w:line="17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“FANG.”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400"/>
          </w:cols>
          <w:pgMar w:left="240" w:top="139" w:right="259" w:bottom="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Computershare Trust Company, N.A. is the transfer agent and registrar for our common stock.</w:t>
      </w:r>
    </w:p>
    <w:p>
      <w:pPr>
        <w:sectPr>
          <w:pgSz w:w="11900" w:h="16838" w:orient="portrait"/>
          <w:cols w:equalWidth="0" w:num="1">
            <w:col w:w="9759"/>
          </w:cols>
          <w:pgMar w:left="700" w:top="126"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759"/>
          </w:cols>
          <w:pgMar w:left="700" w:top="126" w:right="1440" w:bottom="1440" w:gutter="0" w:footer="0" w:header="0"/>
          <w:type w:val="continuous"/>
        </w:sectPr>
      </w:pPr>
    </w:p>
    <w:bookmarkStart w:id="173" w:name="page174"/>
    <w:bookmarkEnd w:id="173"/>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O-RSU20-___</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DIAMONDBACK ENERGY, INC.</w:t>
      </w:r>
    </w:p>
    <w:p>
      <w:pPr>
        <w:spacing w:after="0" w:line="28" w:lineRule="exact"/>
        <w:rPr>
          <w:sz w:val="20"/>
          <w:szCs w:val="20"/>
          <w:color w:val="auto"/>
        </w:rPr>
      </w:pPr>
    </w:p>
    <w:p>
      <w:pPr>
        <w:ind w:left="3120" w:right="2660" w:hanging="504"/>
        <w:spacing w:after="0" w:line="283" w:lineRule="auto"/>
        <w:rPr>
          <w:sz w:val="20"/>
          <w:szCs w:val="20"/>
          <w:color w:val="auto"/>
        </w:rPr>
      </w:pPr>
      <w:r>
        <w:rPr>
          <w:rFonts w:ascii="Arial" w:cs="Arial" w:eastAsia="Arial" w:hAnsi="Arial"/>
          <w:sz w:val="21"/>
          <w:szCs w:val="21"/>
          <w:b w:val="1"/>
          <w:bCs w:val="1"/>
          <w:color w:val="auto"/>
        </w:rPr>
        <w:t>2019 AMENDED AND RESTATED EQUITY INCENTIVE PLAN RESTRICTED STOCK UNIT AWARD CERTIFICATE</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THIS IS TO CERTIFY that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has granted you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b w:val="1"/>
          <w:bCs w:val="1"/>
          <w:color w:val="auto"/>
        </w:rPr>
        <w:t>”</w:t>
      </w:r>
      <w:r>
        <w:rPr>
          <w:rFonts w:ascii="Arial" w:cs="Arial" w:eastAsia="Arial" w:hAnsi="Arial"/>
          <w:sz w:val="22"/>
          <w:szCs w:val="22"/>
          <w:color w:val="auto"/>
        </w:rPr>
        <w:t>) hypothetical units of Common Stock (“</w:t>
      </w:r>
      <w:r>
        <w:rPr>
          <w:rFonts w:ascii="Arial" w:cs="Arial" w:eastAsia="Arial" w:hAnsi="Arial"/>
          <w:sz w:val="22"/>
          <w:szCs w:val="22"/>
          <w:b w:val="1"/>
          <w:bCs w:val="1"/>
          <w:i w:val="1"/>
          <w:iCs w:val="1"/>
          <w:color w:val="auto"/>
        </w:rPr>
        <w:t>Restricted Stock Units</w:t>
      </w:r>
      <w:r>
        <w:rPr>
          <w:rFonts w:ascii="Arial" w:cs="Arial" w:eastAsia="Arial" w:hAnsi="Arial"/>
          <w:sz w:val="22"/>
          <w:szCs w:val="22"/>
          <w:color w:val="auto"/>
        </w:rPr>
        <w:t xml:space="preserve">”) under the Company’s 2019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as follows:</w:t>
      </w:r>
    </w:p>
    <w:p>
      <w:pPr>
        <w:sectPr>
          <w:pgSz w:w="11900" w:h="16927" w:orient="portrait"/>
          <w:cols w:equalWidth="0" w:num="1">
            <w:col w:w="11420"/>
          </w:cols>
          <w:pgMar w:left="240" w:top="594" w:right="239" w:bottom="0" w:gutter="0" w:footer="0" w:header="0"/>
        </w:sectPr>
      </w:pPr>
    </w:p>
    <w:p>
      <w:pPr>
        <w:spacing w:after="0" w:line="3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200" w:lineRule="exact"/>
        <w:rPr>
          <w:sz w:val="20"/>
          <w:szCs w:val="20"/>
          <w:color w:val="auto"/>
        </w:rPr>
      </w:pPr>
    </w:p>
    <w:p>
      <w:pPr>
        <w:sectPr>
          <w:pgSz w:w="11900" w:h="16927" w:orient="portrait"/>
          <w:cols w:equalWidth="0" w:num="2">
            <w:col w:w="4360" w:space="720"/>
            <w:col w:w="6340"/>
          </w:cols>
          <w:pgMar w:left="240" w:top="594" w:right="239" w:bottom="0" w:gutter="0" w:footer="0" w:header="0"/>
          <w:type w:val="continuous"/>
        </w:sectPr>
      </w:pPr>
    </w:p>
    <w:p>
      <w:pPr>
        <w:spacing w:after="0" w:line="28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Total Number of Restricted</w:t>
      </w:r>
    </w:p>
    <w:p>
      <w:pPr>
        <w:sectPr>
          <w:pgSz w:w="11900" w:h="16927" w:orient="portrait"/>
          <w:cols w:equalWidth="0" w:num="1">
            <w:col w:w="11420"/>
          </w:cols>
          <w:pgMar w:left="240" w:top="594" w:right="239" w:bottom="0" w:gutter="0" w:footer="0" w:header="0"/>
          <w:type w:val="continuous"/>
        </w:sectPr>
      </w:pPr>
    </w:p>
    <w:p>
      <w:pPr>
        <w:spacing w:after="0" w:line="7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Stock Units Granted: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_____________</w:t>
      </w:r>
    </w:p>
    <w:p>
      <w:pPr>
        <w:spacing w:after="0" w:line="200" w:lineRule="exact"/>
        <w:rPr>
          <w:sz w:val="20"/>
          <w:szCs w:val="20"/>
          <w:color w:val="auto"/>
        </w:rPr>
      </w:pPr>
    </w:p>
    <w:p>
      <w:pPr>
        <w:sectPr>
          <w:pgSz w:w="11900" w:h="16927" w:orient="portrait"/>
          <w:cols w:equalWidth="0" w:num="2">
            <w:col w:w="4360" w:space="720"/>
            <w:col w:w="6340"/>
          </w:cols>
          <w:pgMar w:left="240" w:top="594" w:right="239" w:bottom="0" w:gutter="0" w:footer="0" w:header="0"/>
          <w:type w:val="continuous"/>
        </w:sectPr>
      </w:pPr>
    </w:p>
    <w:p>
      <w:pPr>
        <w:spacing w:after="0" w:line="28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________, 2020</w:t>
      </w:r>
    </w:p>
    <w:p>
      <w:pPr>
        <w:spacing w:after="0" w:line="200" w:lineRule="exact"/>
        <w:rPr>
          <w:sz w:val="20"/>
          <w:szCs w:val="20"/>
          <w:color w:val="auto"/>
        </w:rPr>
      </w:pPr>
    </w:p>
    <w:p>
      <w:pPr>
        <w:sectPr>
          <w:pgSz w:w="11900" w:h="16927" w:orient="portrait"/>
          <w:cols w:equalWidth="0" w:num="2">
            <w:col w:w="4360" w:space="720"/>
            <w:col w:w="6340"/>
          </w:cols>
          <w:pgMar w:left="240" w:top="594" w:right="239" w:bottom="0" w:gutter="0" w:footer="0" w:header="0"/>
          <w:type w:val="continuous"/>
        </w:sectPr>
      </w:pPr>
    </w:p>
    <w:p>
      <w:pPr>
        <w:spacing w:after="0" w:line="284" w:lineRule="exact"/>
        <w:rPr>
          <w:sz w:val="20"/>
          <w:szCs w:val="20"/>
          <w:color w:val="auto"/>
        </w:rPr>
      </w:pPr>
    </w:p>
    <w:p>
      <w:pPr>
        <w:jc w:val="both"/>
        <w:ind w:left="5080" w:right="340" w:hanging="4388"/>
        <w:spacing w:after="0"/>
        <w:rPr>
          <w:sz w:val="20"/>
          <w:szCs w:val="20"/>
          <w:color w:val="auto"/>
        </w:rPr>
      </w:pPr>
      <w:r>
        <w:rPr>
          <w:rFonts w:ascii="Arial" w:cs="Arial" w:eastAsia="Arial" w:hAnsi="Arial"/>
          <w:sz w:val="22"/>
          <w:szCs w:val="22"/>
          <w:color w:val="auto"/>
        </w:rPr>
        <w:t>Vesting Schedule and Payment/Settlement Dates: Shares of common stock will vest on the Vesting Dates specified below and will be settled within 10 business days after each Vesting Date specified below.</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1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5"/>
              </w:rPr>
              <w:t>Vesting Date</w:t>
            </w:r>
          </w:p>
        </w:tc>
        <w:tc>
          <w:tcPr>
            <w:tcW w:w="1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 Vested Shares</w:t>
            </w:r>
          </w:p>
        </w:tc>
      </w:tr>
      <w:tr>
        <w:trPr>
          <w:trHeight w:val="409"/>
        </w:trPr>
        <w:tc>
          <w:tcPr>
            <w:tcW w:w="2900" w:type="dxa"/>
            <w:vAlign w:val="bottom"/>
            <w:gridSpan w:val="2"/>
          </w:tcPr>
          <w:p>
            <w:pPr>
              <w:spacing w:after="0"/>
              <w:rPr>
                <w:sz w:val="20"/>
                <w:szCs w:val="20"/>
                <w:color w:val="auto"/>
              </w:rPr>
            </w:pPr>
            <w:r>
              <w:rPr>
                <w:rFonts w:ascii="Arial" w:cs="Arial" w:eastAsia="Arial" w:hAnsi="Arial"/>
                <w:sz w:val="22"/>
                <w:szCs w:val="22"/>
                <w:color w:val="auto"/>
              </w:rPr>
              <w:t>________, 2020</w:t>
            </w:r>
          </w:p>
        </w:tc>
        <w:tc>
          <w:tcPr>
            <w:tcW w:w="2920" w:type="dxa"/>
            <w:vAlign w:val="bottom"/>
            <w:gridSpan w:val="2"/>
          </w:tcPr>
          <w:p>
            <w:pPr>
              <w:ind w:left="1480"/>
              <w:spacing w:after="0"/>
              <w:rPr>
                <w:sz w:val="20"/>
                <w:szCs w:val="20"/>
                <w:color w:val="auto"/>
              </w:rPr>
            </w:pPr>
            <w:r>
              <w:rPr>
                <w:rFonts w:ascii="Arial" w:cs="Arial" w:eastAsia="Arial" w:hAnsi="Arial"/>
                <w:sz w:val="22"/>
                <w:szCs w:val="22"/>
                <w:color w:val="auto"/>
              </w:rPr>
              <w:t>_______</w:t>
            </w:r>
          </w:p>
        </w:tc>
      </w:tr>
      <w:tr>
        <w:trPr>
          <w:trHeight w:val="297"/>
        </w:trPr>
        <w:tc>
          <w:tcPr>
            <w:tcW w:w="2900" w:type="dxa"/>
            <w:vAlign w:val="bottom"/>
            <w:gridSpan w:val="2"/>
          </w:tcPr>
          <w:p>
            <w:pPr>
              <w:spacing w:after="0"/>
              <w:rPr>
                <w:sz w:val="20"/>
                <w:szCs w:val="20"/>
                <w:color w:val="auto"/>
              </w:rPr>
            </w:pPr>
            <w:r>
              <w:rPr>
                <w:rFonts w:ascii="Arial" w:cs="Arial" w:eastAsia="Arial" w:hAnsi="Arial"/>
                <w:sz w:val="22"/>
                <w:szCs w:val="22"/>
                <w:color w:val="auto"/>
              </w:rPr>
              <w:t>________, 2021</w:t>
            </w:r>
          </w:p>
        </w:tc>
        <w:tc>
          <w:tcPr>
            <w:tcW w:w="2920" w:type="dxa"/>
            <w:vAlign w:val="bottom"/>
            <w:gridSpan w:val="2"/>
          </w:tcPr>
          <w:p>
            <w:pPr>
              <w:ind w:left="1480"/>
              <w:spacing w:after="0"/>
              <w:rPr>
                <w:sz w:val="20"/>
                <w:szCs w:val="20"/>
                <w:color w:val="auto"/>
              </w:rPr>
            </w:pPr>
            <w:r>
              <w:rPr>
                <w:rFonts w:ascii="Arial" w:cs="Arial" w:eastAsia="Arial" w:hAnsi="Arial"/>
                <w:sz w:val="22"/>
                <w:szCs w:val="22"/>
                <w:color w:val="auto"/>
              </w:rPr>
              <w:t>_______</w:t>
            </w:r>
          </w:p>
        </w:tc>
      </w:tr>
      <w:tr>
        <w:trPr>
          <w:trHeight w:val="297"/>
        </w:trPr>
        <w:tc>
          <w:tcPr>
            <w:tcW w:w="2900" w:type="dxa"/>
            <w:vAlign w:val="bottom"/>
            <w:gridSpan w:val="2"/>
          </w:tcPr>
          <w:p>
            <w:pPr>
              <w:spacing w:after="0"/>
              <w:rPr>
                <w:sz w:val="20"/>
                <w:szCs w:val="20"/>
                <w:color w:val="auto"/>
              </w:rPr>
            </w:pPr>
            <w:r>
              <w:rPr>
                <w:rFonts w:ascii="Arial" w:cs="Arial" w:eastAsia="Arial" w:hAnsi="Arial"/>
                <w:sz w:val="22"/>
                <w:szCs w:val="22"/>
                <w:color w:val="auto"/>
              </w:rPr>
              <w:t>________, 2022</w:t>
            </w:r>
          </w:p>
        </w:tc>
        <w:tc>
          <w:tcPr>
            <w:tcW w:w="2920" w:type="dxa"/>
            <w:vAlign w:val="bottom"/>
            <w:gridSpan w:val="2"/>
          </w:tcPr>
          <w:p>
            <w:pPr>
              <w:ind w:left="1480"/>
              <w:spacing w:after="0"/>
              <w:rPr>
                <w:sz w:val="20"/>
                <w:szCs w:val="20"/>
                <w:color w:val="auto"/>
              </w:rPr>
            </w:pPr>
            <w:r>
              <w:rPr>
                <w:rFonts w:ascii="Arial" w:cs="Arial" w:eastAsia="Arial" w:hAnsi="Arial"/>
                <w:sz w:val="22"/>
                <w:szCs w:val="22"/>
                <w:color w:val="auto"/>
              </w:rPr>
              <w:t>_______</w:t>
            </w:r>
          </w:p>
        </w:tc>
      </w:tr>
    </w:tbl>
    <w:p>
      <w:pPr>
        <w:spacing w:after="0" w:line="3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ectPr>
          <w:pgSz w:w="11900" w:h="16927" w:orient="portrait"/>
          <w:cols w:equalWidth="0" w:num="1">
            <w:col w:w="11420"/>
          </w:cols>
          <w:pgMar w:left="240" w:top="594" w:right="239" w:bottom="0" w:gutter="0" w:footer="0" w:header="0"/>
          <w:type w:val="continuous"/>
        </w:sect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DIAMONDBACK ENERGY, INC.</w:t>
      </w:r>
    </w:p>
    <w:p>
      <w:pPr>
        <w:spacing w:after="0" w:line="200" w:lineRule="exact"/>
        <w:rPr>
          <w:sz w:val="20"/>
          <w:szCs w:val="20"/>
          <w:color w:val="auto"/>
        </w:rPr>
      </w:pPr>
    </w:p>
    <w:p>
      <w:pPr>
        <w:sectPr>
          <w:pgSz w:w="11900" w:h="16927" w:orient="portrait"/>
          <w:cols w:equalWidth="0" w:num="2">
            <w:col w:w="4580" w:space="720"/>
            <w:col w:w="6120"/>
          </w:cols>
          <w:pgMar w:left="240" w:top="594" w:right="239" w:bottom="0" w:gutter="0" w:footer="0" w:header="0"/>
          <w:type w:val="continuous"/>
        </w:sectPr>
      </w:pPr>
    </w:p>
    <w:p>
      <w:pPr>
        <w:spacing w:after="0" w:line="294"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By:</w:t>
      </w:r>
    </w:p>
    <w:p>
      <w:pPr>
        <w:sectPr>
          <w:pgSz w:w="11900" w:h="16927" w:orient="portrait"/>
          <w:cols w:equalWidth="0" w:num="1">
            <w:col w:w="11420"/>
          </w:cols>
          <w:pgMar w:left="240" w:top="594" w:right="239" w:bottom="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Dated: ______ __, 2020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Travis D. Stice, Chief Executive Officer</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Dated: _____ __, 2020</w:t>
      </w:r>
    </w:p>
    <w:p>
      <w:pPr>
        <w:spacing w:after="0" w:line="408" w:lineRule="exact"/>
        <w:rPr>
          <w:sz w:val="20"/>
          <w:szCs w:val="20"/>
          <w:color w:val="auto"/>
        </w:rPr>
      </w:pPr>
    </w:p>
    <w:p>
      <w:pPr>
        <w:sectPr>
          <w:pgSz w:w="11900" w:h="16927" w:orient="portrait"/>
          <w:cols w:equalWidth="0" w:num="3">
            <w:col w:w="340" w:space="20"/>
            <w:col w:w="4560" w:space="720"/>
            <w:col w:w="5780"/>
          </w:cols>
          <w:pgMar w:left="240" w:top="594" w:right="239" w:bottom="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DIAMONDBACK ENERGY, INC.</w:t>
      </w:r>
    </w:p>
    <w:p>
      <w:pPr>
        <w:spacing w:after="0" w:line="28" w:lineRule="exact"/>
        <w:rPr>
          <w:sz w:val="20"/>
          <w:szCs w:val="20"/>
          <w:color w:val="auto"/>
        </w:rPr>
      </w:pPr>
    </w:p>
    <w:p>
      <w:pPr>
        <w:ind w:left="3160" w:right="2660" w:hanging="534"/>
        <w:spacing w:after="0" w:line="283" w:lineRule="auto"/>
        <w:rPr>
          <w:sz w:val="20"/>
          <w:szCs w:val="20"/>
          <w:color w:val="auto"/>
        </w:rPr>
      </w:pPr>
      <w:r>
        <w:rPr>
          <w:rFonts w:ascii="Arial" w:cs="Arial" w:eastAsia="Arial" w:hAnsi="Arial"/>
          <w:sz w:val="21"/>
          <w:szCs w:val="21"/>
          <w:b w:val="1"/>
          <w:bCs w:val="1"/>
          <w:color w:val="auto"/>
        </w:rPr>
        <w:t>2019 AMENDED AND RESTATED EQUITY INCENTIVE PLAN RESTRICTED STOCK UNIT AWARD AGREEMENT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xml:space="preserve">”), is made and entered into on the execution date of the Restricted Stock Unit Award Certificate to which it is attached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Certificate</w:t>
      </w:r>
      <w:r>
        <w:rPr>
          <w:rFonts w:ascii="Arial" w:cs="Arial" w:eastAsia="Arial" w:hAnsi="Arial"/>
          <w:sz w:val="22"/>
          <w:szCs w:val="22"/>
          <w:b w:val="1"/>
          <w:bCs w:val="1"/>
          <w:color w:val="auto"/>
        </w:rPr>
        <w:t>”</w:t>
      </w:r>
      <w:r>
        <w:rPr>
          <w:rFonts w:ascii="Arial" w:cs="Arial" w:eastAsia="Arial" w:hAnsi="Arial"/>
          <w:sz w:val="22"/>
          <w:szCs w:val="22"/>
          <w:color w:val="auto"/>
        </w:rPr>
        <w:t xml:space="preserve">), by and between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named in the Certificate.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Pursuant to the Diamondback Energy, Inc. 2019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the Administrator has authorized the grant to Participant of the number of Restricted Stock Units set forth in the Certificate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upon the terms and subject to the conditions set forth in this Agreement and in the Plan. Capitalized terms not otherwise defined herein have the meanings ascribed to them in the Plan.</w:t>
      </w:r>
    </w:p>
    <w:p>
      <w:pPr>
        <w:spacing w:after="0" w:line="18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premises and the benefits to be derived from the mutual observance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and promises contained herein and other good and valuable consideration, the sufficiency of which is hereby</w:t>
      </w:r>
    </w:p>
    <w:p>
      <w:pPr>
        <w:sectPr>
          <w:pgSz w:w="11900" w:h="16927" w:orient="portrait"/>
          <w:cols w:equalWidth="0" w:num="1">
            <w:col w:w="11420"/>
          </w:cols>
          <w:pgMar w:left="240" w:top="594" w:right="239" w:bottom="0" w:gutter="0" w:footer="0" w:header="0"/>
          <w:type w:val="continuous"/>
        </w:sectPr>
      </w:pPr>
    </w:p>
    <w:bookmarkStart w:id="174" w:name="page175"/>
    <w:bookmarkEnd w:id="174"/>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acknowledged, the parties hereto agree as follows:</w:t>
      </w:r>
    </w:p>
    <w:p>
      <w:pPr>
        <w:spacing w:after="0" w:line="214" w:lineRule="exact"/>
        <w:rPr>
          <w:sz w:val="20"/>
          <w:szCs w:val="20"/>
          <w:color w:val="auto"/>
        </w:rPr>
      </w:pPr>
    </w:p>
    <w:p>
      <w:pPr>
        <w:jc w:val="both"/>
        <w:ind w:firstLine="656"/>
        <w:spacing w:after="0" w:line="252" w:lineRule="auto"/>
        <w:tabs>
          <w:tab w:leader="none" w:pos="1134"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7.1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80"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color w:val="000000"/>
        </w:rPr>
        <w:t>The Company hereby grants to Participant the number of Restricted Stock Units set forth in the Certificate.</w:t>
      </w:r>
      <w:r>
        <w:rPr>
          <w:rFonts w:ascii="Arial" w:cs="Arial" w:eastAsia="Arial" w:hAnsi="Arial"/>
          <w:sz w:val="22"/>
          <w:szCs w:val="22"/>
          <w:color w:val="010000"/>
        </w:rPr>
        <w:t xml:space="preserve"> </w:t>
      </w:r>
      <w:r>
        <w:rPr>
          <w:rFonts w:ascii="Arial" w:cs="Arial" w:eastAsia="Arial" w:hAnsi="Arial"/>
          <w:sz w:val="22"/>
          <w:szCs w:val="22"/>
          <w:color w:val="000000"/>
        </w:rPr>
        <w:t>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The Company will, in accordance with the Plan, establish and maintain an account (the “</w:t>
      </w:r>
      <w:r>
        <w:rPr>
          <w:rFonts w:ascii="Arial" w:cs="Arial" w:eastAsia="Arial" w:hAnsi="Arial"/>
          <w:sz w:val="22"/>
          <w:szCs w:val="22"/>
          <w:b w:val="1"/>
          <w:bCs w:val="1"/>
          <w:i w:val="1"/>
          <w:iCs w:val="1"/>
          <w:color w:val="000000"/>
        </w:rPr>
        <w:t>Restricted Stock Unit</w:t>
      </w:r>
      <w:r>
        <w:rPr>
          <w:rFonts w:ascii="Arial" w:cs="Arial" w:eastAsia="Arial" w:hAnsi="Arial"/>
          <w:sz w:val="22"/>
          <w:szCs w:val="22"/>
          <w:color w:val="010000"/>
        </w:rPr>
        <w:t xml:space="preserve"> </w:t>
      </w:r>
      <w:r>
        <w:rPr>
          <w:rFonts w:ascii="Arial" w:cs="Arial" w:eastAsia="Arial" w:hAnsi="Arial"/>
          <w:sz w:val="22"/>
          <w:szCs w:val="22"/>
          <w:b w:val="1"/>
          <w:bCs w:val="1"/>
          <w:i w:val="1"/>
          <w:iCs w:val="1"/>
          <w:color w:val="000000"/>
        </w:rPr>
        <w:t>Account</w:t>
      </w:r>
      <w:r>
        <w:rPr>
          <w:rFonts w:ascii="Arial" w:cs="Arial" w:eastAsia="Arial" w:hAnsi="Arial"/>
          <w:sz w:val="22"/>
          <w:szCs w:val="22"/>
          <w:color w:val="000000"/>
        </w:rPr>
        <w:t>”) for Participant, and will credit such account for the number of Restricted Stock Units granted to Participant and any</w:t>
      </w:r>
      <w:r>
        <w:rPr>
          <w:rFonts w:ascii="Arial" w:cs="Arial" w:eastAsia="Arial" w:hAnsi="Arial"/>
          <w:sz w:val="22"/>
          <w:szCs w:val="22"/>
          <w:b w:val="1"/>
          <w:bCs w:val="1"/>
          <w:i w:val="1"/>
          <w:iCs w:val="1"/>
          <w:color w:val="000000"/>
        </w:rPr>
        <w:t xml:space="preserve"> </w:t>
      </w:r>
      <w:r>
        <w:rPr>
          <w:rFonts w:ascii="Arial" w:cs="Arial" w:eastAsia="Arial" w:hAnsi="Arial"/>
          <w:sz w:val="22"/>
          <w:szCs w:val="22"/>
          <w:color w:val="000000"/>
        </w:rPr>
        <w:t>Dividend Equivalents as provided in Section 4 below. On any given date, the value of each Restricted Stock Unit will equal the Fair Market Value on such date of one share of Common Stock.</w:t>
      </w:r>
    </w:p>
    <w:p>
      <w:pPr>
        <w:spacing w:after="0" w:line="182" w:lineRule="exact"/>
        <w:rPr>
          <w:sz w:val="20"/>
          <w:szCs w:val="20"/>
          <w:color w:val="auto"/>
        </w:rPr>
      </w:pPr>
    </w:p>
    <w:p>
      <w:pPr>
        <w:ind w:left="1040" w:hanging="384"/>
        <w:spacing w:after="0"/>
        <w:tabs>
          <w:tab w:leader="none" w:pos="1040" w:val="left"/>
        </w:tabs>
        <w:numPr>
          <w:ilvl w:val="0"/>
          <w:numId w:val="54"/>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2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color w:val="000000"/>
        </w:rPr>
        <w:t>The Restricted Stock Units will vest pursuant to the Vesting Schedule set forth in the Certificate. Except as</w:t>
      </w:r>
      <w:r>
        <w:rPr>
          <w:rFonts w:ascii="Arial" w:cs="Arial" w:eastAsia="Arial" w:hAnsi="Arial"/>
          <w:sz w:val="19"/>
          <w:szCs w:val="19"/>
          <w:color w:val="010000"/>
        </w:rPr>
        <w:t xml:space="preserve"> </w:t>
      </w:r>
      <w:r>
        <w:rPr>
          <w:rFonts w:ascii="Arial" w:cs="Arial" w:eastAsia="Arial" w:hAnsi="Arial"/>
          <w:sz w:val="19"/>
          <w:szCs w:val="19"/>
          <w:color w:val="000000"/>
        </w:rPr>
        <w:t>otherwise provided in an employment agreement, severance plan participation agreement or other service agreement between the Participant and the Company or an Affiliate (a “</w:t>
      </w:r>
      <w:r>
        <w:rPr>
          <w:rFonts w:ascii="Arial" w:cs="Arial" w:eastAsia="Arial" w:hAnsi="Arial"/>
          <w:sz w:val="19"/>
          <w:szCs w:val="19"/>
          <w:b w:val="1"/>
          <w:bCs w:val="1"/>
          <w:i w:val="1"/>
          <w:iCs w:val="1"/>
          <w:color w:val="000000"/>
        </w:rPr>
        <w:t>Service Agreement</w:t>
      </w:r>
      <w:r>
        <w:rPr>
          <w:rFonts w:ascii="Arial" w:cs="Arial" w:eastAsia="Arial" w:hAnsi="Arial"/>
          <w:sz w:val="19"/>
          <w:szCs w:val="19"/>
          <w:color w:val="000000"/>
        </w:rPr>
        <w:t>”)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50"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Except as otherwise provided in a Service Agreement, in the event of Participant’s involuntary termination of</w:t>
      </w:r>
      <w:r>
        <w:rPr>
          <w:rFonts w:ascii="Arial" w:cs="Arial" w:eastAsia="Arial" w:hAnsi="Arial"/>
          <w:sz w:val="19"/>
          <w:szCs w:val="19"/>
          <w:color w:val="010000"/>
        </w:rPr>
        <w:t xml:space="preserve"> </w:t>
      </w:r>
      <w:r>
        <w:rPr>
          <w:rFonts w:ascii="Arial" w:cs="Arial" w:eastAsia="Arial" w:hAnsi="Arial"/>
          <w:sz w:val="19"/>
          <w:szCs w:val="19"/>
          <w:color w:val="000000"/>
        </w:rPr>
        <w:t>employment (other than for Cause, or on account of death or Disability) or resignation for Good Reason, in either case, in connection with the consummation of or within 24 months after the occurrence of a Change in Control (as defined in the Plan),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with respect to any Restricted Stock Units then outstanding under this Award, the Restricted Stock Units, including any unpaid Dividend Equivalents credited to the Restricted Stock Unit Account, will vest immediately upon the occurrence of an Acceleration Event and will be settled upon the consummation of such Acceleration Event.</w:t>
      </w:r>
    </w:p>
    <w:p>
      <w:pPr>
        <w:spacing w:after="0" w:line="15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color w:val="000000"/>
        </w:rPr>
        <w:t>Except as otherwise provided in a Service Agreement, in the event of the Participant’s death or Disability</w:t>
      </w:r>
      <w:r>
        <w:rPr>
          <w:rFonts w:ascii="Arial" w:cs="Arial" w:eastAsia="Arial" w:hAnsi="Arial"/>
          <w:sz w:val="19"/>
          <w:szCs w:val="19"/>
          <w:color w:val="010000"/>
        </w:rPr>
        <w:t xml:space="preserve"> </w:t>
      </w:r>
      <w:r>
        <w:rPr>
          <w:rFonts w:ascii="Arial" w:cs="Arial" w:eastAsia="Arial" w:hAnsi="Arial"/>
          <w:sz w:val="19"/>
          <w:szCs w:val="19"/>
          <w:color w:val="000000"/>
        </w:rPr>
        <w:t>during a period of Continuous Service, the deceased or Disabled Participant’s Restricted Stock Units, including any unpaid Dividend Equivalents credited to the Restricted Stock Unit Account, will become 100% vested. Participant’s Restricted Stock Units and unpaid Dividend Equivalents will be settled and paid in full within 10 business days following the date of vesting.</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Service Agreement provides for acceleration of vesting of any or all unvested Restricted</w:t>
      </w:r>
      <w:r>
        <w:rPr>
          <w:rFonts w:ascii="Arial" w:cs="Arial" w:eastAsia="Arial" w:hAnsi="Arial"/>
          <w:sz w:val="22"/>
          <w:szCs w:val="22"/>
          <w:color w:val="010000"/>
        </w:rPr>
        <w:t xml:space="preserve"> </w:t>
      </w:r>
      <w:r>
        <w:rPr>
          <w:rFonts w:ascii="Arial" w:cs="Arial" w:eastAsia="Arial" w:hAnsi="Arial"/>
          <w:sz w:val="22"/>
          <w:szCs w:val="22"/>
          <w:color w:val="000000"/>
        </w:rPr>
        <w:t>Stock Units on termination of Continuous Service that is more favorable to Participant than the provisions of this Agreement, such provisions are incorporated by reference in this Agreement.</w:t>
      </w:r>
    </w:p>
    <w:p>
      <w:pPr>
        <w:spacing w:after="0" w:line="18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color w:val="000000"/>
        </w:rPr>
        <w:t>For purposes of this Agreement, “</w:t>
      </w:r>
      <w:r>
        <w:rPr>
          <w:rFonts w:ascii="Arial" w:cs="Arial" w:eastAsia="Arial" w:hAnsi="Arial"/>
          <w:sz w:val="19"/>
          <w:szCs w:val="19"/>
          <w:b w:val="1"/>
          <w:bCs w:val="1"/>
          <w:i w:val="1"/>
          <w:iCs w:val="1"/>
          <w:color w:val="000000"/>
        </w:rPr>
        <w:t>Good Reason</w:t>
      </w:r>
      <w:r>
        <w:rPr>
          <w:rFonts w:ascii="Arial" w:cs="Arial" w:eastAsia="Arial" w:hAnsi="Arial"/>
          <w:sz w:val="19"/>
          <w:szCs w:val="19"/>
          <w:color w:val="000000"/>
        </w:rPr>
        <w:t>” means Participant’s resignation in the event of any (a)</w:t>
      </w:r>
      <w:r>
        <w:rPr>
          <w:rFonts w:ascii="Arial" w:cs="Arial" w:eastAsia="Arial" w:hAnsi="Arial"/>
          <w:sz w:val="19"/>
          <w:szCs w:val="19"/>
          <w:color w:val="010000"/>
        </w:rPr>
        <w:t xml:space="preserve"> </w:t>
      </w:r>
      <w:r>
        <w:rPr>
          <w:rFonts w:ascii="Arial" w:cs="Arial" w:eastAsia="Arial" w:hAnsi="Arial"/>
          <w:sz w:val="19"/>
          <w:szCs w:val="19"/>
          <w:color w:val="000000"/>
        </w:rPr>
        <w:t>material reduction in Participant’s base salary, bonus opportunity or severance benefits; (b) relocation of Participant’s principal office more than 25 miles from the current location, or (c) material diminution in the Participant’s position, duties, reporting relationship or authority, which in any case is not cured within thirty (30) business days after written notice thereof by you to the Board (which notice must be provided by you to the Company within 90 days following the initial occurrence of such event) and an opportunity to cure within the notice period (the “</w:t>
      </w:r>
      <w:r>
        <w:rPr>
          <w:rFonts w:ascii="Arial" w:cs="Arial" w:eastAsia="Arial" w:hAnsi="Arial"/>
          <w:sz w:val="19"/>
          <w:szCs w:val="19"/>
          <w:b w:val="1"/>
          <w:bCs w:val="1"/>
          <w:i w:val="1"/>
          <w:iCs w:val="1"/>
          <w:color w:val="000000"/>
        </w:rPr>
        <w:t>Cure Period</w:t>
      </w:r>
      <w:r>
        <w:rPr>
          <w:rFonts w:ascii="Arial" w:cs="Arial" w:eastAsia="Arial" w:hAnsi="Arial"/>
          <w:sz w:val="19"/>
          <w:szCs w:val="19"/>
          <w:color w:val="000000"/>
        </w:rPr>
        <w:t>”). Resignation by the Participant following the Employer’s cure or before the expiration of the Cure Period will constitute a voluntary resignation and not a termination or resignation for Good Reason and will not entitle the Participant to any benefits under this Plan. Any termination on account of a Good Reason Resignation must occur within 120 days following the initial occurrence of such event.</w:t>
      </w:r>
    </w:p>
    <w:p>
      <w:pPr>
        <w:spacing w:after="0" w:line="152" w:lineRule="exact"/>
        <w:rPr>
          <w:sz w:val="20"/>
          <w:szCs w:val="20"/>
          <w:color w:val="auto"/>
        </w:rPr>
      </w:pPr>
    </w:p>
    <w:p>
      <w:pPr>
        <w:jc w:val="both"/>
        <w:ind w:firstLine="656"/>
        <w:spacing w:after="0" w:line="261" w:lineRule="auto"/>
        <w:tabs>
          <w:tab w:leader="none" w:pos="1026" w:val="left"/>
        </w:tabs>
        <w:numPr>
          <w:ilvl w:val="0"/>
          <w:numId w:val="55"/>
        </w:numPr>
        <w:rPr>
          <w:rFonts w:ascii="Arial" w:cs="Arial" w:eastAsia="Arial" w:hAnsi="Arial"/>
          <w:sz w:val="21"/>
          <w:szCs w:val="21"/>
          <w:b w:val="1"/>
          <w:bCs w:val="1"/>
          <w:color w:val="010000"/>
        </w:rPr>
      </w:pPr>
      <w:r>
        <w:rPr>
          <w:rFonts w:ascii="Arial" w:cs="Arial" w:eastAsia="Arial" w:hAnsi="Arial"/>
          <w:sz w:val="21"/>
          <w:szCs w:val="21"/>
          <w:b w:val="1"/>
          <w:bCs w:val="1"/>
          <w:color w:val="auto"/>
        </w:rPr>
        <w:t>Dividend Equivalents</w:t>
      </w:r>
      <w:r>
        <w:rPr>
          <w:rFonts w:ascii="Arial" w:cs="Arial" w:eastAsia="Arial" w:hAnsi="Arial"/>
          <w:sz w:val="21"/>
          <w:szCs w:val="21"/>
          <w:color w:val="auto"/>
        </w:rPr>
        <w:t>. If the Company pays any cash dividend on its outstanding Common Stock for which the record</w:t>
      </w:r>
      <w:r>
        <w:rPr>
          <w:rFonts w:ascii="Arial" w:cs="Arial" w:eastAsia="Arial" w:hAnsi="Arial"/>
          <w:sz w:val="21"/>
          <w:szCs w:val="21"/>
          <w:b w:val="1"/>
          <w:bCs w:val="1"/>
          <w:color w:val="auto"/>
        </w:rPr>
        <w:t xml:space="preserve"> </w:t>
      </w:r>
      <w:r>
        <w:rPr>
          <w:rFonts w:ascii="Arial" w:cs="Arial" w:eastAsia="Arial" w:hAnsi="Arial"/>
          <w:sz w:val="21"/>
          <w:szCs w:val="21"/>
          <w:color w:val="auto"/>
        </w:rPr>
        <w:t>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Arial" w:cs="Arial" w:eastAsia="Arial" w:hAnsi="Arial"/>
          <w:sz w:val="21"/>
          <w:szCs w:val="21"/>
          <w:b w:val="1"/>
          <w:bCs w:val="1"/>
          <w:i w:val="1"/>
          <w:iCs w:val="1"/>
          <w:color w:val="auto"/>
        </w:rPr>
        <w:t>Dividend Equivalents</w:t>
      </w:r>
      <w:r>
        <w:rPr>
          <w:rFonts w:ascii="Arial" w:cs="Arial" w:eastAsia="Arial" w:hAnsi="Arial"/>
          <w:sz w:val="21"/>
          <w:szCs w:val="21"/>
          <w:color w:val="auto"/>
        </w:rPr>
        <w:t>”). Except as otherwise provided in Section 3, Dividend Equivalents will vest and be paid to the Participant on the dividend payment date if Participant is in Continuous Service on the dividend payment date declared by the Company.</w:t>
      </w:r>
    </w:p>
    <w:p>
      <w:pPr>
        <w:spacing w:after="0" w:line="174" w:lineRule="exact"/>
        <w:rPr>
          <w:rFonts w:ascii="Arial" w:cs="Arial" w:eastAsia="Arial" w:hAnsi="Arial"/>
          <w:sz w:val="21"/>
          <w:szCs w:val="21"/>
          <w:b w:val="1"/>
          <w:bCs w:val="1"/>
          <w:color w:val="010000"/>
        </w:rPr>
      </w:pPr>
    </w:p>
    <w:p>
      <w:pPr>
        <w:jc w:val="both"/>
        <w:ind w:firstLine="656"/>
        <w:spacing w:after="0" w:line="304" w:lineRule="auto"/>
        <w:tabs>
          <w:tab w:leader="none" w:pos="1175" w:val="left"/>
        </w:tabs>
        <w:numPr>
          <w:ilvl w:val="0"/>
          <w:numId w:val="55"/>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that Payment/Settlement Date (and upon such settlement, the Restricted Stock Units will cease to be credited to the Restricted Stock Unit Account). If the Certificate does not</w:t>
      </w:r>
    </w:p>
    <w:p>
      <w:pPr>
        <w:sectPr>
          <w:pgSz w:w="11900" w:h="16856" w:orient="portrait"/>
          <w:cols w:equalWidth="0" w:num="1">
            <w:col w:w="11420"/>
          </w:cols>
          <w:pgMar w:left="240" w:top="132" w:right="239" w:bottom="0" w:gutter="0" w:footer="0" w:header="0"/>
        </w:sectPr>
      </w:pPr>
    </w:p>
    <w:bookmarkStart w:id="175" w:name="page176"/>
    <w:bookmarkEnd w:id="175"/>
    <w:p>
      <w:pPr>
        <w:jc w:val="both"/>
        <w:spacing w:after="0" w:line="288" w:lineRule="auto"/>
        <w:rPr>
          <w:sz w:val="20"/>
          <w:szCs w:val="20"/>
          <w:color w:val="auto"/>
        </w:rPr>
      </w:pPr>
      <w:r>
        <w:rPr>
          <w:rFonts w:ascii="Arial" w:cs="Arial" w:eastAsia="Arial" w:hAnsi="Arial"/>
          <w:sz w:val="19"/>
          <w:szCs w:val="19"/>
          <w:color w:val="auto"/>
        </w:rPr>
        <w:t>specify a Payment/Settlement Date, the applicable Payment/Settlement Date will be within 10 business days after each vesting date set forth in the Vesting Schedule. If an Acceleration Event occurs, the Payment/Settlement Date will be the date the Acceleration Event occurs. The Administrator will enter Participant’s name as a stockholder of record with respect to such shares of Common Stock on the books of the Company with respect to the shares of Common Stock issued on that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 Dividend Equivalents will vest and be paid to the Participant on the dividend payment date if Participant is in Continuous Service on the dividend payment date declared by the Company. To the extent that a Service Agreement provides for acceleration of vesting of any or all unvested Restricted Stock Units on termination of Continuous Service, such provisions are incorporated by reference in this Agreement.</w:t>
      </w:r>
    </w:p>
    <w:p>
      <w:pPr>
        <w:spacing w:after="0" w:line="149" w:lineRule="exact"/>
        <w:rPr>
          <w:sz w:val="20"/>
          <w:szCs w:val="20"/>
          <w:color w:val="auto"/>
        </w:rPr>
      </w:pPr>
    </w:p>
    <w:p>
      <w:pPr>
        <w:jc w:val="both"/>
        <w:ind w:firstLine="656"/>
        <w:spacing w:after="0" w:line="247" w:lineRule="auto"/>
        <w:tabs>
          <w:tab w:leader="none" w:pos="1297"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89"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010000"/>
        </w:rPr>
        <w:t xml:space="preserve">7.1 </w:t>
      </w:r>
      <w:r>
        <w:rPr>
          <w:rFonts w:ascii="Arial" w:cs="Arial" w:eastAsia="Arial" w:hAnsi="Arial"/>
          <w:sz w:val="22"/>
          <w:szCs w:val="22"/>
          <w:color w:val="000000"/>
        </w:rPr>
        <w:t>As a condition to payment under Section 5 hereof, Participant agrees that on or before the date as of which any</w:t>
      </w:r>
      <w:r>
        <w:rPr>
          <w:rFonts w:ascii="Arial" w:cs="Arial" w:eastAsia="Arial" w:hAnsi="Arial"/>
          <w:sz w:val="22"/>
          <w:szCs w:val="22"/>
          <w:color w:val="010000"/>
        </w:rPr>
        <w:t xml:space="preserve"> </w:t>
      </w:r>
      <w:r>
        <w:rPr>
          <w:rFonts w:ascii="Arial" w:cs="Arial" w:eastAsia="Arial" w:hAnsi="Arial"/>
          <w:sz w:val="22"/>
          <w:szCs w:val="22"/>
          <w:color w:val="000000"/>
        </w:rPr>
        <w:t>portion of the Restricted Stock Units vest,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8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color w:val="000000"/>
        </w:rPr>
        <w:t>Participant will pay the amounts due under this Section 7 to the Company. Such amounts will be paid by Stock</w:t>
      </w:r>
      <w:r>
        <w:rPr>
          <w:rFonts w:ascii="Arial" w:cs="Arial" w:eastAsia="Arial" w:hAnsi="Arial"/>
          <w:sz w:val="21"/>
          <w:szCs w:val="21"/>
          <w:color w:val="010000"/>
        </w:rPr>
        <w:t xml:space="preserve"> </w:t>
      </w:r>
      <w:r>
        <w:rPr>
          <w:rFonts w:ascii="Arial" w:cs="Arial" w:eastAsia="Arial" w:hAnsi="Arial"/>
          <w:sz w:val="21"/>
          <w:szCs w:val="21"/>
          <w:color w:val="000000"/>
        </w:rPr>
        <w:t>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the Participant’s written request to withhold more than the required regular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74" w:lineRule="exact"/>
        <w:rPr>
          <w:sz w:val="20"/>
          <w:szCs w:val="20"/>
          <w:color w:val="auto"/>
        </w:rPr>
      </w:pPr>
    </w:p>
    <w:p>
      <w:pPr>
        <w:jc w:val="both"/>
        <w:ind w:firstLine="656"/>
        <w:spacing w:after="0" w:line="248" w:lineRule="auto"/>
        <w:tabs>
          <w:tab w:leader="none" w:pos="1107"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Not Transferrable</w:t>
      </w:r>
      <w:r>
        <w:rPr>
          <w:rFonts w:ascii="Arial" w:cs="Arial" w:eastAsia="Arial" w:hAnsi="Arial"/>
          <w:sz w:val="22"/>
          <w:szCs w:val="22"/>
          <w:color w:val="auto"/>
        </w:rPr>
        <w:t>. Until the applicable Payment/Settlement Date, the Restricted Stock Units, any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87" w:lineRule="exact"/>
        <w:rPr>
          <w:rFonts w:ascii="Arial" w:cs="Arial" w:eastAsia="Arial" w:hAnsi="Arial"/>
          <w:sz w:val="22"/>
          <w:szCs w:val="22"/>
          <w:b w:val="1"/>
          <w:bCs w:val="1"/>
          <w:color w:val="010000"/>
        </w:rPr>
      </w:pPr>
    </w:p>
    <w:p>
      <w:pPr>
        <w:jc w:val="both"/>
        <w:ind w:firstLine="656"/>
        <w:spacing w:after="0" w:line="256" w:lineRule="auto"/>
        <w:tabs>
          <w:tab w:leader="none" w:pos="1067"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176" w:lineRule="exact"/>
        <w:rPr>
          <w:rFonts w:ascii="Arial" w:cs="Arial" w:eastAsia="Arial" w:hAnsi="Arial"/>
          <w:sz w:val="22"/>
          <w:szCs w:val="22"/>
          <w:b w:val="1"/>
          <w:bCs w:val="1"/>
          <w:color w:val="010000"/>
        </w:rPr>
      </w:pPr>
    </w:p>
    <w:p>
      <w:pPr>
        <w:jc w:val="both"/>
        <w:ind w:firstLine="656"/>
        <w:spacing w:after="0" w:line="289" w:lineRule="auto"/>
        <w:tabs>
          <w:tab w:leader="none" w:pos="1148"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Participant’s Representations and Warranties</w:t>
      </w:r>
      <w:r>
        <w:rPr>
          <w:rFonts w:ascii="Arial" w:cs="Arial" w:eastAsia="Arial" w:hAnsi="Arial"/>
          <w:sz w:val="19"/>
          <w:szCs w:val="19"/>
          <w:color w:val="auto"/>
        </w:rPr>
        <w:t>. Participant represents and warrants to the Company that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has received a copy of the Plan, has read and understands the terms of the Plan, the Certificate, and this Agreement, and agrees to be bound by their terms and conditions. Participant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document and the Company’s financial statements and information heretofore filed by the Company with the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200" w:lineRule="exact"/>
        <w:rPr>
          <w:rFonts w:ascii="Arial" w:cs="Arial" w:eastAsia="Arial" w:hAnsi="Arial"/>
          <w:sz w:val="19"/>
          <w:szCs w:val="19"/>
          <w:b w:val="1"/>
          <w:bCs w:val="1"/>
          <w:color w:val="010000"/>
        </w:rPr>
      </w:pPr>
    </w:p>
    <w:p>
      <w:pPr>
        <w:spacing w:after="0" w:line="207" w:lineRule="exact"/>
        <w:rPr>
          <w:rFonts w:ascii="Arial" w:cs="Arial" w:eastAsia="Arial" w:hAnsi="Arial"/>
          <w:sz w:val="19"/>
          <w:szCs w:val="19"/>
          <w:b w:val="1"/>
          <w:bCs w:val="1"/>
          <w:color w:val="010000"/>
        </w:rPr>
      </w:pPr>
    </w:p>
    <w:p>
      <w:pPr>
        <w:jc w:val="both"/>
        <w:ind w:firstLine="656"/>
        <w:spacing w:after="0" w:line="350" w:lineRule="auto"/>
        <w:tabs>
          <w:tab w:leader="none" w:pos="1230"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w:t>
      </w:r>
    </w:p>
    <w:p>
      <w:pPr>
        <w:sectPr>
          <w:pgSz w:w="11900" w:h="16838" w:orient="portrait"/>
          <w:cols w:equalWidth="0" w:num="1">
            <w:col w:w="11420"/>
          </w:cols>
          <w:pgMar w:left="240" w:top="132" w:right="239" w:bottom="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Restricted Stock Unit Account will make Participant only a general, unsecured creditor of the Company.</w:t>
      </w:r>
    </w:p>
    <w:p>
      <w:pPr>
        <w:spacing w:after="0" w:line="214" w:lineRule="exact"/>
        <w:rPr>
          <w:sz w:val="20"/>
          <w:szCs w:val="20"/>
          <w:color w:val="auto"/>
        </w:rPr>
      </w:pPr>
    </w:p>
    <w:p>
      <w:pPr>
        <w:jc w:val="both"/>
        <w:ind w:firstLine="656"/>
        <w:spacing w:after="0" w:line="252" w:lineRule="auto"/>
        <w:tabs>
          <w:tab w:leader="none" w:pos="1148"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 vote</w:t>
      </w:r>
      <w:r>
        <w:rPr>
          <w:rFonts w:ascii="Arial" w:cs="Arial" w:eastAsia="Arial" w:hAnsi="Arial"/>
          <w:sz w:val="22"/>
          <w:szCs w:val="22"/>
          <w:b w:val="1"/>
          <w:bCs w:val="1"/>
          <w:color w:val="auto"/>
        </w:rPr>
        <w:t xml:space="preserve"> </w:t>
      </w:r>
      <w:r>
        <w:rPr>
          <w:rFonts w:ascii="Arial" w:cs="Arial" w:eastAsia="Arial" w:hAnsi="Arial"/>
          <w:sz w:val="22"/>
          <w:szCs w:val="22"/>
          <w:color w:val="auto"/>
        </w:rPr>
        <w:t>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80" w:lineRule="exact"/>
        <w:rPr>
          <w:rFonts w:ascii="Arial" w:cs="Arial" w:eastAsia="Arial" w:hAnsi="Arial"/>
          <w:sz w:val="22"/>
          <w:szCs w:val="22"/>
          <w:b w:val="1"/>
          <w:bCs w:val="1"/>
          <w:color w:val="010000"/>
        </w:rPr>
      </w:pPr>
    </w:p>
    <w:p>
      <w:pPr>
        <w:ind w:left="1140" w:hanging="484"/>
        <w:spacing w:after="0"/>
        <w:tabs>
          <w:tab w:leader="none" w:pos="1140" w:val="left"/>
        </w:tabs>
        <w:numPr>
          <w:ilvl w:val="0"/>
          <w:numId w:val="58"/>
        </w:numPr>
        <w:rPr>
          <w:rFonts w:ascii="Arial" w:cs="Arial" w:eastAsia="Arial" w:hAnsi="Arial"/>
          <w:sz w:val="19"/>
          <w:szCs w:val="19"/>
          <w:b w:val="1"/>
          <w:bCs w:val="1"/>
          <w:color w:val="010000"/>
        </w:rPr>
      </w:pPr>
      <w:r>
        <w:rPr>
          <w:rFonts w:ascii="Arial" w:cs="Arial" w:eastAsia="Arial" w:hAnsi="Arial"/>
          <w:sz w:val="19"/>
          <w:szCs w:val="19"/>
          <w:b w:val="1"/>
          <w:bCs w:val="1"/>
          <w:color w:val="auto"/>
        </w:rPr>
        <w:t>Modification</w:t>
      </w:r>
      <w:r>
        <w:rPr>
          <w:rFonts w:ascii="Arial" w:cs="Arial" w:eastAsia="Arial" w:hAnsi="Arial"/>
          <w:sz w:val="19"/>
          <w:szCs w:val="19"/>
          <w:color w:val="auto"/>
        </w:rPr>
        <w:t>. The Agreement may not be amended or otherwise modified except in writing signed by both parties.</w:t>
      </w:r>
    </w:p>
    <w:p>
      <w:pPr>
        <w:spacing w:after="0" w:line="254" w:lineRule="exact"/>
        <w:rPr>
          <w:rFonts w:ascii="Arial" w:cs="Arial" w:eastAsia="Arial" w:hAnsi="Arial"/>
          <w:sz w:val="19"/>
          <w:szCs w:val="19"/>
          <w:b w:val="1"/>
          <w:bCs w:val="1"/>
          <w:color w:val="010000"/>
        </w:rPr>
      </w:pPr>
    </w:p>
    <w:p>
      <w:pPr>
        <w:jc w:val="both"/>
        <w:ind w:firstLine="656"/>
        <w:spacing w:after="0" w:line="256" w:lineRule="auto"/>
        <w:tabs>
          <w:tab w:leader="none" w:pos="1189"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76" w:lineRule="exact"/>
        <w:rPr>
          <w:rFonts w:ascii="Arial" w:cs="Arial" w:eastAsia="Arial" w:hAnsi="Arial"/>
          <w:sz w:val="22"/>
          <w:szCs w:val="22"/>
          <w:b w:val="1"/>
          <w:bCs w:val="1"/>
          <w:color w:val="010000"/>
        </w:rPr>
      </w:pPr>
    </w:p>
    <w:p>
      <w:pPr>
        <w:jc w:val="both"/>
        <w:ind w:firstLine="656"/>
        <w:spacing w:after="0" w:line="252" w:lineRule="auto"/>
        <w:tabs>
          <w:tab w:leader="none" w:pos="1134"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80" w:lineRule="exact"/>
        <w:rPr>
          <w:rFonts w:ascii="Arial" w:cs="Arial" w:eastAsia="Arial" w:hAnsi="Arial"/>
          <w:sz w:val="22"/>
          <w:szCs w:val="22"/>
          <w:b w:val="1"/>
          <w:bCs w:val="1"/>
          <w:color w:val="010000"/>
        </w:rPr>
      </w:pPr>
    </w:p>
    <w:p>
      <w:pPr>
        <w:jc w:val="both"/>
        <w:ind w:firstLine="656"/>
        <w:spacing w:after="0" w:line="252" w:lineRule="auto"/>
        <w:tabs>
          <w:tab w:leader="none" w:pos="1148"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 bind</w:t>
      </w:r>
      <w:r>
        <w:rPr>
          <w:rFonts w:ascii="Arial" w:cs="Arial" w:eastAsia="Arial" w:hAnsi="Arial"/>
          <w:sz w:val="22"/>
          <w:szCs w:val="22"/>
          <w:b w:val="1"/>
          <w:bCs w:val="1"/>
          <w:color w:val="auto"/>
        </w:rPr>
        <w:t xml:space="preserve"> </w:t>
      </w:r>
      <w:r>
        <w:rPr>
          <w:rFonts w:ascii="Arial" w:cs="Arial" w:eastAsia="Arial" w:hAnsi="Arial"/>
          <w:sz w:val="22"/>
          <w:szCs w:val="22"/>
          <w:color w:val="auto"/>
        </w:rPr>
        <w:t>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80" w:lineRule="exact"/>
        <w:rPr>
          <w:rFonts w:ascii="Arial" w:cs="Arial" w:eastAsia="Arial" w:hAnsi="Arial"/>
          <w:sz w:val="22"/>
          <w:szCs w:val="22"/>
          <w:b w:val="1"/>
          <w:bCs w:val="1"/>
          <w:color w:val="010000"/>
        </w:rPr>
      </w:pPr>
    </w:p>
    <w:p>
      <w:pPr>
        <w:jc w:val="both"/>
        <w:ind w:firstLine="656"/>
        <w:spacing w:after="0" w:line="252" w:lineRule="auto"/>
        <w:tabs>
          <w:tab w:leader="none" w:pos="1229"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Diamondback Energy, Inc. 2019 Amended and Restated Equity Incentive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420"/>
          </w:cols>
          <w:pgMar w:left="240" w:top="13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O-PSU20-___</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DIAMONDBACK ENERGY, INC.</w:t>
      </w:r>
    </w:p>
    <w:p>
      <w:pPr>
        <w:spacing w:after="0" w:line="28" w:lineRule="exact"/>
        <w:rPr>
          <w:sz w:val="20"/>
          <w:szCs w:val="20"/>
          <w:color w:val="auto"/>
        </w:rPr>
      </w:pPr>
    </w:p>
    <w:p>
      <w:pPr>
        <w:ind w:left="3120" w:right="2660" w:hanging="504"/>
        <w:spacing w:after="0" w:line="283" w:lineRule="auto"/>
        <w:rPr>
          <w:sz w:val="20"/>
          <w:szCs w:val="20"/>
          <w:color w:val="auto"/>
        </w:rPr>
      </w:pPr>
      <w:r>
        <w:rPr>
          <w:rFonts w:ascii="Arial" w:cs="Arial" w:eastAsia="Arial" w:hAnsi="Arial"/>
          <w:sz w:val="21"/>
          <w:szCs w:val="21"/>
          <w:b w:val="1"/>
          <w:bCs w:val="1"/>
          <w:color w:val="auto"/>
        </w:rPr>
        <w:t>2019 AMENDED AND RESTATED EQUITY INCENTIVE PLAN RESTRICTED STOCK UNIT AWARD CERTIFICATE</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THIS IS TO CERTIFY that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has granted you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b w:val="1"/>
          <w:bCs w:val="1"/>
          <w:color w:val="auto"/>
        </w:rPr>
        <w:t>”</w:t>
      </w:r>
      <w:r>
        <w:rPr>
          <w:rFonts w:ascii="Arial" w:cs="Arial" w:eastAsia="Arial" w:hAnsi="Arial"/>
          <w:sz w:val="22"/>
          <w:szCs w:val="22"/>
          <w:color w:val="auto"/>
        </w:rPr>
        <w:t>) hypothetical units of Common Stock (“</w:t>
      </w:r>
      <w:r>
        <w:rPr>
          <w:rFonts w:ascii="Arial" w:cs="Arial" w:eastAsia="Arial" w:hAnsi="Arial"/>
          <w:sz w:val="22"/>
          <w:szCs w:val="22"/>
          <w:b w:val="1"/>
          <w:bCs w:val="1"/>
          <w:i w:val="1"/>
          <w:iCs w:val="1"/>
          <w:color w:val="auto"/>
        </w:rPr>
        <w:t>Restricted Stock Units</w:t>
      </w:r>
      <w:r>
        <w:rPr>
          <w:rFonts w:ascii="Arial" w:cs="Arial" w:eastAsia="Arial" w:hAnsi="Arial"/>
          <w:sz w:val="22"/>
          <w:szCs w:val="22"/>
          <w:color w:val="auto"/>
        </w:rPr>
        <w:t xml:space="preserve">”) under the Company’s 2019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as follows:</w:t>
      </w:r>
    </w:p>
    <w:p>
      <w:pPr>
        <w:spacing w:after="0" w:line="331" w:lineRule="exact"/>
        <w:rPr>
          <w:sz w:val="20"/>
          <w:szCs w:val="20"/>
          <w:color w:val="auto"/>
        </w:rPr>
      </w:pPr>
    </w:p>
    <w:p>
      <w:pPr>
        <w:ind w:left="440"/>
        <w:spacing w:after="0"/>
        <w:tabs>
          <w:tab w:leader="none" w:pos="3460" w:val="left"/>
        </w:tabs>
        <w:rPr>
          <w:sz w:val="20"/>
          <w:szCs w:val="20"/>
          <w:color w:val="auto"/>
        </w:rPr>
      </w:pPr>
      <w:r>
        <w:rPr>
          <w:rFonts w:ascii="Arial" w:cs="Arial" w:eastAsia="Arial" w:hAnsi="Arial"/>
          <w:sz w:val="22"/>
          <w:szCs w:val="22"/>
          <w:color w:val="auto"/>
        </w:rPr>
        <w:t>Name of Participant:</w:t>
      </w:r>
      <w:r>
        <w:rPr>
          <w:sz w:val="20"/>
          <w:szCs w:val="20"/>
          <w:color w:val="auto"/>
        </w:rPr>
        <w:tab/>
      </w:r>
      <w:r>
        <w:rPr>
          <w:rFonts w:ascii="Arial" w:cs="Arial" w:eastAsia="Arial" w:hAnsi="Arial"/>
          <w:sz w:val="19"/>
          <w:szCs w:val="19"/>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tabs>
          <w:tab w:leader="none" w:pos="3360" w:val="left"/>
        </w:tabs>
        <w:rPr>
          <w:sz w:val="20"/>
          <w:szCs w:val="20"/>
          <w:color w:val="auto"/>
        </w:rPr>
      </w:pPr>
      <w:r>
        <w:rPr>
          <w:rFonts w:ascii="Arial" w:cs="Arial" w:eastAsia="Arial" w:hAnsi="Arial"/>
          <w:sz w:val="22"/>
          <w:szCs w:val="22"/>
          <w:color w:val="auto"/>
        </w:rPr>
        <w:t>Target Number of Restricted</w:t>
      </w:r>
      <w:r>
        <w:rPr>
          <w:sz w:val="20"/>
          <w:szCs w:val="20"/>
          <w:color w:val="auto"/>
        </w:rPr>
        <w:tab/>
      </w:r>
      <w:r>
        <w:rPr>
          <w:rFonts w:ascii="Arial" w:cs="Arial" w:eastAsia="Arial" w:hAnsi="Arial"/>
          <w:sz w:val="19"/>
          <w:szCs w:val="19"/>
          <w:color w:val="auto"/>
        </w:rPr>
        <w:t>________</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Stock Units Granted:</w:t>
      </w:r>
    </w:p>
    <w:p>
      <w:pPr>
        <w:spacing w:after="0" w:line="134"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19"/>
          <w:szCs w:val="19"/>
          <w:color w:val="auto"/>
        </w:rPr>
        <w:t>________, 2020</w:t>
      </w:r>
    </w:p>
    <w:p>
      <w:pPr>
        <w:spacing w:after="0" w:line="233"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22"/>
          <w:szCs w:val="22"/>
          <w:color w:val="auto"/>
        </w:rPr>
        <w:t>Payment/Settlement Dates:</w:t>
      </w:r>
      <w:r>
        <w:rPr>
          <w:sz w:val="20"/>
          <w:szCs w:val="20"/>
          <w:color w:val="auto"/>
        </w:rPr>
        <w:tab/>
      </w:r>
      <w:r>
        <w:rPr>
          <w:rFonts w:ascii="Arial" w:cs="Arial" w:eastAsia="Arial" w:hAnsi="Arial"/>
          <w:sz w:val="22"/>
          <w:szCs w:val="22"/>
          <w:color w:val="auto"/>
        </w:rPr>
        <w:t>Fully vested Restricted Stock Units will be settled by the payment of shares of</w:t>
      </w:r>
    </w:p>
    <w:p>
      <w:pPr>
        <w:ind w:left="3260"/>
        <w:spacing w:after="0" w:line="238" w:lineRule="auto"/>
        <w:rPr>
          <w:sz w:val="20"/>
          <w:szCs w:val="20"/>
          <w:color w:val="auto"/>
        </w:rPr>
      </w:pPr>
      <w:r>
        <w:rPr>
          <w:rFonts w:ascii="Arial" w:cs="Arial" w:eastAsia="Arial" w:hAnsi="Arial"/>
          <w:sz w:val="22"/>
          <w:szCs w:val="22"/>
          <w:color w:val="auto"/>
        </w:rPr>
        <w:t>Common Stock within 10 business days after the date on which the Compensation</w:t>
      </w:r>
    </w:p>
    <w:p>
      <w:pPr>
        <w:ind w:left="3260"/>
        <w:spacing w:after="0"/>
        <w:rPr>
          <w:sz w:val="20"/>
          <w:szCs w:val="20"/>
          <w:color w:val="auto"/>
        </w:rPr>
      </w:pPr>
      <w:r>
        <w:rPr>
          <w:rFonts w:ascii="Arial" w:cs="Arial" w:eastAsia="Arial" w:hAnsi="Arial"/>
          <w:sz w:val="21"/>
          <w:szCs w:val="21"/>
          <w:color w:val="auto"/>
        </w:rPr>
        <w:t>Committee of the Board has made the certification required under Plan Section 7.2(d)</w:t>
      </w:r>
    </w:p>
    <w:p>
      <w:pPr>
        <w:ind w:left="3260"/>
        <w:spacing w:after="0" w:line="232" w:lineRule="auto"/>
        <w:rPr>
          <w:sz w:val="20"/>
          <w:szCs w:val="20"/>
          <w:color w:val="auto"/>
        </w:rPr>
      </w:pPr>
      <w:r>
        <w:rPr>
          <w:rFonts w:ascii="Arial" w:cs="Arial" w:eastAsia="Arial" w:hAnsi="Arial"/>
          <w:sz w:val="22"/>
          <w:szCs w:val="22"/>
          <w:color w:val="auto"/>
        </w:rPr>
        <w:t>with respect to the performance goals applicable to such Restricted Stock Units</w:t>
      </w:r>
    </w:p>
    <w:p>
      <w:pPr>
        <w:ind w:left="3260"/>
        <w:spacing w:after="0"/>
        <w:rPr>
          <w:sz w:val="20"/>
          <w:szCs w:val="20"/>
          <w:color w:val="auto"/>
        </w:rPr>
      </w:pPr>
      <w:r>
        <w:rPr>
          <w:rFonts w:ascii="Arial" w:cs="Arial" w:eastAsia="Arial" w:hAnsi="Arial"/>
          <w:sz w:val="21"/>
          <w:szCs w:val="21"/>
          <w:color w:val="auto"/>
        </w:rPr>
        <w:t>following the date of publication of the Corporation's quarterly earnings statement for</w:t>
      </w:r>
    </w:p>
    <w:p>
      <w:pPr>
        <w:spacing w:after="0" w:line="2"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the twelfth (12th) full quarter following the commencement of the Performance Period</w:t>
      </w:r>
    </w:p>
    <w:p>
      <w:pPr>
        <w:ind w:left="3260"/>
        <w:spacing w:after="0" w:line="232" w:lineRule="auto"/>
        <w:rPr>
          <w:sz w:val="20"/>
          <w:szCs w:val="20"/>
          <w:color w:val="auto"/>
        </w:rPr>
      </w:pPr>
      <w:r>
        <w:rPr>
          <w:rFonts w:ascii="Arial" w:cs="Arial" w:eastAsia="Arial" w:hAnsi="Arial"/>
          <w:sz w:val="22"/>
          <w:szCs w:val="22"/>
          <w:color w:val="auto"/>
        </w:rPr>
        <w:t>(which in any event will be no later than March 15 of the calendar year following the</w:t>
      </w:r>
    </w:p>
    <w:p>
      <w:pPr>
        <w:ind w:left="3260"/>
        <w:spacing w:after="0"/>
        <w:rPr>
          <w:sz w:val="20"/>
          <w:szCs w:val="20"/>
          <w:color w:val="auto"/>
        </w:rPr>
      </w:pPr>
      <w:r>
        <w:rPr>
          <w:rFonts w:ascii="Arial" w:cs="Arial" w:eastAsia="Arial" w:hAnsi="Arial"/>
          <w:sz w:val="22"/>
          <w:szCs w:val="22"/>
          <w:color w:val="auto"/>
        </w:rPr>
        <w:t>date such performance goals are achieved).</w:t>
      </w:r>
    </w:p>
    <w:p>
      <w:pPr>
        <w:spacing w:after="0" w:line="215"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22"/>
          <w:szCs w:val="22"/>
          <w:color w:val="auto"/>
        </w:rPr>
        <w:t>Performance Period:</w:t>
      </w:r>
      <w:r>
        <w:rPr>
          <w:sz w:val="20"/>
          <w:szCs w:val="20"/>
          <w:color w:val="auto"/>
        </w:rPr>
        <w:tab/>
      </w:r>
      <w:r>
        <w:rPr>
          <w:rFonts w:ascii="Arial" w:cs="Arial" w:eastAsia="Arial" w:hAnsi="Arial"/>
          <w:sz w:val="19"/>
          <w:szCs w:val="19"/>
          <w:color w:val="auto"/>
        </w:rPr>
        <w:t>January 1, 2020 through December 31, 2022</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Performance Vesting Goals and The actual number of Restricted Stock Units with respect to which Participant will be</w:t>
      </w:r>
    </w:p>
    <w:p>
      <w:pPr>
        <w:spacing w:after="0" w:line="20" w:lineRule="exact"/>
        <w:rPr>
          <w:sz w:val="20"/>
          <w:szCs w:val="20"/>
          <w:color w:val="auto"/>
        </w:rPr>
      </w:pPr>
    </w:p>
    <w:p>
      <w:pPr>
        <w:jc w:val="both"/>
        <w:ind w:left="3260" w:right="540" w:hanging="2819"/>
        <w:spacing w:after="0" w:line="244" w:lineRule="auto"/>
        <w:tabs>
          <w:tab w:leader="none" w:pos="3240" w:val="left"/>
        </w:tabs>
        <w:rPr>
          <w:sz w:val="20"/>
          <w:szCs w:val="20"/>
          <w:color w:val="auto"/>
        </w:rPr>
      </w:pPr>
      <w:r>
        <w:rPr>
          <w:rFonts w:ascii="Arial" w:cs="Arial" w:eastAsia="Arial" w:hAnsi="Arial"/>
          <w:sz w:val="21"/>
          <w:szCs w:val="21"/>
          <w:color w:val="auto"/>
        </w:rPr>
        <w:t>Schedule:</w:t>
      </w:r>
      <w:r>
        <w:rPr>
          <w:sz w:val="20"/>
          <w:szCs w:val="20"/>
          <w:color w:val="auto"/>
        </w:rPr>
        <w:tab/>
      </w:r>
      <w:r>
        <w:rPr>
          <w:rFonts w:ascii="Arial" w:cs="Arial" w:eastAsia="Arial" w:hAnsi="Arial"/>
          <w:sz w:val="21"/>
          <w:szCs w:val="21"/>
          <w:color w:val="auto"/>
        </w:rPr>
        <w:t>entitled to receive shares of Common Stock will equal the product of (i) the Target Grant Vesting Percentage, multiplied by (ii) the Target Number of Restricted Stock Units Granted, multiplied by (iii) the Absolute TSR Modifier. The Target Grant Vesting Percentage will be determined based on the attainment of (i) Continuous Service through the last day of the Performance Period, and (ii) achieving the Relative Total Stockholder Return Percentile and Company Absolute Total Stockholder Return performance goals set forth below:</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4220" w:type="dxa"/>
            <w:vAlign w:val="bottom"/>
          </w:tcPr>
          <w:p>
            <w:pPr>
              <w:ind w:left="500"/>
              <w:spacing w:after="0"/>
              <w:rPr>
                <w:sz w:val="20"/>
                <w:szCs w:val="20"/>
                <w:color w:val="auto"/>
              </w:rPr>
            </w:pPr>
            <w:r>
              <w:rPr>
                <w:rFonts w:ascii="Arial" w:cs="Arial" w:eastAsia="Arial" w:hAnsi="Arial"/>
                <w:sz w:val="22"/>
                <w:szCs w:val="22"/>
                <w:b w:val="1"/>
                <w:bCs w:val="1"/>
                <w:color w:val="auto"/>
              </w:rPr>
              <w:t>Relative Total Stockholder Return</w:t>
            </w:r>
          </w:p>
        </w:tc>
        <w:tc>
          <w:tcPr>
            <w:tcW w:w="3520" w:type="dxa"/>
            <w:vAlign w:val="bottom"/>
          </w:tcPr>
          <w:p>
            <w:pPr>
              <w:jc w:val="center"/>
              <w:spacing w:after="0"/>
              <w:rPr>
                <w:sz w:val="20"/>
                <w:szCs w:val="20"/>
                <w:color w:val="auto"/>
              </w:rPr>
            </w:pPr>
            <w:r>
              <w:rPr>
                <w:rFonts w:ascii="Arial" w:cs="Arial" w:eastAsia="Arial" w:hAnsi="Arial"/>
                <w:sz w:val="22"/>
                <w:szCs w:val="22"/>
                <w:b w:val="1"/>
                <w:bCs w:val="1"/>
                <w:color w:val="auto"/>
                <w:w w:val="88"/>
              </w:rPr>
              <w:t>Target Grant Vesting Percentage</w:t>
            </w:r>
          </w:p>
        </w:tc>
      </w:tr>
      <w:tr>
        <w:trPr>
          <w:trHeight w:val="281"/>
        </w:trPr>
        <w:tc>
          <w:tcPr>
            <w:tcW w:w="4220" w:type="dxa"/>
            <w:vAlign w:val="bottom"/>
          </w:tcPr>
          <w:p>
            <w:pPr>
              <w:ind w:left="1620"/>
              <w:spacing w:after="0"/>
              <w:rPr>
                <w:sz w:val="20"/>
                <w:szCs w:val="20"/>
                <w:color w:val="auto"/>
              </w:rPr>
            </w:pPr>
            <w:r>
              <w:rPr>
                <w:rFonts w:ascii="Arial" w:cs="Arial" w:eastAsia="Arial" w:hAnsi="Arial"/>
                <w:sz w:val="22"/>
                <w:szCs w:val="22"/>
                <w:b w:val="1"/>
                <w:bCs w:val="1"/>
                <w:color w:val="auto"/>
              </w:rPr>
              <w:t>Percentile</w:t>
            </w:r>
          </w:p>
        </w:tc>
        <w:tc>
          <w:tcPr>
            <w:tcW w:w="3520" w:type="dxa"/>
            <w:vAlign w:val="bottom"/>
          </w:tcPr>
          <w:p>
            <w:pPr>
              <w:spacing w:after="0"/>
              <w:rPr>
                <w:sz w:val="24"/>
                <w:szCs w:val="24"/>
                <w:color w:val="auto"/>
              </w:rPr>
            </w:pPr>
          </w:p>
        </w:tc>
      </w:tr>
      <w:tr>
        <w:trPr>
          <w:trHeight w:val="616"/>
        </w:trPr>
        <w:tc>
          <w:tcPr>
            <w:tcW w:w="4220" w:type="dxa"/>
            <w:vAlign w:val="bottom"/>
          </w:tcPr>
          <w:p>
            <w:pPr>
              <w:spacing w:after="0"/>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520" w:type="dxa"/>
            <w:vAlign w:val="bottom"/>
          </w:tcPr>
          <w:p>
            <w:pPr>
              <w:jc w:val="center"/>
              <w:spacing w:after="0"/>
              <w:rPr>
                <w:sz w:val="20"/>
                <w:szCs w:val="20"/>
                <w:color w:val="auto"/>
              </w:rPr>
            </w:pPr>
            <w:r>
              <w:rPr>
                <w:rFonts w:ascii="Arial" w:cs="Arial" w:eastAsia="Arial" w:hAnsi="Arial"/>
                <w:sz w:val="22"/>
                <w:szCs w:val="22"/>
                <w:color w:val="auto"/>
                <w:w w:val="88"/>
              </w:rPr>
              <w:t>0% of Target</w:t>
            </w:r>
          </w:p>
        </w:tc>
      </w:tr>
      <w:tr>
        <w:trPr>
          <w:trHeight w:val="568"/>
        </w:trPr>
        <w:tc>
          <w:tcPr>
            <w:tcW w:w="4220" w:type="dxa"/>
            <w:vAlign w:val="bottom"/>
          </w:tcPr>
          <w:p>
            <w:pPr>
              <w:spacing w:after="0"/>
              <w:rPr>
                <w:sz w:val="20"/>
                <w:szCs w:val="20"/>
                <w:color w:val="auto"/>
              </w:rPr>
            </w:pPr>
            <w:r>
              <w:rPr>
                <w:rFonts w:ascii="Arial" w:cs="Arial" w:eastAsia="Arial" w:hAnsi="Arial"/>
                <w:sz w:val="22"/>
                <w:szCs w:val="22"/>
                <w:color w:val="auto"/>
                <w:w w:val="92"/>
              </w:rPr>
              <w:t>Between 25</w:t>
            </w:r>
            <w:r>
              <w:rPr>
                <w:rFonts w:ascii="Arial" w:cs="Arial" w:eastAsia="Arial" w:hAnsi="Arial"/>
                <w:sz w:val="28"/>
                <w:szCs w:val="28"/>
                <w:color w:val="auto"/>
                <w:w w:val="92"/>
                <w:vertAlign w:val="superscript"/>
              </w:rPr>
              <w:t>th</w:t>
            </w:r>
            <w:r>
              <w:rPr>
                <w:rFonts w:ascii="Arial" w:cs="Arial" w:eastAsia="Arial" w:hAnsi="Arial"/>
                <w:sz w:val="22"/>
                <w:szCs w:val="22"/>
                <w:color w:val="auto"/>
                <w:w w:val="92"/>
              </w:rPr>
              <w:t xml:space="preserve"> Percentile of Peer Group and up</w:t>
            </w: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Straight line interpolation between 50%</w:t>
            </w:r>
          </w:p>
        </w:tc>
      </w:tr>
      <w:tr>
        <w:trPr>
          <w:trHeight w:val="377"/>
        </w:trPr>
        <w:tc>
          <w:tcPr>
            <w:tcW w:w="4220" w:type="dxa"/>
            <w:vAlign w:val="bottom"/>
          </w:tcPr>
          <w:p>
            <w:pPr>
              <w:ind w:left="40"/>
              <w:spacing w:after="0"/>
              <w:rPr>
                <w:sz w:val="20"/>
                <w:szCs w:val="20"/>
                <w:color w:val="auto"/>
              </w:rPr>
            </w:pPr>
            <w:r>
              <w:rPr>
                <w:rFonts w:ascii="Arial" w:cs="Arial" w:eastAsia="Arial" w:hAnsi="Arial"/>
                <w:sz w:val="22"/>
                <w:szCs w:val="22"/>
                <w:color w:val="auto"/>
              </w:rPr>
              <w:t>to but less than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520" w:type="dxa"/>
            <w:vAlign w:val="bottom"/>
          </w:tcPr>
          <w:p>
            <w:pPr>
              <w:jc w:val="center"/>
              <w:spacing w:after="0"/>
              <w:rPr>
                <w:sz w:val="20"/>
                <w:szCs w:val="20"/>
                <w:color w:val="auto"/>
              </w:rPr>
            </w:pPr>
            <w:r>
              <w:rPr>
                <w:rFonts w:ascii="Arial" w:cs="Arial" w:eastAsia="Arial" w:hAnsi="Arial"/>
                <w:sz w:val="22"/>
                <w:szCs w:val="22"/>
                <w:color w:val="auto"/>
                <w:w w:val="87"/>
              </w:rPr>
              <w:t>and 150% of Target</w:t>
            </w:r>
          </w:p>
        </w:tc>
      </w:tr>
      <w:tr>
        <w:trPr>
          <w:trHeight w:val="702"/>
        </w:trPr>
        <w:tc>
          <w:tcPr>
            <w:tcW w:w="4220" w:type="dxa"/>
            <w:vAlign w:val="bottom"/>
          </w:tcPr>
          <w:p>
            <w:pPr>
              <w:spacing w:after="0"/>
              <w:rPr>
                <w:sz w:val="20"/>
                <w:szCs w:val="20"/>
                <w:color w:val="auto"/>
              </w:rPr>
            </w:pPr>
            <w:r>
              <w:rPr>
                <w:rFonts w:ascii="Arial" w:cs="Arial" w:eastAsia="Arial" w:hAnsi="Arial"/>
                <w:sz w:val="22"/>
                <w:szCs w:val="22"/>
                <w:color w:val="auto"/>
              </w:rPr>
              <w:t>At or above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520" w:type="dxa"/>
            <w:vAlign w:val="bottom"/>
          </w:tcPr>
          <w:p>
            <w:pPr>
              <w:jc w:val="center"/>
              <w:spacing w:after="0"/>
              <w:rPr>
                <w:sz w:val="20"/>
                <w:szCs w:val="20"/>
                <w:color w:val="auto"/>
              </w:rPr>
            </w:pPr>
            <w:r>
              <w:rPr>
                <w:rFonts w:ascii="Arial" w:cs="Arial" w:eastAsia="Arial" w:hAnsi="Arial"/>
                <w:sz w:val="22"/>
                <w:szCs w:val="22"/>
                <w:color w:val="auto"/>
                <w:w w:val="89"/>
              </w:rPr>
              <w:t>200% of Target</w:t>
            </w:r>
          </w:p>
        </w:tc>
      </w:tr>
    </w:tbl>
    <w:p>
      <w:pPr>
        <w:spacing w:after="0" w:line="200" w:lineRule="exact"/>
        <w:rPr>
          <w:sz w:val="20"/>
          <w:szCs w:val="20"/>
          <w:color w:val="auto"/>
        </w:rPr>
      </w:pPr>
    </w:p>
    <w:p>
      <w:pPr>
        <w:spacing w:after="0" w:line="362" w:lineRule="exact"/>
        <w:rPr>
          <w:sz w:val="20"/>
          <w:szCs w:val="20"/>
          <w:color w:val="auto"/>
        </w:rPr>
      </w:pPr>
    </w:p>
    <w:p>
      <w:pPr>
        <w:ind w:left="1340"/>
        <w:spacing w:after="0"/>
        <w:tabs>
          <w:tab w:leader="none" w:pos="5900" w:val="left"/>
        </w:tabs>
        <w:rPr>
          <w:sz w:val="20"/>
          <w:szCs w:val="20"/>
          <w:color w:val="auto"/>
        </w:rPr>
      </w:pPr>
      <w:r>
        <w:rPr>
          <w:rFonts w:ascii="Arial" w:cs="Arial" w:eastAsia="Arial" w:hAnsi="Arial"/>
          <w:sz w:val="22"/>
          <w:szCs w:val="22"/>
          <w:b w:val="1"/>
          <w:bCs w:val="1"/>
          <w:color w:val="auto"/>
        </w:rPr>
        <w:t>Company Absolute Total Stockholder</w:t>
      </w:r>
      <w:r>
        <w:rPr>
          <w:sz w:val="20"/>
          <w:szCs w:val="20"/>
          <w:color w:val="auto"/>
        </w:rPr>
        <w:tab/>
      </w:r>
      <w:r>
        <w:rPr>
          <w:rFonts w:ascii="Arial" w:cs="Arial" w:eastAsia="Arial" w:hAnsi="Arial"/>
          <w:sz w:val="19"/>
          <w:szCs w:val="19"/>
          <w:b w:val="1"/>
          <w:bCs w:val="1"/>
          <w:color w:val="auto"/>
        </w:rPr>
        <w:t>Absolute TSR Modifier</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Return Percentage</w:t>
      </w:r>
    </w:p>
    <w:p>
      <w:pPr>
        <w:spacing w:after="0" w:line="242" w:lineRule="exact"/>
        <w:rPr>
          <w:sz w:val="20"/>
          <w:szCs w:val="20"/>
          <w:color w:val="auto"/>
        </w:rPr>
      </w:pPr>
    </w:p>
    <w:p>
      <w:pPr>
        <w:ind w:left="1040"/>
        <w:spacing w:after="0"/>
        <w:tabs>
          <w:tab w:leader="none" w:pos="6800" w:val="left"/>
        </w:tabs>
        <w:rPr>
          <w:sz w:val="20"/>
          <w:szCs w:val="20"/>
          <w:color w:val="auto"/>
        </w:rPr>
      </w:pPr>
      <w:r>
        <w:rPr>
          <w:rFonts w:ascii="Arial" w:cs="Arial" w:eastAsia="Arial" w:hAnsi="Arial"/>
          <w:sz w:val="22"/>
          <w:szCs w:val="22"/>
          <w:color w:val="auto"/>
        </w:rPr>
        <w:t>Below 0%</w:t>
      </w:r>
      <w:r>
        <w:rPr>
          <w:sz w:val="20"/>
          <w:szCs w:val="20"/>
          <w:color w:val="auto"/>
        </w:rPr>
        <w:tab/>
      </w:r>
      <w:r>
        <w:rPr>
          <w:rFonts w:ascii="Arial" w:cs="Arial" w:eastAsia="Arial" w:hAnsi="Arial"/>
          <w:sz w:val="19"/>
          <w:szCs w:val="19"/>
          <w:color w:val="auto"/>
        </w:rPr>
        <w:t>75%</w:t>
      </w:r>
    </w:p>
    <w:p>
      <w:pPr>
        <w:sectPr>
          <w:pgSz w:w="11900" w:h="16838" w:orient="portrait"/>
          <w:cols w:equalWidth="0" w:num="1">
            <w:col w:w="11420"/>
          </w:cols>
          <w:pgMar w:left="240" w:top="594"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1040"/>
        <w:spacing w:after="0"/>
        <w:tabs>
          <w:tab w:leader="none" w:pos="6740" w:val="left"/>
        </w:tabs>
        <w:rPr>
          <w:sz w:val="20"/>
          <w:szCs w:val="20"/>
          <w:color w:val="auto"/>
        </w:rPr>
      </w:pPr>
      <w:r>
        <w:rPr>
          <w:rFonts w:ascii="Arial" w:cs="Arial" w:eastAsia="Arial" w:hAnsi="Arial"/>
          <w:sz w:val="22"/>
          <w:szCs w:val="22"/>
          <w:color w:val="auto"/>
        </w:rPr>
        <w:t>Between 0% to 15%</w:t>
      </w:r>
      <w:r>
        <w:rPr>
          <w:sz w:val="20"/>
          <w:szCs w:val="20"/>
          <w:color w:val="auto"/>
        </w:rPr>
        <w:tab/>
      </w:r>
      <w:r>
        <w:rPr>
          <w:rFonts w:ascii="Arial" w:cs="Arial" w:eastAsia="Arial" w:hAnsi="Arial"/>
          <w:sz w:val="19"/>
          <w:szCs w:val="19"/>
          <w:color w:val="auto"/>
        </w:rPr>
        <w:t>100%</w:t>
      </w:r>
    </w:p>
    <w:p>
      <w:pPr>
        <w:sectPr>
          <w:pgSz w:w="11900" w:h="16838" w:orient="portrait"/>
          <w:cols w:equalWidth="0" w:num="1">
            <w:col w:w="11420"/>
          </w:cols>
          <w:pgMar w:left="240" w:top="594" w:right="239" w:bottom="0" w:gutter="0" w:footer="0" w:header="0"/>
          <w:type w:val="continuous"/>
        </w:sectPr>
      </w:pPr>
    </w:p>
    <w:bookmarkStart w:id="178" w:name="page179"/>
    <w:bookmarkEnd w:id="178"/>
    <w:tbl>
      <w:tblPr>
        <w:tblLayout w:type="fixed"/>
        <w:tblInd w:w="1040" w:type="dxa"/>
        <w:tblCellMar>
          <w:top w:w="0" w:type="dxa"/>
          <w:left w:w="0" w:type="dxa"/>
          <w:bottom w:w="0" w:type="dxa"/>
          <w:right w:w="0" w:type="dxa"/>
        </w:tblCellMar>
      </w:tblPr>
      <w:tr>
        <w:trPr>
          <w:trHeight w:val="275"/>
        </w:trPr>
        <w:tc>
          <w:tcPr>
            <w:tcW w:w="3380" w:type="dxa"/>
            <w:vAlign w:val="bottom"/>
          </w:tcPr>
          <w:p>
            <w:pPr>
              <w:spacing w:after="0"/>
              <w:rPr>
                <w:sz w:val="20"/>
                <w:szCs w:val="20"/>
                <w:color w:val="auto"/>
              </w:rPr>
            </w:pPr>
            <w:r>
              <w:rPr>
                <w:rFonts w:ascii="Arial" w:cs="Arial" w:eastAsia="Arial" w:hAnsi="Arial"/>
                <w:sz w:val="22"/>
                <w:szCs w:val="22"/>
                <w:color w:val="auto"/>
              </w:rPr>
              <w:t>Above 15%</w:t>
            </w:r>
          </w:p>
        </w:tc>
        <w:tc>
          <w:tcPr>
            <w:tcW w:w="2840" w:type="dxa"/>
            <w:vAlign w:val="bottom"/>
          </w:tcPr>
          <w:p>
            <w:pPr>
              <w:jc w:val="right"/>
              <w:spacing w:after="0"/>
              <w:rPr>
                <w:sz w:val="20"/>
                <w:szCs w:val="20"/>
                <w:color w:val="auto"/>
              </w:rPr>
            </w:pPr>
            <w:r>
              <w:rPr>
                <w:rFonts w:ascii="Arial" w:cs="Arial" w:eastAsia="Arial" w:hAnsi="Arial"/>
                <w:sz w:val="22"/>
                <w:szCs w:val="22"/>
                <w:color w:val="auto"/>
              </w:rPr>
              <w:t>125%</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ectPr>
          <w:pgSz w:w="11900" w:h="16838" w:orient="portrait"/>
          <w:cols w:equalWidth="0" w:num="1">
            <w:col w:w="11420"/>
          </w:cols>
          <w:pgMar w:left="240" w:top="240" w:right="239" w:bottom="42" w:gutter="0" w:footer="0" w:header="0"/>
        </w:sect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DIAMONDBACK ENERGY, INC.</w:t>
      </w:r>
    </w:p>
    <w:p>
      <w:pPr>
        <w:spacing w:after="0" w:line="200" w:lineRule="exact"/>
        <w:rPr>
          <w:sz w:val="20"/>
          <w:szCs w:val="20"/>
          <w:color w:val="auto"/>
        </w:rPr>
      </w:pPr>
    </w:p>
    <w:p>
      <w:pPr>
        <w:sectPr>
          <w:pgSz w:w="11900" w:h="16838" w:orient="portrait"/>
          <w:cols w:equalWidth="0" w:num="2">
            <w:col w:w="4580" w:space="720"/>
            <w:col w:w="6120"/>
          </w:cols>
          <w:pgMar w:left="240" w:top="240" w:right="239" w:bottom="42"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By:</w:t>
      </w:r>
    </w:p>
    <w:p>
      <w:pPr>
        <w:sectPr>
          <w:pgSz w:w="11900" w:h="16838" w:orient="portrait"/>
          <w:cols w:equalWidth="0" w:num="1">
            <w:col w:w="11420"/>
          </w:cols>
          <w:pgMar w:left="240" w:top="240" w:right="239" w:bottom="42"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Travis D. Stice, Chief Executive Officer</w:t>
      </w:r>
    </w:p>
    <w:p>
      <w:pPr>
        <w:spacing w:after="0" w:line="200" w:lineRule="exact"/>
        <w:rPr>
          <w:sz w:val="20"/>
          <w:szCs w:val="20"/>
          <w:color w:val="auto"/>
        </w:rPr>
      </w:pPr>
    </w:p>
    <w:p>
      <w:pPr>
        <w:sectPr>
          <w:pgSz w:w="11900" w:h="16838" w:orient="portrait"/>
          <w:cols w:equalWidth="0" w:num="2">
            <w:col w:w="4920" w:space="720"/>
            <w:col w:w="5780"/>
          </w:cols>
          <w:pgMar w:left="240" w:top="240" w:right="239" w:bottom="42"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6"/>
          <w:szCs w:val="16"/>
          <w:color w:val="auto"/>
        </w:rPr>
        <w:t>________</w:t>
      </w:r>
      <w:r>
        <w:rPr>
          <w:rFonts w:ascii="Arial" w:cs="Arial" w:eastAsia="Arial" w:hAnsi="Arial"/>
          <w:sz w:val="19"/>
          <w:szCs w:val="19"/>
          <w:color w:val="auto"/>
        </w:rPr>
        <w:t>, 2020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6"/>
          <w:szCs w:val="16"/>
          <w:color w:val="auto"/>
        </w:rPr>
        <w:t>________</w:t>
      </w:r>
      <w:r>
        <w:rPr>
          <w:rFonts w:ascii="Arial" w:cs="Arial" w:eastAsia="Arial" w:hAnsi="Arial"/>
          <w:sz w:val="19"/>
          <w:szCs w:val="19"/>
          <w:color w:val="auto"/>
        </w:rPr>
        <w:t>, 2020</w:t>
      </w:r>
    </w:p>
    <w:p>
      <w:pPr>
        <w:spacing w:after="0" w:line="200" w:lineRule="exact"/>
        <w:rPr>
          <w:sz w:val="20"/>
          <w:szCs w:val="20"/>
          <w:color w:val="auto"/>
        </w:rPr>
      </w:pPr>
    </w:p>
    <w:p>
      <w:pPr>
        <w:sectPr>
          <w:pgSz w:w="11900" w:h="16838" w:orient="portrait"/>
          <w:cols w:equalWidth="0" w:num="2">
            <w:col w:w="4600" w:space="720"/>
            <w:col w:w="6100"/>
          </w:cols>
          <w:pgMar w:left="240" w:top="240" w:right="239" w:bottom="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ADDENDUM</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“Relative Total Stockholder Return Percentile”</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For purposes of this Performance Award, “</w:t>
      </w:r>
      <w:r>
        <w:rPr>
          <w:rFonts w:ascii="Arial" w:cs="Arial" w:eastAsia="Arial" w:hAnsi="Arial"/>
          <w:sz w:val="19"/>
          <w:szCs w:val="19"/>
          <w:b w:val="1"/>
          <w:bCs w:val="1"/>
          <w:color w:val="auto"/>
        </w:rPr>
        <w:t>Relative Total Stockholder Return Percentile</w:t>
      </w:r>
      <w:r>
        <w:rPr>
          <w:rFonts w:ascii="Arial" w:cs="Arial" w:eastAsia="Arial" w:hAnsi="Arial"/>
          <w:sz w:val="19"/>
          <w:szCs w:val="19"/>
          <w:color w:val="auto"/>
        </w:rPr>
        <w:t>” means for the Performance Period, the compound annual growth rate amount determined for the Common Stock of the Company equal to the growth in capital from purchasing a share in the Company assuming that the dividends are reinvested each time they are paid (the net stock price change plus the dividends paid during that period = “</w:t>
      </w:r>
      <w:r>
        <w:rPr>
          <w:rFonts w:ascii="Arial" w:cs="Arial" w:eastAsia="Arial" w:hAnsi="Arial"/>
          <w:sz w:val="19"/>
          <w:szCs w:val="19"/>
          <w:b w:val="1"/>
          <w:bCs w:val="1"/>
          <w:color w:val="auto"/>
        </w:rPr>
        <w:t>Total Stockholder Return</w:t>
      </w:r>
      <w:r>
        <w:rPr>
          <w:rFonts w:ascii="Arial" w:cs="Arial" w:eastAsia="Arial" w:hAnsi="Arial"/>
          <w:sz w:val="19"/>
          <w:szCs w:val="19"/>
          <w:color w:val="auto"/>
        </w:rPr>
        <w:t>”) in comparison to the Total Stockholder Return for each of the companies comprising the Company’s Peer Group designated by the Compensation Committee as defined below. How the Company’s Total Stockholder Return ranks by percentile relative to the Total Stockholder Return of the other Peer Group companies determines whether the Restricted Stock Unit Target Award vests and how many shares of Common Stock are paid out.</w:t>
      </w:r>
    </w:p>
    <w:p>
      <w:pPr>
        <w:spacing w:after="0" w:line="15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Company’s percentile ranking among the Peer Group Total Stockholder Return is calculated by ranking the Company’s Total Stockholder Return as part of the Total Stockholder Return for the Peer Group as a whole. Total Stockholder Return for each member of the Peer Group, including the Company, is determined over a particular measurement period by: dividing (1) the sum of</w:t>
      </w:r>
    </w:p>
    <w:p>
      <w:pPr>
        <w:spacing w:after="0" w:line="1" w:lineRule="exact"/>
        <w:rPr>
          <w:sz w:val="20"/>
          <w:szCs w:val="20"/>
          <w:color w:val="auto"/>
        </w:rPr>
      </w:pPr>
    </w:p>
    <w:p>
      <w:pPr>
        <w:jc w:val="both"/>
        <w:ind w:firstLine="8"/>
        <w:spacing w:after="0" w:line="244" w:lineRule="auto"/>
        <w:tabs>
          <w:tab w:leader="none" w:pos="3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Shareholder return is quoted on an annualized basis. This is expressed as a compound annual growth rate percentage calculated as TSR = (Pe – Pb + Dividends)/Pb where: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Pb = average share price for the five trading days ending immediately prior to the beginning of the Performance Period;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 = average share price for the five trading days ending with the last day of the Performance Period,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Dividends = dividends paid over the Performance Period;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TSR = Total Shareholder Return.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Peer Group consists of the following members: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Apache Corporation; Cimarex Energy Co.; Concho Resources Inc.; Continental Resources, Inc.; Devon Energy Corporation; Encana Corporation; EOG Resources, Inc.; Hess Corporation; Marathon Oil Corporation; Noble Energy, Inc.; Parsley Energy, Inc.; Pioneer Natural Resources Company; WPX Energy,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“Absolute TSR Modifier”</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purposes of this Performance Award, “Absolute TSR Modifier” means the percentage determined for the Performance Period as specified in the schedule set forth above based on the Company’s annualized Absolute Total Shareholder Return (as defined above in the definition of “Relative Total Stockholder Return Percentile”) for the Performance Period.</w:t>
      </w:r>
    </w:p>
    <w:p>
      <w:pPr>
        <w:sectPr>
          <w:pgSz w:w="11900" w:h="16838" w:orient="portrait"/>
          <w:cols w:equalWidth="0" w:num="1">
            <w:col w:w="11420"/>
          </w:cols>
          <w:pgMar w:left="240" w:top="240" w:right="239" w:bottom="42" w:gutter="0" w:footer="0" w:header="0"/>
          <w:type w:val="continuous"/>
        </w:sectPr>
      </w:pPr>
    </w:p>
    <w:bookmarkStart w:id="179" w:name="page180"/>
    <w:bookmarkEnd w:id="179"/>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DIAMONDBACK ENERGY, INC.</w:t>
      </w:r>
    </w:p>
    <w:p>
      <w:pPr>
        <w:spacing w:after="0" w:line="28" w:lineRule="exact"/>
        <w:rPr>
          <w:sz w:val="20"/>
          <w:szCs w:val="20"/>
          <w:color w:val="auto"/>
        </w:rPr>
      </w:pPr>
    </w:p>
    <w:p>
      <w:pPr>
        <w:ind w:left="3160" w:right="2660" w:hanging="534"/>
        <w:spacing w:after="0" w:line="283" w:lineRule="auto"/>
        <w:rPr>
          <w:sz w:val="20"/>
          <w:szCs w:val="20"/>
          <w:color w:val="auto"/>
        </w:rPr>
      </w:pPr>
      <w:r>
        <w:rPr>
          <w:rFonts w:ascii="Arial" w:cs="Arial" w:eastAsia="Arial" w:hAnsi="Arial"/>
          <w:sz w:val="21"/>
          <w:szCs w:val="21"/>
          <w:b w:val="1"/>
          <w:bCs w:val="1"/>
          <w:color w:val="auto"/>
        </w:rPr>
        <w:t>2019 AMENDED AND RESTATED EQUITY INCENTIVE PLAN RESTRICTED STOCK UNIT AWARD AGREEMENT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xml:space="preserve">”), is made and entered into on the execution date of the Restricted Stock Unit Award Certificate to which it is attached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Certificate</w:t>
      </w:r>
      <w:r>
        <w:rPr>
          <w:rFonts w:ascii="Arial" w:cs="Arial" w:eastAsia="Arial" w:hAnsi="Arial"/>
          <w:sz w:val="22"/>
          <w:szCs w:val="22"/>
          <w:b w:val="1"/>
          <w:bCs w:val="1"/>
          <w:color w:val="auto"/>
        </w:rPr>
        <w:t>”</w:t>
      </w:r>
      <w:r>
        <w:rPr>
          <w:rFonts w:ascii="Arial" w:cs="Arial" w:eastAsia="Arial" w:hAnsi="Arial"/>
          <w:sz w:val="22"/>
          <w:szCs w:val="22"/>
          <w:color w:val="auto"/>
        </w:rPr>
        <w:t xml:space="preserve">), by and between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xml:space="preserve">), and the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named in the Certificate.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Pursuant to the Diamondback Energy, Inc. 2019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the Administrator has authorized the grant to Participant of the number of Restricted Stock Units set forth in the Certificate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upon the terms and subject to the conditions set forth in this Agreement and in the Plan. Capitalized terms not otherwise defined herein have the meanings ascribed to them in the Plan.</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76" w:lineRule="exact"/>
        <w:rPr>
          <w:sz w:val="20"/>
          <w:szCs w:val="20"/>
          <w:color w:val="auto"/>
        </w:rPr>
      </w:pPr>
    </w:p>
    <w:p>
      <w:pPr>
        <w:jc w:val="both"/>
        <w:ind w:firstLine="656"/>
        <w:spacing w:after="0" w:line="256" w:lineRule="auto"/>
        <w:tabs>
          <w:tab w:leader="none" w:pos="1098"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7.1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76" w:lineRule="exact"/>
        <w:rPr>
          <w:rFonts w:ascii="Arial" w:cs="Arial" w:eastAsia="Arial" w:hAnsi="Arial"/>
          <w:sz w:val="22"/>
          <w:szCs w:val="22"/>
          <w:b w:val="1"/>
          <w:bCs w:val="1"/>
          <w:color w:val="010000"/>
        </w:rPr>
      </w:pPr>
    </w:p>
    <w:p>
      <w:pPr>
        <w:ind w:left="1000" w:hanging="344"/>
        <w:spacing w:after="0"/>
        <w:tabs>
          <w:tab w:leader="none" w:pos="1000"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2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color w:val="000000"/>
        </w:rPr>
        <w:t>The Company hereby grants to Participant the number of Restricted Stock Units set forth in the Certificate.</w:t>
      </w:r>
      <w:r>
        <w:rPr>
          <w:rFonts w:ascii="Arial" w:cs="Arial" w:eastAsia="Arial" w:hAnsi="Arial"/>
          <w:sz w:val="22"/>
          <w:szCs w:val="22"/>
          <w:color w:val="010000"/>
        </w:rPr>
        <w:t xml:space="preserve"> </w:t>
      </w:r>
      <w:r>
        <w:rPr>
          <w:rFonts w:ascii="Arial" w:cs="Arial" w:eastAsia="Arial" w:hAnsi="Arial"/>
          <w:sz w:val="22"/>
          <w:szCs w:val="22"/>
          <w:color w:val="000000"/>
        </w:rPr>
        <w:t>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w:t>
      </w:r>
    </w:p>
    <w:p>
      <w:pPr>
        <w:spacing w:after="0" w:line="18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The Company will, in accordance with the Plan, establish and maintain an account (the “</w:t>
      </w:r>
      <w:r>
        <w:rPr>
          <w:rFonts w:ascii="Arial" w:cs="Arial" w:eastAsia="Arial" w:hAnsi="Arial"/>
          <w:sz w:val="22"/>
          <w:szCs w:val="22"/>
          <w:b w:val="1"/>
          <w:bCs w:val="1"/>
          <w:i w:val="1"/>
          <w:iCs w:val="1"/>
          <w:color w:val="000000"/>
        </w:rPr>
        <w:t>Restricted Stock Unit</w:t>
      </w:r>
      <w:r>
        <w:rPr>
          <w:rFonts w:ascii="Arial" w:cs="Arial" w:eastAsia="Arial" w:hAnsi="Arial"/>
          <w:sz w:val="22"/>
          <w:szCs w:val="22"/>
          <w:color w:val="010000"/>
        </w:rPr>
        <w:t xml:space="preserve"> </w:t>
      </w:r>
      <w:r>
        <w:rPr>
          <w:rFonts w:ascii="Arial" w:cs="Arial" w:eastAsia="Arial" w:hAnsi="Arial"/>
          <w:sz w:val="22"/>
          <w:szCs w:val="22"/>
          <w:b w:val="1"/>
          <w:bCs w:val="1"/>
          <w:i w:val="1"/>
          <w:iCs w:val="1"/>
          <w:color w:val="000000"/>
        </w:rPr>
        <w:t>Account</w:t>
      </w:r>
      <w:r>
        <w:rPr>
          <w:rFonts w:ascii="Arial" w:cs="Arial" w:eastAsia="Arial" w:hAnsi="Arial"/>
          <w:sz w:val="22"/>
          <w:szCs w:val="22"/>
          <w:color w:val="000000"/>
        </w:rPr>
        <w:t>”) for Participant, and will credit such account for the number of Restricted Stock Units granted to Participant and any</w:t>
      </w:r>
      <w:r>
        <w:rPr>
          <w:rFonts w:ascii="Arial" w:cs="Arial" w:eastAsia="Arial" w:hAnsi="Arial"/>
          <w:sz w:val="22"/>
          <w:szCs w:val="22"/>
          <w:b w:val="1"/>
          <w:bCs w:val="1"/>
          <w:i w:val="1"/>
          <w:iCs w:val="1"/>
          <w:color w:val="000000"/>
        </w:rPr>
        <w:t xml:space="preserve"> </w:t>
      </w:r>
      <w:r>
        <w:rPr>
          <w:rFonts w:ascii="Arial" w:cs="Arial" w:eastAsia="Arial" w:hAnsi="Arial"/>
          <w:sz w:val="22"/>
          <w:szCs w:val="22"/>
          <w:color w:val="000000"/>
        </w:rPr>
        <w:t>Dividend Equivalents as provided in Section 4 below. On any given date, the value of each Restricted Stock Unit will equal the Fair Market Value on such date of one share of Common Stock.</w:t>
      </w:r>
    </w:p>
    <w:p>
      <w:pPr>
        <w:spacing w:after="0" w:line="179" w:lineRule="exact"/>
        <w:rPr>
          <w:sz w:val="20"/>
          <w:szCs w:val="20"/>
          <w:color w:val="auto"/>
        </w:rPr>
      </w:pPr>
    </w:p>
    <w:p>
      <w:pPr>
        <w:ind w:left="1000" w:hanging="344"/>
        <w:spacing w:after="0"/>
        <w:tabs>
          <w:tab w:leader="none" w:pos="100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39"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color w:val="000000"/>
        </w:rPr>
        <w:t>The Restricted Stock Units will vest based on the Target Grant Vesting Percentage as adjusted by the Absolute</w:t>
      </w:r>
      <w:r>
        <w:rPr>
          <w:rFonts w:ascii="Arial" w:cs="Arial" w:eastAsia="Arial" w:hAnsi="Arial"/>
          <w:sz w:val="19"/>
          <w:szCs w:val="19"/>
          <w:color w:val="010000"/>
        </w:rPr>
        <w:t xml:space="preserve"> </w:t>
      </w:r>
      <w:r>
        <w:rPr>
          <w:rFonts w:ascii="Arial" w:cs="Arial" w:eastAsia="Arial" w:hAnsi="Arial"/>
          <w:sz w:val="19"/>
          <w:szCs w:val="19"/>
          <w:color w:val="000000"/>
        </w:rPr>
        <w:t>TSR Modifier, in each case, as determined under the Performance Vesting Goals and Schedules set forth in the Certificate. Except as otherwise provided in an employment agreement, severance plan participation agreement or other service agreement between the Participant and the Company or an Affiliate (a “</w:t>
      </w:r>
      <w:r>
        <w:rPr>
          <w:rFonts w:ascii="Arial" w:cs="Arial" w:eastAsia="Arial" w:hAnsi="Arial"/>
          <w:sz w:val="19"/>
          <w:szCs w:val="19"/>
          <w:b w:val="1"/>
          <w:bCs w:val="1"/>
          <w:i w:val="1"/>
          <w:iCs w:val="1"/>
          <w:color w:val="000000"/>
        </w:rPr>
        <w:t>Service Agreement</w:t>
      </w:r>
      <w:r>
        <w:rPr>
          <w:rFonts w:ascii="Arial" w:cs="Arial" w:eastAsia="Arial" w:hAnsi="Arial"/>
          <w:sz w:val="19"/>
          <w:szCs w:val="19"/>
          <w:color w:val="000000"/>
        </w:rPr>
        <w:t>”)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010000"/>
        </w:rPr>
        <w:t xml:space="preserve">3.2 </w:t>
      </w:r>
      <w:r>
        <w:rPr>
          <w:rFonts w:ascii="Arial" w:cs="Arial" w:eastAsia="Arial" w:hAnsi="Arial"/>
          <w:sz w:val="21"/>
          <w:szCs w:val="21"/>
          <w:color w:val="000000"/>
        </w:rPr>
        <w:t>Except as otherwise provided in a Service Agreement, in the event of Participant’s involuntary termination of</w:t>
      </w:r>
      <w:r>
        <w:rPr>
          <w:rFonts w:ascii="Arial" w:cs="Arial" w:eastAsia="Arial" w:hAnsi="Arial"/>
          <w:sz w:val="21"/>
          <w:szCs w:val="21"/>
          <w:color w:val="010000"/>
        </w:rPr>
        <w:t xml:space="preserve"> </w:t>
      </w:r>
      <w:r>
        <w:rPr>
          <w:rFonts w:ascii="Arial" w:cs="Arial" w:eastAsia="Arial" w:hAnsi="Arial"/>
          <w:sz w:val="21"/>
          <w:szCs w:val="21"/>
          <w:color w:val="000000"/>
        </w:rPr>
        <w:t>employment (other than for Cause, or on account of death or Disability) or resignation for Good Reason, in either case, in connection with the consummation of or within 24 months after the occurrence of a Change in Control (as defined in the Plan), (an “</w:t>
      </w:r>
      <w:r>
        <w:rPr>
          <w:rFonts w:ascii="Arial" w:cs="Arial" w:eastAsia="Arial" w:hAnsi="Arial"/>
          <w:sz w:val="21"/>
          <w:szCs w:val="21"/>
          <w:b w:val="1"/>
          <w:bCs w:val="1"/>
          <w:i w:val="1"/>
          <w:iCs w:val="1"/>
          <w:color w:val="000000"/>
        </w:rPr>
        <w:t>Acceleration Event</w:t>
      </w:r>
      <w:r>
        <w:rPr>
          <w:rFonts w:ascii="Arial" w:cs="Arial" w:eastAsia="Arial" w:hAnsi="Arial"/>
          <w:sz w:val="21"/>
          <w:szCs w:val="21"/>
          <w:color w:val="000000"/>
        </w:rPr>
        <w:t>”), with respect to any Restricted Stock Units then outstanding under this Award,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Arial" w:cs="Arial" w:eastAsia="Arial" w:hAnsi="Arial"/>
          <w:sz w:val="21"/>
          <w:szCs w:val="21"/>
          <w:b w:val="1"/>
          <w:bCs w:val="1"/>
          <w:i w:val="1"/>
          <w:iCs w:val="1"/>
          <w:color w:val="000000"/>
        </w:rPr>
        <w:t>Accelerated Performance Period</w:t>
      </w:r>
      <w:r>
        <w:rPr>
          <w:rFonts w:ascii="Arial" w:cs="Arial" w:eastAsia="Arial" w:hAnsi="Arial"/>
          <w:sz w:val="21"/>
          <w:szCs w:val="21"/>
          <w:color w:val="000000"/>
        </w:rPr>
        <w:t>”). The Total Stockholder Return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Acceleration Event.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and will be settled and paid upon the consummation of such Acceleration Event.</w:t>
      </w:r>
    </w:p>
    <w:p>
      <w:pPr>
        <w:spacing w:after="0" w:line="18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color w:val="000000"/>
        </w:rPr>
        <w:t>In the event of the Participant’s death or Disability during a period of Continuous Service, the deceased or</w:t>
      </w:r>
      <w:r>
        <w:rPr>
          <w:rFonts w:ascii="Arial" w:cs="Arial" w:eastAsia="Arial" w:hAnsi="Arial"/>
          <w:sz w:val="21"/>
          <w:szCs w:val="21"/>
          <w:color w:val="010000"/>
        </w:rPr>
        <w:t xml:space="preserve"> </w:t>
      </w:r>
      <w:r>
        <w:rPr>
          <w:rFonts w:ascii="Arial" w:cs="Arial" w:eastAsia="Arial" w:hAnsi="Arial"/>
          <w:sz w:val="21"/>
          <w:szCs w:val="21"/>
          <w:color w:val="000000"/>
        </w:rPr>
        <w:t>Disabled Participant’s Target Grant Vesting Percentage will be determined at the end of the Performance Period and the deceased or Disabled Participant’s Restricted Stock Units, including any unpaid Dividend Equivalents credited to the Restricted Stock Unit Account, will be settled and paid at the same Payment/Settlement Date as if the Participant remained in Continuous Service through the end of the Performance Period.</w:t>
      </w:r>
    </w:p>
    <w:p>
      <w:pPr>
        <w:sectPr>
          <w:pgSz w:w="11900" w:h="16904" w:orient="portrait"/>
          <w:cols w:equalWidth="0" w:num="1">
            <w:col w:w="11420"/>
          </w:cols>
          <w:pgMar w:left="240" w:top="558" w:right="239" w:bottom="0" w:gutter="0" w:footer="0" w:header="0"/>
        </w:sectPr>
      </w:pPr>
    </w:p>
    <w:bookmarkStart w:id="180" w:name="page181"/>
    <w:bookmarkEnd w:id="180"/>
    <w:p>
      <w:pPr>
        <w:jc w:val="both"/>
        <w:ind w:firstLine="1297"/>
        <w:spacing w:after="0" w:line="260"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Service Agreement provides for acceleration of vesting of any or all unvested Restricted</w:t>
      </w:r>
      <w:r>
        <w:rPr>
          <w:rFonts w:ascii="Arial" w:cs="Arial" w:eastAsia="Arial" w:hAnsi="Arial"/>
          <w:sz w:val="22"/>
          <w:szCs w:val="22"/>
          <w:color w:val="010000"/>
        </w:rPr>
        <w:t xml:space="preserve"> </w:t>
      </w:r>
      <w:r>
        <w:rPr>
          <w:rFonts w:ascii="Arial" w:cs="Arial" w:eastAsia="Arial" w:hAnsi="Arial"/>
          <w:sz w:val="22"/>
          <w:szCs w:val="22"/>
          <w:color w:val="000000"/>
        </w:rPr>
        <w:t>Stock Units on termination of Continuous Service that is more favorable to Participant than the provisions of this Agreement, such provisions are incorporated by reference in this Agreement.</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color w:val="000000"/>
        </w:rPr>
        <w:t>For purposes of this Agreement, “</w:t>
      </w:r>
      <w:r>
        <w:rPr>
          <w:rFonts w:ascii="Arial" w:cs="Arial" w:eastAsia="Arial" w:hAnsi="Arial"/>
          <w:sz w:val="19"/>
          <w:szCs w:val="19"/>
          <w:b w:val="1"/>
          <w:bCs w:val="1"/>
          <w:i w:val="1"/>
          <w:iCs w:val="1"/>
          <w:color w:val="000000"/>
        </w:rPr>
        <w:t>Good Reason</w:t>
      </w:r>
      <w:r>
        <w:rPr>
          <w:rFonts w:ascii="Arial" w:cs="Arial" w:eastAsia="Arial" w:hAnsi="Arial"/>
          <w:sz w:val="19"/>
          <w:szCs w:val="19"/>
          <w:color w:val="000000"/>
        </w:rPr>
        <w:t>” means Participant’s resignation in the event of any (a)</w:t>
      </w:r>
      <w:r>
        <w:rPr>
          <w:rFonts w:ascii="Arial" w:cs="Arial" w:eastAsia="Arial" w:hAnsi="Arial"/>
          <w:sz w:val="19"/>
          <w:szCs w:val="19"/>
          <w:color w:val="010000"/>
        </w:rPr>
        <w:t xml:space="preserve"> </w:t>
      </w:r>
      <w:r>
        <w:rPr>
          <w:rFonts w:ascii="Arial" w:cs="Arial" w:eastAsia="Arial" w:hAnsi="Arial"/>
          <w:sz w:val="19"/>
          <w:szCs w:val="19"/>
          <w:color w:val="000000"/>
        </w:rPr>
        <w:t>material reduction in Participant’s base salary, bonus opportunity or severance benefits; (b) relocation of Participant’s principal office more than 25 miles from the current location, or (c) material diminution in the Participant’s position, duties, reporting relationship or authority, which in any case is not cured within thirty (30) business days after written notice thereof by you to the Board (which notice must be provided by you to the Company within 90 days following the initial occurrence of such event) and an opportunity to cure within the notice period (the “</w:t>
      </w:r>
      <w:r>
        <w:rPr>
          <w:rFonts w:ascii="Arial" w:cs="Arial" w:eastAsia="Arial" w:hAnsi="Arial"/>
          <w:sz w:val="19"/>
          <w:szCs w:val="19"/>
          <w:b w:val="1"/>
          <w:bCs w:val="1"/>
          <w:i w:val="1"/>
          <w:iCs w:val="1"/>
          <w:color w:val="000000"/>
        </w:rPr>
        <w:t>Cure Period</w:t>
      </w:r>
      <w:r>
        <w:rPr>
          <w:rFonts w:ascii="Arial" w:cs="Arial" w:eastAsia="Arial" w:hAnsi="Arial"/>
          <w:sz w:val="19"/>
          <w:szCs w:val="19"/>
          <w:color w:val="000000"/>
        </w:rPr>
        <w:t>”). Resignation by the Participant following the Employer’s cure or before the expiration of the Cure Period will constitute a voluntary resignation and not a termination or resignation for Good Reason and will not entitle the Participant to any benefits under this Plan. Any termination on account of a Good Reason Resignation must occur within 120 days following the initial occurrence of such event.</w:t>
      </w:r>
    </w:p>
    <w:p>
      <w:pPr>
        <w:spacing w:after="0" w:line="149" w:lineRule="exact"/>
        <w:rPr>
          <w:sz w:val="20"/>
          <w:szCs w:val="20"/>
          <w:color w:val="auto"/>
        </w:rPr>
      </w:pPr>
    </w:p>
    <w:p>
      <w:pPr>
        <w:jc w:val="both"/>
        <w:ind w:firstLine="656"/>
        <w:spacing w:after="0" w:line="249" w:lineRule="auto"/>
        <w:tabs>
          <w:tab w:leader="none" w:pos="1004"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If the Company pays any cash dividend on its outstanding Common Stock for which the record</w:t>
      </w:r>
      <w:r>
        <w:rPr>
          <w:rFonts w:ascii="Arial" w:cs="Arial" w:eastAsia="Arial" w:hAnsi="Arial"/>
          <w:sz w:val="22"/>
          <w:szCs w:val="22"/>
          <w:b w:val="1"/>
          <w:bCs w:val="1"/>
          <w:color w:val="auto"/>
        </w:rPr>
        <w:t xml:space="preserve"> </w:t>
      </w:r>
      <w:r>
        <w:rPr>
          <w:rFonts w:ascii="Arial" w:cs="Arial" w:eastAsia="Arial" w:hAnsi="Arial"/>
          <w:sz w:val="22"/>
          <w:szCs w:val="22"/>
          <w:color w:val="auto"/>
        </w:rPr>
        <w:t>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Arial" w:cs="Arial" w:eastAsia="Arial" w:hAnsi="Arial"/>
          <w:sz w:val="22"/>
          <w:szCs w:val="22"/>
          <w:b w:val="1"/>
          <w:bCs w:val="1"/>
          <w:i w:val="1"/>
          <w:iCs w:val="1"/>
          <w:color w:val="auto"/>
        </w:rPr>
        <w:t>Dividend Equivalents</w:t>
      </w:r>
      <w:r>
        <w:rPr>
          <w:rFonts w:ascii="Arial" w:cs="Arial" w:eastAsia="Arial" w:hAnsi="Arial"/>
          <w:sz w:val="22"/>
          <w:szCs w:val="22"/>
          <w:color w:val="auto"/>
        </w:rPr>
        <w:t>”). Except as otherwise provided in Section 3, Dividend Equivalents will vest and be paid to the Participant on the dividend payment date if Participant is in Continuous Service on the dividend payment date declared by the Company.</w:t>
      </w:r>
    </w:p>
    <w:p>
      <w:pPr>
        <w:spacing w:after="0" w:line="182" w:lineRule="exact"/>
        <w:rPr>
          <w:rFonts w:ascii="Arial" w:cs="Arial" w:eastAsia="Arial" w:hAnsi="Arial"/>
          <w:sz w:val="22"/>
          <w:szCs w:val="22"/>
          <w:b w:val="1"/>
          <w:bCs w:val="1"/>
          <w:color w:val="010000"/>
        </w:rPr>
      </w:pPr>
    </w:p>
    <w:p>
      <w:pPr>
        <w:jc w:val="both"/>
        <w:ind w:firstLine="656"/>
        <w:spacing w:after="0" w:line="286" w:lineRule="auto"/>
        <w:tabs>
          <w:tab w:leader="none" w:pos="1152" w:val="left"/>
        </w:tabs>
        <w:numPr>
          <w:ilvl w:val="0"/>
          <w:numId w:val="62"/>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that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Compensation Committee of the Board has made the certification required under Plan Section 7.2(d) with respect to the performance goals applicable to such Restricted Stock Units following the date of publication of the Corporation's quarterly earnings statement for the twelfth (12th) full quarter following the commencement of the Performance Period (which in any event will be no later than March 15 of the calendar year following the date such performance goals are achieved). If an Acceleration Event occurs, the Payment/Settlement Date will be the date the Acceleration Event occurs. The Administrator will enter Participant’s name as a stockholder of record with respect to such shares of Common Stock on the books of the Company with respect to the shares of Common Stock issued on that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 Except as otherwise provided in Section 3, Dividend Equivalents will vest and be paid to the Participant on the dividend payment date if Participant is in Continuous Service on the dividend payment date declared by the Company. To the extent that a Service Agreement provides for acceleration of vesting of any or all unvested Restricted Stock Units on termination of Continuous Service, such provisions are incorporated by reference in this Agreement.</w:t>
      </w:r>
    </w:p>
    <w:p>
      <w:pPr>
        <w:spacing w:after="0" w:line="158" w:lineRule="exact"/>
        <w:rPr>
          <w:rFonts w:ascii="Arial" w:cs="Arial" w:eastAsia="Arial" w:hAnsi="Arial"/>
          <w:sz w:val="19"/>
          <w:szCs w:val="19"/>
          <w:b w:val="1"/>
          <w:bCs w:val="1"/>
          <w:color w:val="010000"/>
        </w:rPr>
      </w:pPr>
    </w:p>
    <w:p>
      <w:pPr>
        <w:jc w:val="both"/>
        <w:ind w:firstLine="656"/>
        <w:spacing w:after="0" w:line="249" w:lineRule="auto"/>
        <w:tabs>
          <w:tab w:leader="none" w:pos="1274"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88" w:lineRule="exact"/>
        <w:rPr>
          <w:rFonts w:ascii="Arial" w:cs="Arial" w:eastAsia="Arial" w:hAnsi="Arial"/>
          <w:sz w:val="22"/>
          <w:szCs w:val="22"/>
          <w:b w:val="1"/>
          <w:bCs w:val="1"/>
          <w:color w:val="010000"/>
        </w:rPr>
      </w:pPr>
    </w:p>
    <w:p>
      <w:pPr>
        <w:ind w:left="1000" w:hanging="344"/>
        <w:spacing w:after="0"/>
        <w:tabs>
          <w:tab w:leader="none" w:pos="1000"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010000"/>
        </w:rPr>
        <w:t xml:space="preserve">7.1 </w:t>
      </w:r>
      <w:r>
        <w:rPr>
          <w:rFonts w:ascii="Arial" w:cs="Arial" w:eastAsia="Arial" w:hAnsi="Arial"/>
          <w:sz w:val="22"/>
          <w:szCs w:val="22"/>
          <w:color w:val="000000"/>
        </w:rPr>
        <w:t>As a condition to payment under Section 5 hereof, Participant agrees that on or before the date as of which any</w:t>
      </w:r>
      <w:r>
        <w:rPr>
          <w:rFonts w:ascii="Arial" w:cs="Arial" w:eastAsia="Arial" w:hAnsi="Arial"/>
          <w:sz w:val="22"/>
          <w:szCs w:val="22"/>
          <w:color w:val="010000"/>
        </w:rPr>
        <w:t xml:space="preserve"> </w:t>
      </w:r>
      <w:r>
        <w:rPr>
          <w:rFonts w:ascii="Arial" w:cs="Arial" w:eastAsia="Arial" w:hAnsi="Arial"/>
          <w:sz w:val="22"/>
          <w:szCs w:val="22"/>
          <w:color w:val="000000"/>
        </w:rPr>
        <w:t>portion of the Restricted Stock Units vest,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8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color w:val="000000"/>
        </w:rPr>
        <w:t>Participant will pay the amounts due under this Section 7 to the Company. Such amounts will be paid by Stock</w:t>
      </w:r>
      <w:r>
        <w:rPr>
          <w:rFonts w:ascii="Arial" w:cs="Arial" w:eastAsia="Arial" w:hAnsi="Arial"/>
          <w:sz w:val="19"/>
          <w:szCs w:val="19"/>
          <w:color w:val="010000"/>
        </w:rPr>
        <w:t xml:space="preserve"> </w:t>
      </w:r>
      <w:r>
        <w:rPr>
          <w:rFonts w:ascii="Arial" w:cs="Arial" w:eastAsia="Arial" w:hAnsi="Arial"/>
          <w:sz w:val="19"/>
          <w:szCs w:val="19"/>
          <w:color w:val="000000"/>
        </w:rPr>
        <w:t>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w:t>
      </w:r>
    </w:p>
    <w:p>
      <w:pPr>
        <w:sectPr>
          <w:pgSz w:w="11900" w:h="16838" w:orient="portrait"/>
          <w:cols w:equalWidth="0" w:num="1">
            <w:col w:w="11420"/>
          </w:cols>
          <w:pgMar w:left="240" w:top="307" w:right="239" w:bottom="0" w:gutter="0" w:footer="0" w:header="0"/>
        </w:sectPr>
      </w:pPr>
    </w:p>
    <w:bookmarkStart w:id="181" w:name="page182"/>
    <w:bookmarkEnd w:id="181"/>
    <w:p>
      <w:pPr>
        <w:jc w:val="both"/>
        <w:spacing w:after="0" w:line="297" w:lineRule="auto"/>
        <w:rPr>
          <w:sz w:val="20"/>
          <w:szCs w:val="20"/>
          <w:color w:val="auto"/>
        </w:rPr>
      </w:pPr>
      <w:r>
        <w:rPr>
          <w:rFonts w:ascii="Arial" w:cs="Arial" w:eastAsia="Arial" w:hAnsi="Arial"/>
          <w:sz w:val="19"/>
          <w:szCs w:val="19"/>
          <w:color w:val="auto"/>
        </w:rPr>
        <w:t>statutory tax rates in the applicable jurisdictions (subject to Participant’s written request to withhold more than the required regular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41" w:lineRule="exact"/>
        <w:rPr>
          <w:sz w:val="20"/>
          <w:szCs w:val="20"/>
          <w:color w:val="auto"/>
        </w:rPr>
      </w:pPr>
    </w:p>
    <w:p>
      <w:pPr>
        <w:jc w:val="both"/>
        <w:ind w:firstLine="656"/>
        <w:spacing w:after="0" w:line="251" w:lineRule="auto"/>
        <w:tabs>
          <w:tab w:leader="none" w:pos="1071"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Not Transferrable</w:t>
      </w:r>
      <w:r>
        <w:rPr>
          <w:rFonts w:ascii="Arial" w:cs="Arial" w:eastAsia="Arial" w:hAnsi="Arial"/>
          <w:sz w:val="22"/>
          <w:szCs w:val="22"/>
          <w:color w:val="auto"/>
        </w:rPr>
        <w:t>. Until the applicable Payment/Settlement Date, the Restricted Stock Units, any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81" w:lineRule="exact"/>
        <w:rPr>
          <w:rFonts w:ascii="Arial" w:cs="Arial" w:eastAsia="Arial" w:hAnsi="Arial"/>
          <w:sz w:val="22"/>
          <w:szCs w:val="22"/>
          <w:b w:val="1"/>
          <w:bCs w:val="1"/>
          <w:color w:val="010000"/>
        </w:rPr>
      </w:pPr>
    </w:p>
    <w:p>
      <w:pPr>
        <w:jc w:val="both"/>
        <w:ind w:firstLine="656"/>
        <w:spacing w:after="0" w:line="262" w:lineRule="auto"/>
        <w:tabs>
          <w:tab w:leader="none" w:pos="1044"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170" w:lineRule="exact"/>
        <w:rPr>
          <w:rFonts w:ascii="Arial" w:cs="Arial" w:eastAsia="Arial" w:hAnsi="Arial"/>
          <w:sz w:val="22"/>
          <w:szCs w:val="22"/>
          <w:b w:val="1"/>
          <w:bCs w:val="1"/>
          <w:color w:val="010000"/>
        </w:rPr>
      </w:pPr>
    </w:p>
    <w:p>
      <w:pPr>
        <w:jc w:val="both"/>
        <w:ind w:firstLine="656"/>
        <w:spacing w:after="0" w:line="290" w:lineRule="auto"/>
        <w:tabs>
          <w:tab w:leader="none" w:pos="1125" w:val="left"/>
        </w:tabs>
        <w:numPr>
          <w:ilvl w:val="0"/>
          <w:numId w:val="63"/>
        </w:numPr>
        <w:rPr>
          <w:rFonts w:ascii="Arial" w:cs="Arial" w:eastAsia="Arial" w:hAnsi="Arial"/>
          <w:sz w:val="19"/>
          <w:szCs w:val="19"/>
          <w:b w:val="1"/>
          <w:bCs w:val="1"/>
          <w:color w:val="010000"/>
        </w:rPr>
      </w:pPr>
      <w:r>
        <w:rPr>
          <w:rFonts w:ascii="Arial" w:cs="Arial" w:eastAsia="Arial" w:hAnsi="Arial"/>
          <w:sz w:val="19"/>
          <w:szCs w:val="19"/>
          <w:b w:val="1"/>
          <w:bCs w:val="1"/>
          <w:color w:val="auto"/>
        </w:rPr>
        <w:t>Participant’s Representations and Warranties</w:t>
      </w:r>
      <w:r>
        <w:rPr>
          <w:rFonts w:ascii="Arial" w:cs="Arial" w:eastAsia="Arial" w:hAnsi="Arial"/>
          <w:sz w:val="19"/>
          <w:szCs w:val="19"/>
          <w:color w:val="auto"/>
        </w:rPr>
        <w:t>. Participant represents and warrants to the Company that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has received a copy of the Plan, has read and understands the terms of the Plan, the Certificate, and this Agreement, and agrees to be bound by their terms and conditions. Participant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document and the Company’s financial statements and information heretofore filed by the Company with the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200" w:lineRule="exact"/>
        <w:rPr>
          <w:rFonts w:ascii="Arial" w:cs="Arial" w:eastAsia="Arial" w:hAnsi="Arial"/>
          <w:sz w:val="19"/>
          <w:szCs w:val="19"/>
          <w:b w:val="1"/>
          <w:bCs w:val="1"/>
          <w:color w:val="010000"/>
        </w:rPr>
      </w:pPr>
    </w:p>
    <w:p>
      <w:pPr>
        <w:spacing w:after="0" w:line="212" w:lineRule="exact"/>
        <w:rPr>
          <w:rFonts w:ascii="Arial" w:cs="Arial" w:eastAsia="Arial" w:hAnsi="Arial"/>
          <w:sz w:val="19"/>
          <w:szCs w:val="19"/>
          <w:b w:val="1"/>
          <w:bCs w:val="1"/>
          <w:color w:val="010000"/>
        </w:rPr>
      </w:pPr>
    </w:p>
    <w:p>
      <w:pPr>
        <w:jc w:val="both"/>
        <w:ind w:firstLine="656"/>
        <w:spacing w:after="0" w:line="281" w:lineRule="auto"/>
        <w:tabs>
          <w:tab w:leader="none" w:pos="1086" w:val="left"/>
        </w:tabs>
        <w:numPr>
          <w:ilvl w:val="0"/>
          <w:numId w:val="63"/>
        </w:numPr>
        <w:rPr>
          <w:rFonts w:ascii="Arial" w:cs="Arial" w:eastAsia="Arial" w:hAnsi="Arial"/>
          <w:sz w:val="21"/>
          <w:szCs w:val="21"/>
          <w:b w:val="1"/>
          <w:bCs w:val="1"/>
          <w:color w:val="010000"/>
        </w:rPr>
      </w:pPr>
      <w:r>
        <w:rPr>
          <w:rFonts w:ascii="Arial" w:cs="Arial" w:eastAsia="Arial" w:hAnsi="Arial"/>
          <w:sz w:val="21"/>
          <w:szCs w:val="21"/>
          <w:b w:val="1"/>
          <w:bCs w:val="1"/>
          <w:color w:val="auto"/>
        </w:rPr>
        <w:t>No Interest in Company Assets</w:t>
      </w:r>
      <w:r>
        <w:rPr>
          <w:rFonts w:ascii="Arial" w:cs="Arial" w:eastAsia="Arial" w:hAnsi="Arial"/>
          <w:sz w:val="21"/>
          <w:szCs w:val="21"/>
          <w:color w:val="auto"/>
        </w:rPr>
        <w:t>. All amounts nominally credited to Participant’s Restricted Stock Unit Account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will continue for all purposes to be part of the general assets of the Company. Participant’s interest in the Restricted Stock Unit Account will make Participant only a general, unsecured creditor of the Company.</w:t>
      </w:r>
    </w:p>
    <w:p>
      <w:pPr>
        <w:spacing w:after="0" w:line="151" w:lineRule="exact"/>
        <w:rPr>
          <w:rFonts w:ascii="Arial" w:cs="Arial" w:eastAsia="Arial" w:hAnsi="Arial"/>
          <w:sz w:val="21"/>
          <w:szCs w:val="21"/>
          <w:b w:val="1"/>
          <w:bCs w:val="1"/>
          <w:color w:val="010000"/>
        </w:rPr>
      </w:pPr>
    </w:p>
    <w:p>
      <w:pPr>
        <w:jc w:val="both"/>
        <w:ind w:firstLine="656"/>
        <w:spacing w:after="0" w:line="256" w:lineRule="auto"/>
        <w:tabs>
          <w:tab w:leader="none" w:pos="1125"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 vote</w:t>
      </w:r>
      <w:r>
        <w:rPr>
          <w:rFonts w:ascii="Arial" w:cs="Arial" w:eastAsia="Arial" w:hAnsi="Arial"/>
          <w:sz w:val="22"/>
          <w:szCs w:val="22"/>
          <w:b w:val="1"/>
          <w:bCs w:val="1"/>
          <w:color w:val="auto"/>
        </w:rPr>
        <w:t xml:space="preserve"> </w:t>
      </w:r>
      <w:r>
        <w:rPr>
          <w:rFonts w:ascii="Arial" w:cs="Arial" w:eastAsia="Arial" w:hAnsi="Arial"/>
          <w:sz w:val="22"/>
          <w:szCs w:val="22"/>
          <w:color w:val="auto"/>
        </w:rPr>
        <w:t>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76" w:lineRule="exact"/>
        <w:rPr>
          <w:rFonts w:ascii="Arial" w:cs="Arial" w:eastAsia="Arial" w:hAnsi="Arial"/>
          <w:sz w:val="22"/>
          <w:szCs w:val="22"/>
          <w:b w:val="1"/>
          <w:bCs w:val="1"/>
          <w:color w:val="010000"/>
        </w:rPr>
      </w:pPr>
    </w:p>
    <w:p>
      <w:pPr>
        <w:ind w:left="1100" w:hanging="444"/>
        <w:spacing w:after="0"/>
        <w:tabs>
          <w:tab w:leader="none" w:pos="1100" w:val="left"/>
        </w:tabs>
        <w:numPr>
          <w:ilvl w:val="0"/>
          <w:numId w:val="63"/>
        </w:numPr>
        <w:rPr>
          <w:rFonts w:ascii="Arial" w:cs="Arial" w:eastAsia="Arial" w:hAnsi="Arial"/>
          <w:sz w:val="19"/>
          <w:szCs w:val="19"/>
          <w:b w:val="1"/>
          <w:bCs w:val="1"/>
          <w:color w:val="010000"/>
        </w:rPr>
      </w:pPr>
      <w:r>
        <w:rPr>
          <w:rFonts w:ascii="Arial" w:cs="Arial" w:eastAsia="Arial" w:hAnsi="Arial"/>
          <w:sz w:val="19"/>
          <w:szCs w:val="19"/>
          <w:b w:val="1"/>
          <w:bCs w:val="1"/>
          <w:color w:val="auto"/>
        </w:rPr>
        <w:t>Modification</w:t>
      </w:r>
      <w:r>
        <w:rPr>
          <w:rFonts w:ascii="Arial" w:cs="Arial" w:eastAsia="Arial" w:hAnsi="Arial"/>
          <w:sz w:val="19"/>
          <w:szCs w:val="19"/>
          <w:color w:val="auto"/>
        </w:rPr>
        <w:t>. The Agreement may not be amended or otherwise modified except in writing signed by both parties.</w:t>
      </w:r>
    </w:p>
    <w:p>
      <w:pPr>
        <w:spacing w:after="0" w:line="267" w:lineRule="exact"/>
        <w:rPr>
          <w:rFonts w:ascii="Arial" w:cs="Arial" w:eastAsia="Arial" w:hAnsi="Arial"/>
          <w:sz w:val="19"/>
          <w:szCs w:val="19"/>
          <w:b w:val="1"/>
          <w:bCs w:val="1"/>
          <w:color w:val="010000"/>
        </w:rPr>
      </w:pPr>
    </w:p>
    <w:p>
      <w:pPr>
        <w:jc w:val="both"/>
        <w:ind w:firstLine="656"/>
        <w:spacing w:after="0" w:line="262" w:lineRule="auto"/>
        <w:tabs>
          <w:tab w:leader="none" w:pos="1166"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70" w:lineRule="exact"/>
        <w:rPr>
          <w:rFonts w:ascii="Arial" w:cs="Arial" w:eastAsia="Arial" w:hAnsi="Arial"/>
          <w:sz w:val="22"/>
          <w:szCs w:val="22"/>
          <w:b w:val="1"/>
          <w:bCs w:val="1"/>
          <w:color w:val="010000"/>
        </w:rPr>
      </w:pPr>
    </w:p>
    <w:p>
      <w:pPr>
        <w:jc w:val="both"/>
        <w:ind w:firstLine="656"/>
        <w:spacing w:after="0" w:line="256" w:lineRule="auto"/>
        <w:tabs>
          <w:tab w:leader="none" w:pos="1098"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76" w:lineRule="exact"/>
        <w:rPr>
          <w:rFonts w:ascii="Arial" w:cs="Arial" w:eastAsia="Arial" w:hAnsi="Arial"/>
          <w:sz w:val="22"/>
          <w:szCs w:val="22"/>
          <w:b w:val="1"/>
          <w:bCs w:val="1"/>
          <w:color w:val="010000"/>
        </w:rPr>
      </w:pPr>
    </w:p>
    <w:p>
      <w:pPr>
        <w:jc w:val="both"/>
        <w:ind w:firstLine="656"/>
        <w:spacing w:after="0" w:line="256" w:lineRule="auto"/>
        <w:tabs>
          <w:tab w:leader="none" w:pos="1125"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 bind</w:t>
      </w:r>
      <w:r>
        <w:rPr>
          <w:rFonts w:ascii="Arial" w:cs="Arial" w:eastAsia="Arial" w:hAnsi="Arial"/>
          <w:sz w:val="22"/>
          <w:szCs w:val="22"/>
          <w:b w:val="1"/>
          <w:bCs w:val="1"/>
          <w:color w:val="auto"/>
        </w:rPr>
        <w:t xml:space="preserve"> </w:t>
      </w:r>
      <w:r>
        <w:rPr>
          <w:rFonts w:ascii="Arial" w:cs="Arial" w:eastAsia="Arial" w:hAnsi="Arial"/>
          <w:sz w:val="22"/>
          <w:szCs w:val="22"/>
          <w:color w:val="auto"/>
        </w:rPr>
        <w:t>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76" w:lineRule="exact"/>
        <w:rPr>
          <w:rFonts w:ascii="Arial" w:cs="Arial" w:eastAsia="Arial" w:hAnsi="Arial"/>
          <w:sz w:val="22"/>
          <w:szCs w:val="22"/>
          <w:b w:val="1"/>
          <w:bCs w:val="1"/>
          <w:color w:val="010000"/>
        </w:rPr>
      </w:pPr>
    </w:p>
    <w:p>
      <w:pPr>
        <w:jc w:val="both"/>
        <w:ind w:firstLine="656"/>
        <w:spacing w:after="0" w:line="256" w:lineRule="auto"/>
        <w:tabs>
          <w:tab w:leader="none" w:pos="1206"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Diamondback Energy, Inc. 2019 Amended and Restated Equity Incentive Plan</w:t>
      </w:r>
    </w:p>
    <w:p>
      <w:pPr>
        <w:sectPr>
          <w:pgSz w:w="11900" w:h="16838" w:orient="portrait"/>
          <w:cols w:equalWidth="0" w:num="1">
            <w:col w:w="11420"/>
          </w:cols>
          <w:pgMar w:left="240" w:top="132" w:right="239" w:bottom="0" w:gutter="0" w:footer="0" w:header="0"/>
        </w:sectPr>
      </w:pPr>
    </w:p>
    <w:bookmarkStart w:id="182" w:name="page183"/>
    <w:bookmarkEnd w:id="182"/>
    <w:p>
      <w:pPr>
        <w:ind w:left="5040"/>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ectPr>
          <w:pgSz w:w="11900" w:h="16838" w:orient="portrait"/>
          <w:cols w:equalWidth="0" w:num="1">
            <w:col w:w="10220"/>
          </w:cols>
          <w:pgMar w:left="1440" w:top="338"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DIAMONDBACK ENERGY, INC.</w:t>
      </w:r>
    </w:p>
    <w:p>
      <w:pPr>
        <w:spacing w:after="0" w:line="200" w:lineRule="exact"/>
        <w:rPr>
          <w:sz w:val="20"/>
          <w:szCs w:val="20"/>
          <w:color w:val="auto"/>
        </w:rPr>
      </w:pPr>
    </w:p>
    <w:p>
      <w:pPr>
        <w:spacing w:after="0" w:line="283" w:lineRule="exact"/>
        <w:rPr>
          <w:sz w:val="20"/>
          <w:szCs w:val="20"/>
          <w:color w:val="auto"/>
        </w:rPr>
      </w:pPr>
    </w:p>
    <w:p>
      <w:pPr>
        <w:ind w:left="1100"/>
        <w:spacing w:after="0"/>
        <w:rPr>
          <w:sz w:val="20"/>
          <w:szCs w:val="20"/>
          <w:color w:val="auto"/>
        </w:rPr>
      </w:pPr>
      <w:r>
        <w:rPr>
          <w:rFonts w:ascii="Arial" w:cs="Arial" w:eastAsia="Arial" w:hAnsi="Arial"/>
          <w:sz w:val="32"/>
          <w:szCs w:val="32"/>
          <w:b w:val="1"/>
          <w:bCs w:val="1"/>
          <w:color w:val="auto"/>
        </w:rPr>
        <w:t>SENIOR MANAGEMENT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Effective as of February 20, 2020</w:t>
      </w:r>
    </w:p>
    <w:p>
      <w:pPr>
        <w:sectPr>
          <w:pgSz w:w="11900" w:h="16838" w:orient="portrait"/>
          <w:cols w:equalWidth="0" w:num="1">
            <w:col w:w="10220"/>
          </w:cols>
          <w:pgMar w:left="1440" w:top="342"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81"/>
        </w:trPr>
        <w:tc>
          <w:tcPr>
            <w:tcW w:w="1620" w:type="dxa"/>
            <w:vAlign w:val="bottom"/>
          </w:tcPr>
          <w:p>
            <w:pPr>
              <w:spacing w:after="0"/>
              <w:rPr>
                <w:sz w:val="24"/>
                <w:szCs w:val="24"/>
                <w:color w:val="auto"/>
              </w:rPr>
            </w:pPr>
          </w:p>
        </w:tc>
        <w:tc>
          <w:tcPr>
            <w:tcW w:w="8560" w:type="dxa"/>
            <w:vAlign w:val="bottom"/>
          </w:tcPr>
          <w:p>
            <w:pPr>
              <w:ind w:left="3280"/>
              <w:spacing w:after="0"/>
              <w:rPr>
                <w:sz w:val="20"/>
                <w:szCs w:val="20"/>
                <w:color w:val="auto"/>
              </w:rPr>
            </w:pPr>
            <w:r>
              <w:rPr>
                <w:rFonts w:ascii="Arial" w:cs="Arial" w:eastAsia="Arial" w:hAnsi="Arial"/>
                <w:sz w:val="22"/>
                <w:szCs w:val="22"/>
                <w:b w:val="1"/>
                <w:bCs w:val="1"/>
                <w:color w:val="auto"/>
              </w:rPr>
              <w:t>Table of Contents</w:t>
            </w:r>
          </w:p>
        </w:tc>
        <w:tc>
          <w:tcPr>
            <w:tcW w:w="1240" w:type="dxa"/>
            <w:vAlign w:val="bottom"/>
          </w:tcPr>
          <w:p>
            <w:pPr>
              <w:spacing w:after="0"/>
              <w:rPr>
                <w:sz w:val="24"/>
                <w:szCs w:val="24"/>
                <w:color w:val="auto"/>
              </w:rPr>
            </w:pPr>
          </w:p>
        </w:tc>
      </w:tr>
      <w:tr>
        <w:trPr>
          <w:trHeight w:val="441"/>
        </w:trPr>
        <w:tc>
          <w:tcPr>
            <w:tcW w:w="16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22"/>
                <w:szCs w:val="22"/>
                <w:b w:val="1"/>
                <w:bCs w:val="1"/>
                <w:color w:val="auto"/>
              </w:rPr>
              <w:t>Page</w:t>
            </w:r>
          </w:p>
        </w:tc>
      </w:tr>
      <w:tr>
        <w:trPr>
          <w:trHeight w:val="306"/>
        </w:trPr>
        <w:tc>
          <w:tcPr>
            <w:tcW w:w="10180" w:type="dxa"/>
            <w:vAlign w:val="bottom"/>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ARTICLE 1 PURPOSE AND SCOPE</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1.1</w:t>
            </w:r>
          </w:p>
        </w:tc>
        <w:tc>
          <w:tcPr>
            <w:tcW w:w="8560" w:type="dxa"/>
            <w:vAlign w:val="bottom"/>
          </w:tcPr>
          <w:p>
            <w:pPr>
              <w:ind w:left="360"/>
              <w:spacing w:after="0"/>
              <w:rPr>
                <w:sz w:val="20"/>
                <w:szCs w:val="20"/>
                <w:color w:val="auto"/>
              </w:rPr>
            </w:pPr>
            <w:r>
              <w:rPr>
                <w:rFonts w:ascii="Arial" w:cs="Arial" w:eastAsia="Arial" w:hAnsi="Arial"/>
                <w:sz w:val="22"/>
                <w:szCs w:val="22"/>
                <w:color w:val="auto"/>
              </w:rPr>
              <w:t>Introduction</w:t>
            </w:r>
          </w:p>
        </w:tc>
        <w:tc>
          <w:tcPr>
            <w:tcW w:w="1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1.2</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Purpose</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1.3</w:t>
            </w:r>
          </w:p>
        </w:tc>
        <w:tc>
          <w:tcPr>
            <w:tcW w:w="8560" w:type="dxa"/>
            <w:vAlign w:val="bottom"/>
          </w:tcPr>
          <w:p>
            <w:pPr>
              <w:ind w:left="360"/>
              <w:spacing w:after="0"/>
              <w:rPr>
                <w:sz w:val="20"/>
                <w:szCs w:val="20"/>
                <w:color w:val="auto"/>
              </w:rPr>
            </w:pPr>
            <w:r>
              <w:rPr>
                <w:rFonts w:ascii="Arial" w:cs="Arial" w:eastAsia="Arial" w:hAnsi="Arial"/>
                <w:sz w:val="22"/>
                <w:szCs w:val="22"/>
                <w:color w:val="auto"/>
              </w:rPr>
              <w:t>Plan Status</w:t>
            </w:r>
          </w:p>
        </w:tc>
        <w:tc>
          <w:tcPr>
            <w:tcW w:w="1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198"/>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2 ELIGIBILITY FOR SEVERANCE BENEFITS</w:t>
            </w:r>
          </w:p>
        </w:tc>
        <w:tc>
          <w:tcPr>
            <w:tcW w:w="1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5"/>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2.1</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5"/>
              </w:rPr>
              <w:t>Payments and Benefits upon an Eligible Termination (Unrelated to a Change in Control)</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2.2</w:t>
            </w:r>
          </w:p>
        </w:tc>
        <w:tc>
          <w:tcPr>
            <w:tcW w:w="8560" w:type="dxa"/>
            <w:vAlign w:val="bottom"/>
          </w:tcPr>
          <w:p>
            <w:pPr>
              <w:ind w:left="360"/>
              <w:spacing w:after="0"/>
              <w:rPr>
                <w:sz w:val="20"/>
                <w:szCs w:val="20"/>
                <w:color w:val="auto"/>
              </w:rPr>
            </w:pPr>
            <w:r>
              <w:rPr>
                <w:rFonts w:ascii="Arial" w:cs="Arial" w:eastAsia="Arial" w:hAnsi="Arial"/>
                <w:sz w:val="22"/>
                <w:szCs w:val="22"/>
                <w:color w:val="auto"/>
              </w:rPr>
              <w:t>Severance Benefits upon an Eligible Termination (Related to a Change in Control)</w:t>
            </w:r>
          </w:p>
        </w:tc>
        <w:tc>
          <w:tcPr>
            <w:tcW w:w="1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2.3</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Payments upon a Termination of Employment Due to Death or Disability</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2.4</w:t>
            </w:r>
          </w:p>
        </w:tc>
        <w:tc>
          <w:tcPr>
            <w:tcW w:w="8560" w:type="dxa"/>
            <w:vAlign w:val="bottom"/>
          </w:tcPr>
          <w:p>
            <w:pPr>
              <w:ind w:left="360"/>
              <w:spacing w:after="0"/>
              <w:rPr>
                <w:sz w:val="20"/>
                <w:szCs w:val="20"/>
                <w:color w:val="auto"/>
              </w:rPr>
            </w:pPr>
            <w:r>
              <w:rPr>
                <w:rFonts w:ascii="Arial" w:cs="Arial" w:eastAsia="Arial" w:hAnsi="Arial"/>
                <w:sz w:val="22"/>
                <w:szCs w:val="22"/>
                <w:color w:val="auto"/>
              </w:rPr>
              <w:t>Release and Full Settlement; Payment Delay; Repayment Obligations</w:t>
            </w:r>
          </w:p>
        </w:tc>
        <w:tc>
          <w:tcPr>
            <w:tcW w:w="1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2.5</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Parachute Payments</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2.6</w:t>
            </w:r>
          </w:p>
        </w:tc>
        <w:tc>
          <w:tcPr>
            <w:tcW w:w="8560" w:type="dxa"/>
            <w:vAlign w:val="bottom"/>
          </w:tcPr>
          <w:p>
            <w:pPr>
              <w:ind w:left="360"/>
              <w:spacing w:after="0"/>
              <w:rPr>
                <w:sz w:val="20"/>
                <w:szCs w:val="20"/>
                <w:color w:val="auto"/>
              </w:rPr>
            </w:pPr>
            <w:r>
              <w:rPr>
                <w:rFonts w:ascii="Arial" w:cs="Arial" w:eastAsia="Arial" w:hAnsi="Arial"/>
                <w:sz w:val="22"/>
                <w:szCs w:val="22"/>
                <w:color w:val="auto"/>
              </w:rPr>
              <w:t>Coordination with Certain Other Agreements</w:t>
            </w:r>
          </w:p>
        </w:tc>
        <w:tc>
          <w:tcPr>
            <w:tcW w:w="12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2.7</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No Mitigation</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2.8</w:t>
            </w:r>
          </w:p>
        </w:tc>
        <w:tc>
          <w:tcPr>
            <w:tcW w:w="8560" w:type="dxa"/>
            <w:vAlign w:val="bottom"/>
          </w:tcPr>
          <w:p>
            <w:pPr>
              <w:ind w:left="360"/>
              <w:spacing w:after="0"/>
              <w:rPr>
                <w:sz w:val="20"/>
                <w:szCs w:val="20"/>
                <w:color w:val="auto"/>
              </w:rPr>
            </w:pPr>
            <w:r>
              <w:rPr>
                <w:rFonts w:ascii="Arial" w:cs="Arial" w:eastAsia="Arial" w:hAnsi="Arial"/>
                <w:sz w:val="22"/>
                <w:szCs w:val="22"/>
                <w:color w:val="auto"/>
              </w:rPr>
              <w:t>Deductions from Severance Benefits</w:t>
            </w:r>
          </w:p>
        </w:tc>
        <w:tc>
          <w:tcPr>
            <w:tcW w:w="12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198"/>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3 RESTRICTIVE CONVENANTS</w:t>
            </w:r>
          </w:p>
        </w:tc>
        <w:tc>
          <w:tcPr>
            <w:tcW w:w="12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05"/>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3.1</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Non-Competition and Non-Solicitation Obligations</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3.2</w:t>
            </w:r>
          </w:p>
        </w:tc>
        <w:tc>
          <w:tcPr>
            <w:tcW w:w="8560" w:type="dxa"/>
            <w:vAlign w:val="bottom"/>
          </w:tcPr>
          <w:p>
            <w:pPr>
              <w:ind w:left="360"/>
              <w:spacing w:after="0"/>
              <w:rPr>
                <w:sz w:val="20"/>
                <w:szCs w:val="20"/>
                <w:color w:val="auto"/>
              </w:rPr>
            </w:pPr>
            <w:r>
              <w:rPr>
                <w:rFonts w:ascii="Arial" w:cs="Arial" w:eastAsia="Arial" w:hAnsi="Arial"/>
                <w:sz w:val="22"/>
                <w:szCs w:val="22"/>
                <w:color w:val="auto"/>
              </w:rPr>
              <w:t>Limitations on Non-Competition</w:t>
            </w:r>
          </w:p>
        </w:tc>
        <w:tc>
          <w:tcPr>
            <w:tcW w:w="12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3.3</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Non-Disparagement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3.4</w:t>
            </w:r>
          </w:p>
        </w:tc>
        <w:tc>
          <w:tcPr>
            <w:tcW w:w="8560" w:type="dxa"/>
            <w:vAlign w:val="bottom"/>
          </w:tcPr>
          <w:p>
            <w:pPr>
              <w:ind w:left="360"/>
              <w:spacing w:after="0"/>
              <w:rPr>
                <w:sz w:val="20"/>
                <w:szCs w:val="20"/>
                <w:color w:val="auto"/>
              </w:rPr>
            </w:pPr>
            <w:r>
              <w:rPr>
                <w:rFonts w:ascii="Arial" w:cs="Arial" w:eastAsia="Arial" w:hAnsi="Arial"/>
                <w:sz w:val="22"/>
                <w:szCs w:val="22"/>
                <w:color w:val="auto"/>
              </w:rPr>
              <w:t>Return of Property</w:t>
            </w:r>
          </w:p>
        </w:tc>
        <w:tc>
          <w:tcPr>
            <w:tcW w:w="1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3.5</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Cooperation</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3.6</w:t>
            </w:r>
          </w:p>
        </w:tc>
        <w:tc>
          <w:tcPr>
            <w:tcW w:w="8560" w:type="dxa"/>
            <w:vAlign w:val="bottom"/>
          </w:tcPr>
          <w:p>
            <w:pPr>
              <w:ind w:left="360"/>
              <w:spacing w:after="0"/>
              <w:rPr>
                <w:sz w:val="20"/>
                <w:szCs w:val="20"/>
                <w:color w:val="auto"/>
              </w:rPr>
            </w:pPr>
            <w:r>
              <w:rPr>
                <w:rFonts w:ascii="Arial" w:cs="Arial" w:eastAsia="Arial" w:hAnsi="Arial"/>
                <w:sz w:val="22"/>
                <w:szCs w:val="22"/>
                <w:color w:val="auto"/>
              </w:rPr>
              <w:t>Confidential Information</w:t>
            </w:r>
          </w:p>
        </w:tc>
        <w:tc>
          <w:tcPr>
            <w:tcW w:w="1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198"/>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4 CLAIMS AND APPEAL PROCEDURES</w:t>
            </w:r>
          </w:p>
        </w:tc>
        <w:tc>
          <w:tcPr>
            <w:tcW w:w="12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05"/>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4.1</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Filing Claim for Benefits</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4.2</w:t>
            </w:r>
          </w:p>
        </w:tc>
        <w:tc>
          <w:tcPr>
            <w:tcW w:w="8560" w:type="dxa"/>
            <w:vAlign w:val="bottom"/>
          </w:tcPr>
          <w:p>
            <w:pPr>
              <w:ind w:left="360"/>
              <w:spacing w:after="0"/>
              <w:rPr>
                <w:sz w:val="20"/>
                <w:szCs w:val="20"/>
                <w:color w:val="auto"/>
              </w:rPr>
            </w:pPr>
            <w:r>
              <w:rPr>
                <w:rFonts w:ascii="Arial" w:cs="Arial" w:eastAsia="Arial" w:hAnsi="Arial"/>
                <w:sz w:val="22"/>
                <w:szCs w:val="22"/>
                <w:color w:val="auto"/>
              </w:rPr>
              <w:t>Notification by the Administrator</w:t>
            </w:r>
          </w:p>
        </w:tc>
        <w:tc>
          <w:tcPr>
            <w:tcW w:w="12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06"/>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4.3</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Review Procedure</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4.4</w:t>
            </w:r>
          </w:p>
        </w:tc>
        <w:tc>
          <w:tcPr>
            <w:tcW w:w="8560" w:type="dxa"/>
            <w:vAlign w:val="bottom"/>
          </w:tcPr>
          <w:p>
            <w:pPr>
              <w:ind w:left="360"/>
              <w:spacing w:after="0"/>
              <w:rPr>
                <w:sz w:val="20"/>
                <w:szCs w:val="20"/>
                <w:color w:val="auto"/>
              </w:rPr>
            </w:pPr>
            <w:r>
              <w:rPr>
                <w:rFonts w:ascii="Arial" w:cs="Arial" w:eastAsia="Arial" w:hAnsi="Arial"/>
                <w:sz w:val="22"/>
                <w:szCs w:val="22"/>
                <w:color w:val="auto"/>
              </w:rPr>
              <w:t>Administrator's Authority</w:t>
            </w:r>
          </w:p>
        </w:tc>
        <w:tc>
          <w:tcPr>
            <w:tcW w:w="12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198"/>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5 PLAN AND ADMINISTRATION</w:t>
            </w:r>
          </w:p>
        </w:tc>
        <w:tc>
          <w:tcPr>
            <w:tcW w:w="12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05"/>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5.1</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In General</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w:t>
            </w:r>
          </w:p>
        </w:tc>
      </w:tr>
      <w:tr>
        <w:trPr>
          <w:trHeight w:val="289"/>
        </w:trPr>
        <w:tc>
          <w:tcPr>
            <w:tcW w:w="1620" w:type="dxa"/>
            <w:vAlign w:val="bottom"/>
          </w:tcPr>
          <w:p>
            <w:pPr>
              <w:ind w:left="280"/>
              <w:spacing w:after="0"/>
              <w:rPr>
                <w:sz w:val="20"/>
                <w:szCs w:val="20"/>
                <w:color w:val="auto"/>
              </w:rPr>
            </w:pPr>
            <w:r>
              <w:rPr>
                <w:rFonts w:ascii="Arial" w:cs="Arial" w:eastAsia="Arial" w:hAnsi="Arial"/>
                <w:sz w:val="22"/>
                <w:szCs w:val="22"/>
                <w:color w:val="auto"/>
              </w:rPr>
              <w:t>Section 5.2</w:t>
            </w:r>
          </w:p>
        </w:tc>
        <w:tc>
          <w:tcPr>
            <w:tcW w:w="8560" w:type="dxa"/>
            <w:vAlign w:val="bottom"/>
          </w:tcPr>
          <w:p>
            <w:pPr>
              <w:ind w:left="360"/>
              <w:spacing w:after="0"/>
              <w:rPr>
                <w:sz w:val="20"/>
                <w:szCs w:val="20"/>
                <w:color w:val="auto"/>
              </w:rPr>
            </w:pPr>
            <w:r>
              <w:rPr>
                <w:rFonts w:ascii="Arial" w:cs="Arial" w:eastAsia="Arial" w:hAnsi="Arial"/>
                <w:sz w:val="22"/>
                <w:szCs w:val="22"/>
                <w:color w:val="auto"/>
              </w:rPr>
              <w:t>Reimbursement and Compensation</w:t>
            </w:r>
          </w:p>
        </w:tc>
        <w:tc>
          <w:tcPr>
            <w:tcW w:w="12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198"/>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6 ADMENDMENT AND TERMINATION</w:t>
            </w:r>
          </w:p>
        </w:tc>
        <w:tc>
          <w:tcPr>
            <w:tcW w:w="12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197"/>
        </w:trPr>
        <w:tc>
          <w:tcPr>
            <w:tcW w:w="1018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89"/>
        </w:trPr>
        <w:tc>
          <w:tcPr>
            <w:tcW w:w="101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7 CODE SECTION 409A</w:t>
            </w:r>
          </w:p>
        </w:tc>
        <w:tc>
          <w:tcPr>
            <w:tcW w:w="12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05"/>
        </w:trPr>
        <w:tc>
          <w:tcPr>
            <w:tcW w:w="162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7.1</w:t>
            </w:r>
          </w:p>
        </w:tc>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Deferred Compensation Exceptions</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r>
      <w:tr>
        <w:trPr>
          <w:trHeight w:val="280"/>
        </w:trPr>
        <w:tc>
          <w:tcPr>
            <w:tcW w:w="1620" w:type="dxa"/>
            <w:vAlign w:val="bottom"/>
          </w:tcPr>
          <w:p>
            <w:pPr>
              <w:ind w:left="280"/>
              <w:spacing w:after="0"/>
              <w:rPr>
                <w:sz w:val="20"/>
                <w:szCs w:val="20"/>
                <w:color w:val="auto"/>
              </w:rPr>
            </w:pPr>
            <w:r>
              <w:rPr>
                <w:rFonts w:ascii="Arial" w:cs="Arial" w:eastAsia="Arial" w:hAnsi="Arial"/>
                <w:sz w:val="22"/>
                <w:szCs w:val="22"/>
                <w:color w:val="auto"/>
              </w:rPr>
              <w:t>Section 7.2</w:t>
            </w:r>
          </w:p>
        </w:tc>
        <w:tc>
          <w:tcPr>
            <w:tcW w:w="8560" w:type="dxa"/>
            <w:vAlign w:val="bottom"/>
          </w:tcPr>
          <w:p>
            <w:pPr>
              <w:ind w:left="360"/>
              <w:spacing w:after="0"/>
              <w:rPr>
                <w:sz w:val="20"/>
                <w:szCs w:val="20"/>
                <w:color w:val="auto"/>
              </w:rPr>
            </w:pPr>
            <w:r>
              <w:rPr>
                <w:rFonts w:ascii="Arial" w:cs="Arial" w:eastAsia="Arial" w:hAnsi="Arial"/>
                <w:sz w:val="22"/>
                <w:szCs w:val="22"/>
                <w:color w:val="auto"/>
              </w:rPr>
              <w:t>Separate Payments and Payment Timing</w:t>
            </w:r>
          </w:p>
        </w:tc>
        <w:tc>
          <w:tcPr>
            <w:tcW w:w="1240" w:type="dxa"/>
            <w:vAlign w:val="bottom"/>
          </w:tcPr>
          <w:p>
            <w:pPr>
              <w:jc w:val="right"/>
              <w:spacing w:after="0"/>
              <w:rPr>
                <w:sz w:val="20"/>
                <w:szCs w:val="20"/>
                <w:color w:val="auto"/>
              </w:rPr>
            </w:pPr>
            <w:r>
              <w:rPr>
                <w:rFonts w:ascii="Arial" w:cs="Arial" w:eastAsia="Arial" w:hAnsi="Arial"/>
                <w:sz w:val="22"/>
                <w:szCs w:val="22"/>
                <w:color w:val="auto"/>
              </w:rPr>
              <w:t>13</w:t>
            </w:r>
          </w:p>
        </w:tc>
      </w:tr>
    </w:tbl>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12"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97"/>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7.3</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General Section 409A Provisions</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7.4</w:t>
            </w:r>
          </w:p>
        </w:tc>
        <w:tc>
          <w:tcPr>
            <w:tcW w:w="7780" w:type="dxa"/>
            <w:vAlign w:val="bottom"/>
          </w:tcPr>
          <w:p>
            <w:pPr>
              <w:ind w:left="280"/>
              <w:spacing w:after="0"/>
              <w:rPr>
                <w:sz w:val="20"/>
                <w:szCs w:val="20"/>
                <w:color w:val="auto"/>
              </w:rPr>
            </w:pPr>
            <w:r>
              <w:rPr>
                <w:rFonts w:ascii="Arial" w:cs="Arial" w:eastAsia="Arial" w:hAnsi="Arial"/>
                <w:sz w:val="22"/>
                <w:szCs w:val="22"/>
                <w:color w:val="auto"/>
              </w:rPr>
              <w:t>Specified Employee Status</w:t>
            </w:r>
          </w:p>
        </w:tc>
        <w:tc>
          <w:tcPr>
            <w:tcW w:w="19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198"/>
        </w:trPr>
        <w:tc>
          <w:tcPr>
            <w:tcW w:w="948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89"/>
        </w:trPr>
        <w:tc>
          <w:tcPr>
            <w:tcW w:w="94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8 MISCELLANEOUS INFORMATION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05"/>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8.1</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Other Participating Employers</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8.2</w:t>
            </w:r>
          </w:p>
        </w:tc>
        <w:tc>
          <w:tcPr>
            <w:tcW w:w="7780" w:type="dxa"/>
            <w:vAlign w:val="bottom"/>
          </w:tcPr>
          <w:p>
            <w:pPr>
              <w:ind w:left="280"/>
              <w:spacing w:after="0"/>
              <w:rPr>
                <w:sz w:val="20"/>
                <w:szCs w:val="20"/>
                <w:color w:val="auto"/>
              </w:rPr>
            </w:pPr>
            <w:r>
              <w:rPr>
                <w:rFonts w:ascii="Arial" w:cs="Arial" w:eastAsia="Arial" w:hAnsi="Arial"/>
                <w:sz w:val="22"/>
                <w:szCs w:val="22"/>
                <w:color w:val="auto"/>
              </w:rPr>
              <w:t>Limitation of Rights</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8.3</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Governing Law</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8.4</w:t>
            </w:r>
          </w:p>
        </w:tc>
        <w:tc>
          <w:tcPr>
            <w:tcW w:w="7780" w:type="dxa"/>
            <w:vAlign w:val="bottom"/>
          </w:tcPr>
          <w:p>
            <w:pPr>
              <w:ind w:left="280"/>
              <w:spacing w:after="0"/>
              <w:rPr>
                <w:sz w:val="20"/>
                <w:szCs w:val="20"/>
                <w:color w:val="auto"/>
              </w:rPr>
            </w:pPr>
            <w:r>
              <w:rPr>
                <w:rFonts w:ascii="Arial" w:cs="Arial" w:eastAsia="Arial" w:hAnsi="Arial"/>
                <w:sz w:val="22"/>
                <w:szCs w:val="22"/>
                <w:color w:val="auto"/>
              </w:rPr>
              <w:t>Jurisdiction and Venue</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8.5</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Waiver of Trial by Jury</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8.6</w:t>
            </w:r>
          </w:p>
        </w:tc>
        <w:tc>
          <w:tcPr>
            <w:tcW w:w="7780" w:type="dxa"/>
            <w:vAlign w:val="bottom"/>
          </w:tcPr>
          <w:p>
            <w:pPr>
              <w:ind w:left="280"/>
              <w:spacing w:after="0"/>
              <w:rPr>
                <w:sz w:val="20"/>
                <w:szCs w:val="20"/>
                <w:color w:val="auto"/>
              </w:rPr>
            </w:pPr>
            <w:r>
              <w:rPr>
                <w:rFonts w:ascii="Arial" w:cs="Arial" w:eastAsia="Arial" w:hAnsi="Arial"/>
                <w:sz w:val="22"/>
                <w:szCs w:val="22"/>
                <w:color w:val="auto"/>
              </w:rPr>
              <w:t>No Assignment</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8.7</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Severability</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8.8</w:t>
            </w:r>
          </w:p>
        </w:tc>
        <w:tc>
          <w:tcPr>
            <w:tcW w:w="7780" w:type="dxa"/>
            <w:vAlign w:val="bottom"/>
          </w:tcPr>
          <w:p>
            <w:pPr>
              <w:ind w:left="280"/>
              <w:spacing w:after="0"/>
              <w:rPr>
                <w:sz w:val="20"/>
                <w:szCs w:val="20"/>
                <w:color w:val="auto"/>
              </w:rPr>
            </w:pPr>
            <w:r>
              <w:rPr>
                <w:rFonts w:ascii="Arial" w:cs="Arial" w:eastAsia="Arial" w:hAnsi="Arial"/>
                <w:sz w:val="22"/>
                <w:szCs w:val="22"/>
                <w:color w:val="auto"/>
              </w:rPr>
              <w:t>Information Requested</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8.9</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Basis of Payments to and From Plan</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w:t>
            </w:r>
          </w:p>
        </w:tc>
      </w:tr>
      <w:tr>
        <w:trPr>
          <w:trHeight w:val="189"/>
        </w:trPr>
        <w:tc>
          <w:tcPr>
            <w:tcW w:w="9480" w:type="dxa"/>
            <w:vAlign w:val="bottom"/>
            <w:gridSpan w:val="2"/>
          </w:tcPr>
          <w:p>
            <w:pPr>
              <w:spacing w:after="0"/>
              <w:rPr>
                <w:sz w:val="16"/>
                <w:szCs w:val="16"/>
                <w:color w:val="auto"/>
              </w:rPr>
            </w:pPr>
          </w:p>
        </w:tc>
        <w:tc>
          <w:tcPr>
            <w:tcW w:w="1940" w:type="dxa"/>
            <w:vAlign w:val="bottom"/>
          </w:tcPr>
          <w:p>
            <w:pPr>
              <w:spacing w:after="0"/>
              <w:rPr>
                <w:sz w:val="16"/>
                <w:szCs w:val="16"/>
                <w:color w:val="auto"/>
              </w:rPr>
            </w:pPr>
          </w:p>
        </w:tc>
      </w:tr>
      <w:tr>
        <w:trPr>
          <w:trHeight w:val="297"/>
        </w:trPr>
        <w:tc>
          <w:tcPr>
            <w:tcW w:w="9480" w:type="dxa"/>
            <w:vAlign w:val="bottom"/>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ARTICLE 9 DEFINITIONS AND CONSTRUCTION</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9.1</w:t>
            </w:r>
          </w:p>
        </w:tc>
        <w:tc>
          <w:tcPr>
            <w:tcW w:w="7780" w:type="dxa"/>
            <w:vAlign w:val="bottom"/>
          </w:tcPr>
          <w:p>
            <w:pPr>
              <w:ind w:left="280"/>
              <w:spacing w:after="0"/>
              <w:rPr>
                <w:sz w:val="20"/>
                <w:szCs w:val="20"/>
                <w:color w:val="auto"/>
              </w:rPr>
            </w:pPr>
            <w:r>
              <w:rPr>
                <w:rFonts w:ascii="Arial" w:cs="Arial" w:eastAsia="Arial" w:hAnsi="Arial"/>
                <w:sz w:val="22"/>
                <w:szCs w:val="22"/>
                <w:color w:val="auto"/>
              </w:rPr>
              <w:t>Definitions</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9.2</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Number and Gender</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9.3</w:t>
            </w:r>
          </w:p>
        </w:tc>
        <w:tc>
          <w:tcPr>
            <w:tcW w:w="7780" w:type="dxa"/>
            <w:vAlign w:val="bottom"/>
          </w:tcPr>
          <w:p>
            <w:pPr>
              <w:ind w:left="280"/>
              <w:spacing w:after="0"/>
              <w:rPr>
                <w:sz w:val="20"/>
                <w:szCs w:val="20"/>
                <w:color w:val="auto"/>
              </w:rPr>
            </w:pPr>
            <w:r>
              <w:rPr>
                <w:rFonts w:ascii="Arial" w:cs="Arial" w:eastAsia="Arial" w:hAnsi="Arial"/>
                <w:sz w:val="22"/>
                <w:szCs w:val="22"/>
                <w:color w:val="auto"/>
              </w:rPr>
              <w:t>Headings</w:t>
            </w:r>
          </w:p>
        </w:tc>
        <w:tc>
          <w:tcPr>
            <w:tcW w:w="19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198"/>
        </w:trPr>
        <w:tc>
          <w:tcPr>
            <w:tcW w:w="948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89"/>
        </w:trPr>
        <w:tc>
          <w:tcPr>
            <w:tcW w:w="94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A - SUMMARY PLAN DESCRIPTION ADDITIONAL INFORMATION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170"/>
        </w:trPr>
        <w:tc>
          <w:tcPr>
            <w:tcW w:w="9480" w:type="dxa"/>
            <w:vAlign w:val="bottom"/>
            <w:gridSpan w:val="2"/>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289"/>
        </w:trPr>
        <w:tc>
          <w:tcPr>
            <w:tcW w:w="94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1 OTHER PLAN INFORMATION</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5"/>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1101</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Employer and Plan Identification Numbers</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1102</w:t>
            </w:r>
          </w:p>
        </w:tc>
        <w:tc>
          <w:tcPr>
            <w:tcW w:w="7780" w:type="dxa"/>
            <w:vAlign w:val="bottom"/>
          </w:tcPr>
          <w:p>
            <w:pPr>
              <w:ind w:left="280"/>
              <w:spacing w:after="0"/>
              <w:rPr>
                <w:sz w:val="20"/>
                <w:szCs w:val="20"/>
                <w:color w:val="auto"/>
              </w:rPr>
            </w:pPr>
            <w:r>
              <w:rPr>
                <w:rFonts w:ascii="Arial" w:cs="Arial" w:eastAsia="Arial" w:hAnsi="Arial"/>
                <w:sz w:val="22"/>
                <w:szCs w:val="22"/>
                <w:color w:val="auto"/>
              </w:rPr>
              <w:t>Ending Date for Plan's Fiscal Year</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06"/>
        </w:trPr>
        <w:tc>
          <w:tcPr>
            <w:tcW w:w="17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Section 1103</w:t>
            </w:r>
          </w:p>
        </w:tc>
        <w:tc>
          <w:tcPr>
            <w:tcW w:w="7780" w:type="dxa"/>
            <w:vAlign w:val="bottom"/>
            <w:shd w:val="clear" w:color="auto" w:fill="CCEEFF"/>
          </w:tcPr>
          <w:p>
            <w:pPr>
              <w:ind w:left="280"/>
              <w:spacing w:after="0"/>
              <w:rPr>
                <w:sz w:val="20"/>
                <w:szCs w:val="20"/>
                <w:color w:val="auto"/>
              </w:rPr>
            </w:pPr>
            <w:r>
              <w:rPr>
                <w:rFonts w:ascii="Arial" w:cs="Arial" w:eastAsia="Arial" w:hAnsi="Arial"/>
                <w:sz w:val="22"/>
                <w:szCs w:val="22"/>
                <w:color w:val="auto"/>
              </w:rPr>
              <w:t>Agent for the Service of Legal Process</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r>
      <w:tr>
        <w:trPr>
          <w:trHeight w:val="289"/>
        </w:trPr>
        <w:tc>
          <w:tcPr>
            <w:tcW w:w="1700" w:type="dxa"/>
            <w:vAlign w:val="bottom"/>
          </w:tcPr>
          <w:p>
            <w:pPr>
              <w:ind w:left="280"/>
              <w:spacing w:after="0"/>
              <w:rPr>
                <w:sz w:val="20"/>
                <w:szCs w:val="20"/>
                <w:color w:val="auto"/>
              </w:rPr>
            </w:pPr>
            <w:r>
              <w:rPr>
                <w:rFonts w:ascii="Arial" w:cs="Arial" w:eastAsia="Arial" w:hAnsi="Arial"/>
                <w:sz w:val="22"/>
                <w:szCs w:val="22"/>
                <w:color w:val="auto"/>
              </w:rPr>
              <w:t>Section 1104</w:t>
            </w:r>
          </w:p>
        </w:tc>
        <w:tc>
          <w:tcPr>
            <w:tcW w:w="7780" w:type="dxa"/>
            <w:vAlign w:val="bottom"/>
          </w:tcPr>
          <w:p>
            <w:pPr>
              <w:ind w:left="280"/>
              <w:spacing w:after="0"/>
              <w:rPr>
                <w:sz w:val="20"/>
                <w:szCs w:val="20"/>
                <w:color w:val="auto"/>
              </w:rPr>
            </w:pPr>
            <w:r>
              <w:rPr>
                <w:rFonts w:ascii="Arial" w:cs="Arial" w:eastAsia="Arial" w:hAnsi="Arial"/>
                <w:sz w:val="22"/>
                <w:szCs w:val="22"/>
                <w:color w:val="auto"/>
              </w:rPr>
              <w:t>Plan Sponsor and Administrator</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198"/>
        </w:trPr>
        <w:tc>
          <w:tcPr>
            <w:tcW w:w="948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89"/>
        </w:trPr>
        <w:tc>
          <w:tcPr>
            <w:tcW w:w="9480" w:type="dxa"/>
            <w:vAlign w:val="bottom"/>
            <w:gridSpan w:val="2"/>
          </w:tcPr>
          <w:p>
            <w:pPr>
              <w:ind w:left="40"/>
              <w:spacing w:after="0"/>
              <w:rPr>
                <w:sz w:val="20"/>
                <w:szCs w:val="20"/>
                <w:color w:val="auto"/>
              </w:rPr>
            </w:pPr>
            <w:r>
              <w:rPr>
                <w:rFonts w:ascii="Arial" w:cs="Arial" w:eastAsia="Arial" w:hAnsi="Arial"/>
                <w:sz w:val="22"/>
                <w:szCs w:val="22"/>
                <w:b w:val="1"/>
                <w:bCs w:val="1"/>
                <w:color w:val="auto"/>
              </w:rPr>
              <w:t>ARTICLE 2 STATEMENT OF ERISA RIGHTS</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05"/>
        </w:trPr>
        <w:tc>
          <w:tcPr>
            <w:tcW w:w="948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Schedule A - Applicable Factor</w:t>
            </w:r>
          </w:p>
        </w:tc>
        <w:tc>
          <w:tcPr>
            <w:tcW w:w="1940" w:type="dxa"/>
            <w:vAlign w:val="bottom"/>
            <w:shd w:val="clear" w:color="auto" w:fill="CCEEFF"/>
          </w:tcPr>
          <w:p>
            <w:pPr>
              <w:spacing w:after="0"/>
              <w:rPr>
                <w:sz w:val="24"/>
                <w:szCs w:val="24"/>
                <w:color w:val="auto"/>
              </w:rPr>
            </w:pPr>
          </w:p>
        </w:tc>
      </w:tr>
      <w:tr>
        <w:trPr>
          <w:trHeight w:val="289"/>
        </w:trPr>
        <w:tc>
          <w:tcPr>
            <w:tcW w:w="9480" w:type="dxa"/>
            <w:vAlign w:val="bottom"/>
            <w:gridSpan w:val="2"/>
          </w:tcPr>
          <w:p>
            <w:pPr>
              <w:ind w:left="280"/>
              <w:spacing w:after="0"/>
              <w:rPr>
                <w:sz w:val="20"/>
                <w:szCs w:val="20"/>
                <w:color w:val="auto"/>
              </w:rPr>
            </w:pPr>
            <w:r>
              <w:rPr>
                <w:rFonts w:ascii="Arial" w:cs="Arial" w:eastAsia="Arial" w:hAnsi="Arial"/>
                <w:sz w:val="22"/>
                <w:szCs w:val="22"/>
                <w:color w:val="auto"/>
              </w:rPr>
              <w:t>Schedule B - Number of Months</w:t>
            </w:r>
          </w:p>
        </w:tc>
        <w:tc>
          <w:tcPr>
            <w:tcW w:w="1940" w:type="dxa"/>
            <w:vAlign w:val="bottom"/>
          </w:tcPr>
          <w:p>
            <w:pPr>
              <w:spacing w:after="0"/>
              <w:rPr>
                <w:sz w:val="24"/>
                <w:szCs w:val="24"/>
                <w:color w:val="auto"/>
              </w:rPr>
            </w:pPr>
          </w:p>
        </w:tc>
      </w:tr>
      <w:tr>
        <w:trPr>
          <w:trHeight w:val="306"/>
        </w:trPr>
        <w:tc>
          <w:tcPr>
            <w:tcW w:w="9480" w:type="dxa"/>
            <w:vAlign w:val="bottom"/>
            <w:gridSpan w:val="2"/>
            <w:shd w:val="clear" w:color="auto" w:fill="CCEEFF"/>
          </w:tcPr>
          <w:p>
            <w:pPr>
              <w:ind w:left="280"/>
              <w:spacing w:after="0"/>
              <w:rPr>
                <w:sz w:val="20"/>
                <w:szCs w:val="20"/>
                <w:color w:val="auto"/>
              </w:rPr>
            </w:pPr>
            <w:r>
              <w:rPr>
                <w:rFonts w:ascii="Arial" w:cs="Arial" w:eastAsia="Arial" w:hAnsi="Arial"/>
                <w:sz w:val="22"/>
                <w:szCs w:val="22"/>
                <w:color w:val="auto"/>
              </w:rPr>
              <w:t>Schedule C - Forms of Participation Agreement</w:t>
            </w:r>
          </w:p>
        </w:tc>
        <w:tc>
          <w:tcPr>
            <w:tcW w:w="19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747"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color w:val="auto"/>
        </w:rPr>
        <w:t>DIAMONDBACK ENERGY,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SEVERANCE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February 20, 2020</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Diamondback Energy, Inc., a Delaware corporation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pursuant to the authorization of the Compensation Committee of the Board, hereby adopts this Diamondback Energy, Inc. Senior Management Severance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to provide certain severance pay benefits to Eligible Senior Executives who experience an Eligible Termination, in each case, under the terms and conditions provided herein.</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AND SCOPE</w:t>
      </w:r>
    </w:p>
    <w:p>
      <w:pPr>
        <w:spacing w:after="0" w:line="20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010000"/>
        </w:rPr>
        <w:t xml:space="preserve">Section 1.1 </w:t>
      </w:r>
      <w:r>
        <w:rPr>
          <w:rFonts w:ascii="Arial" w:cs="Arial" w:eastAsia="Arial" w:hAnsi="Arial"/>
          <w:sz w:val="21"/>
          <w:szCs w:val="21"/>
          <w:b w:val="1"/>
          <w:bCs w:val="1"/>
          <w:color w:val="000000"/>
        </w:rPr>
        <w:t>Introduction</w:t>
      </w:r>
      <w:r>
        <w:rPr>
          <w:rFonts w:ascii="Arial" w:cs="Arial" w:eastAsia="Arial" w:hAnsi="Arial"/>
          <w:sz w:val="21"/>
          <w:szCs w:val="21"/>
          <w:color w:val="000000"/>
        </w:rPr>
        <w:t>. The Plan is being adopted pursuant to the authorization of the Compensation Committee of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Board for the benefit of certain Eligible Senior Executives of the Company or any other adopting Employer.</w:t>
      </w:r>
    </w:p>
    <w:p>
      <w:pPr>
        <w:spacing w:after="0" w:line="14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Section 1.2 </w:t>
      </w:r>
      <w:r>
        <w:rPr>
          <w:rFonts w:ascii="Arial" w:cs="Arial" w:eastAsia="Arial" w:hAnsi="Arial"/>
          <w:sz w:val="22"/>
          <w:szCs w:val="22"/>
          <w:b w:val="1"/>
          <w:bCs w:val="1"/>
          <w:color w:val="000000"/>
        </w:rPr>
        <w:t>Purpose</w:t>
      </w:r>
      <w:r>
        <w:rPr>
          <w:rFonts w:ascii="Arial" w:cs="Arial" w:eastAsia="Arial" w:hAnsi="Arial"/>
          <w:sz w:val="22"/>
          <w:szCs w:val="22"/>
          <w:color w:val="000000"/>
        </w:rPr>
        <w:t>. The purpose of the Plan is to provide severance pay benefits under the terms and conditions</w:t>
      </w:r>
      <w:r>
        <w:rPr>
          <w:rFonts w:ascii="Arial" w:cs="Arial" w:eastAsia="Arial" w:hAnsi="Arial"/>
          <w:sz w:val="22"/>
          <w:szCs w:val="22"/>
          <w:b w:val="1"/>
          <w:bCs w:val="1"/>
          <w:color w:val="010000"/>
        </w:rPr>
        <w:t xml:space="preserve"> </w:t>
      </w:r>
      <w:r>
        <w:rPr>
          <w:rFonts w:ascii="Arial" w:cs="Arial" w:eastAsia="Arial" w:hAnsi="Arial"/>
          <w:sz w:val="22"/>
          <w:szCs w:val="22"/>
          <w:color w:val="000000"/>
        </w:rPr>
        <w:t>specified in Article 2 and Article 3 to Eligible Senior Executives who are subject to an Eligible Termination. The severance pay benefits provided hereunder are not required by law and nothing herein creates an obligation to pay severance pay benefits of any kind or amount, except as provided by this Plan. No other employee of the Company, an Affiliate, an Employer or any other Person shall have any rights to benefits under this Plan.</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010000"/>
        </w:rPr>
        <w:t xml:space="preserve">Section 1.3 </w:t>
      </w:r>
      <w:r>
        <w:rPr>
          <w:rFonts w:ascii="Arial" w:cs="Arial" w:eastAsia="Arial" w:hAnsi="Arial"/>
          <w:sz w:val="22"/>
          <w:szCs w:val="22"/>
          <w:b w:val="1"/>
          <w:bCs w:val="1"/>
          <w:color w:val="000000"/>
        </w:rPr>
        <w:t>Plan Status</w:t>
      </w:r>
      <w:r>
        <w:rPr>
          <w:rFonts w:ascii="Arial" w:cs="Arial" w:eastAsia="Arial" w:hAnsi="Arial"/>
          <w:sz w:val="22"/>
          <w:szCs w:val="22"/>
          <w:color w:val="000000"/>
        </w:rPr>
        <w:t>. For tax purposes and for purposes of Title I of ERISA, this Plan document is intended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governed by ERISA as both an unfunded “employee welfare benefit plan” within the meaning of Section 3(l) of ERISA and a “pension plan” within the meaning of Section 3(2) of ERISA that is an unfunded plan maintained primarily for the purpose of providing deferred compensation for a select group of management or highly compensated employees, and shall be interpreted accordingly. This document is intended to serve as both the plan document and, together with the additional information in Appendix A, the summary plan description for the Plan.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FOR SEVERANCE BENEFITS</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010000"/>
        </w:rPr>
        <w:t xml:space="preserve">Section 2.1 </w:t>
      </w:r>
      <w:r>
        <w:rPr>
          <w:rFonts w:ascii="Arial" w:cs="Arial" w:eastAsia="Arial" w:hAnsi="Arial"/>
          <w:sz w:val="22"/>
          <w:szCs w:val="22"/>
          <w:b w:val="1"/>
          <w:bCs w:val="1"/>
          <w:color w:val="000000"/>
        </w:rPr>
        <w:t>Payments and Benefits upon an Eligible Termination (Unrelated to a Change in Control)</w:t>
      </w:r>
      <w:r>
        <w:rPr>
          <w:rFonts w:ascii="Arial" w:cs="Arial" w:eastAsia="Arial" w:hAnsi="Arial"/>
          <w:sz w:val="22"/>
          <w:szCs w:val="22"/>
          <w:color w:val="000000"/>
        </w:rPr>
        <w:t>. Subject to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further provisions of this Article 2 and the Participant’s continued compliance with his or her obligations under Article 3 hereof, upon a Participant’s Eligible Termination (other than on account of death or Disability) that does not occur within the Protection Period:</w:t>
      </w:r>
    </w:p>
    <w:p>
      <w:pPr>
        <w:spacing w:after="0" w:line="186" w:lineRule="exact"/>
        <w:rPr>
          <w:sz w:val="20"/>
          <w:szCs w:val="20"/>
          <w:color w:val="auto"/>
        </w:rPr>
      </w:pPr>
    </w:p>
    <w:p>
      <w:pPr>
        <w:ind w:firstLine="1305"/>
        <w:spacing w:after="0" w:line="263" w:lineRule="auto"/>
        <w:tabs>
          <w:tab w:leader="none" w:pos="1982"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Employer will pay or provide to the Participant, the Participant’s Accrued Obligations, including any payments required by applicable law;</w:t>
      </w:r>
    </w:p>
    <w:p>
      <w:pPr>
        <w:spacing w:after="0" w:line="174" w:lineRule="exact"/>
        <w:rPr>
          <w:rFonts w:ascii="Arial" w:cs="Arial" w:eastAsia="Arial" w:hAnsi="Arial"/>
          <w:sz w:val="22"/>
          <w:szCs w:val="22"/>
          <w:color w:val="010000"/>
        </w:rPr>
      </w:pPr>
    </w:p>
    <w:p>
      <w:pPr>
        <w:jc w:val="both"/>
        <w:ind w:firstLine="1305"/>
        <w:spacing w:after="0" w:line="312" w:lineRule="auto"/>
        <w:tabs>
          <w:tab w:leader="none" w:pos="1792"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Prior Year Unpaid Bonus Payment Amount</w:t>
      </w:r>
      <w:r>
        <w:rPr>
          <w:rFonts w:ascii="Arial" w:cs="Arial" w:eastAsia="Arial" w:hAnsi="Arial"/>
          <w:sz w:val="19"/>
          <w:szCs w:val="19"/>
          <w:color w:val="auto"/>
        </w:rPr>
        <w:t>. The Employer will pay an amount, if any, equal to the bonus that would be payable for services attributable to a completed prior year performance period that, as of the Termination Date, has not been paid under the terms of the Diamondback Energy, Inc. 2014 Executive Annual Incentive Compensation Plan, or any</w:t>
      </w:r>
    </w:p>
    <w:p>
      <w:pPr>
        <w:sectPr>
          <w:pgSz w:w="11900" w:h="16838" w:orient="portrait"/>
          <w:cols w:equalWidth="0" w:num="1">
            <w:col w:w="11420"/>
          </w:cols>
          <w:pgMar w:left="240" w:top="598" w:right="239" w:bottom="1440" w:gutter="0" w:footer="0" w:header="0"/>
        </w:sectPr>
      </w:pPr>
    </w:p>
    <w:bookmarkStart w:id="187" w:name="page188"/>
    <w:bookmarkEnd w:id="187"/>
    <w:p>
      <w:pPr>
        <w:jc w:val="both"/>
        <w:spacing w:after="0" w:line="253" w:lineRule="auto"/>
        <w:rPr>
          <w:sz w:val="20"/>
          <w:szCs w:val="20"/>
          <w:color w:val="auto"/>
        </w:rPr>
      </w:pPr>
      <w:r>
        <w:rPr>
          <w:rFonts w:ascii="Arial" w:cs="Arial" w:eastAsia="Arial" w:hAnsi="Arial"/>
          <w:sz w:val="22"/>
          <w:szCs w:val="22"/>
          <w:color w:val="auto"/>
        </w:rPr>
        <w:t>successor thereto. The prior year bonus payment amount will be paid after, and only to the extent, it is certified by the Compensation Committee of the Board, and will be paid at the same time bonuses to similarly situated executives are paid, as if the terminated Participant continued to be employed on the certification and bonus payment dates;</w:t>
      </w:r>
    </w:p>
    <w:p>
      <w:pPr>
        <w:spacing w:after="0" w:line="186" w:lineRule="exact"/>
        <w:rPr>
          <w:sz w:val="20"/>
          <w:szCs w:val="20"/>
          <w:color w:val="auto"/>
        </w:rPr>
      </w:pPr>
    </w:p>
    <w:p>
      <w:pPr>
        <w:jc w:val="both"/>
        <w:ind w:firstLine="1305"/>
        <w:spacing w:after="0" w:line="261" w:lineRule="auto"/>
        <w:tabs>
          <w:tab w:leader="none" w:pos="1766" w:val="left"/>
        </w:tabs>
        <w:numPr>
          <w:ilvl w:val="0"/>
          <w:numId w:val="65"/>
        </w:numPr>
        <w:rPr>
          <w:rFonts w:ascii="Arial" w:cs="Arial" w:eastAsia="Arial" w:hAnsi="Arial"/>
          <w:sz w:val="21"/>
          <w:szCs w:val="21"/>
          <w:color w:val="010000"/>
        </w:rPr>
      </w:pPr>
      <w:r>
        <w:rPr>
          <w:rFonts w:ascii="Arial" w:cs="Arial" w:eastAsia="Arial" w:hAnsi="Arial"/>
          <w:sz w:val="21"/>
          <w:szCs w:val="21"/>
          <w:u w:val="single" w:color="auto"/>
          <w:color w:val="auto"/>
        </w:rPr>
        <w:t>Base Salary Continuation</w:t>
      </w:r>
      <w:r>
        <w:rPr>
          <w:rFonts w:ascii="Arial" w:cs="Arial" w:eastAsia="Arial" w:hAnsi="Arial"/>
          <w:sz w:val="21"/>
          <w:szCs w:val="21"/>
          <w:color w:val="auto"/>
        </w:rPr>
        <w:t>. For each month during the period following the Termination Date that applies to the Participant as specified in Schedule A, the Employer will continue to pay to the Participant an amount equal to the product of (i) his or her monthly base salary, as in effect immediately prior to the Eligible Termination (or immediately prior to any event constituting Good Reason, if applicable), multiplied by (ii) the multiple specified in Schedule A that is applicable to such Participant. The Base Salary Continuation amount will be payable in substantially equal periodic installments commencing on the Payment Date in accordance with the normal payroll practices of the Employer;</w:t>
      </w:r>
    </w:p>
    <w:p>
      <w:pPr>
        <w:spacing w:after="0" w:line="180" w:lineRule="exact"/>
        <w:rPr>
          <w:rFonts w:ascii="Arial" w:cs="Arial" w:eastAsia="Arial" w:hAnsi="Arial"/>
          <w:sz w:val="21"/>
          <w:szCs w:val="21"/>
          <w:color w:val="010000"/>
        </w:rPr>
      </w:pPr>
    </w:p>
    <w:p>
      <w:pPr>
        <w:jc w:val="both"/>
        <w:ind w:firstLine="1305"/>
        <w:spacing w:after="0" w:line="263" w:lineRule="auto"/>
        <w:tabs>
          <w:tab w:leader="none" w:pos="1765" w:val="left"/>
        </w:tabs>
        <w:numPr>
          <w:ilvl w:val="0"/>
          <w:numId w:val="65"/>
        </w:numPr>
        <w:rPr>
          <w:rFonts w:ascii="Arial" w:cs="Arial" w:eastAsia="Arial" w:hAnsi="Arial"/>
          <w:sz w:val="21"/>
          <w:szCs w:val="21"/>
          <w:color w:val="010000"/>
        </w:rPr>
      </w:pPr>
      <w:r>
        <w:rPr>
          <w:rFonts w:ascii="Arial" w:cs="Arial" w:eastAsia="Arial" w:hAnsi="Arial"/>
          <w:sz w:val="21"/>
          <w:szCs w:val="21"/>
          <w:u w:val="single" w:color="auto"/>
          <w:color w:val="auto"/>
        </w:rPr>
        <w:t>Pro-rated Target Annual Bonus</w:t>
      </w:r>
      <w:r>
        <w:rPr>
          <w:rFonts w:ascii="Arial" w:cs="Arial" w:eastAsia="Arial" w:hAnsi="Arial"/>
          <w:sz w:val="21"/>
          <w:szCs w:val="21"/>
          <w:color w:val="auto"/>
        </w:rPr>
        <w:t>. To the extent not paid or payable under the terms of the Diamondback Energy, Inc. 2014 Executive Annual Incentive Compensation Plan, or any successor thereto, Employer will pay to the Participant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will be payable on the Payment Date;</w:t>
      </w:r>
    </w:p>
    <w:p>
      <w:pPr>
        <w:spacing w:after="0" w:line="175" w:lineRule="exact"/>
        <w:rPr>
          <w:rFonts w:ascii="Arial" w:cs="Arial" w:eastAsia="Arial" w:hAnsi="Arial"/>
          <w:sz w:val="21"/>
          <w:szCs w:val="21"/>
          <w:color w:val="010000"/>
        </w:rPr>
      </w:pPr>
    </w:p>
    <w:p>
      <w:pPr>
        <w:jc w:val="both"/>
        <w:ind w:firstLine="1305"/>
        <w:spacing w:after="0" w:line="246" w:lineRule="auto"/>
        <w:tabs>
          <w:tab w:leader="none" w:pos="1847"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Group Health Plan Premiums</w:t>
      </w:r>
      <w:r>
        <w:rPr>
          <w:rFonts w:ascii="Arial" w:cs="Arial" w:eastAsia="Arial" w:hAnsi="Arial"/>
          <w:sz w:val="22"/>
          <w:szCs w:val="22"/>
          <w:color w:val="auto"/>
        </w:rPr>
        <w:t>. Provided that the Participant timely and properly elects and continues to be eligible for group health plan continuation coverage under COBRA for himself and/or his eligible dependents under an adopting Employer’s or an Affiliate’s group health plans, the Employer will reimburse the Participant on a monthly basis for the premium cost of such COBRA continuation coverage during the Continuation Period. Subject to the Participant submitting adequate substantiation of payment of the applicable COBRA premiums, the reimbursements will commence on the Payment Date and continue on a monthly basis for the remainder of the Continuation Period, but not more than 18 months following the commencement thereof;</w:t>
      </w:r>
    </w:p>
    <w:p>
      <w:pPr>
        <w:spacing w:after="0" w:line="197" w:lineRule="exact"/>
        <w:rPr>
          <w:rFonts w:ascii="Arial" w:cs="Arial" w:eastAsia="Arial" w:hAnsi="Arial"/>
          <w:sz w:val="22"/>
          <w:szCs w:val="22"/>
          <w:color w:val="010000"/>
        </w:rPr>
      </w:pPr>
    </w:p>
    <w:p>
      <w:pPr>
        <w:jc w:val="both"/>
        <w:ind w:firstLine="1305"/>
        <w:spacing w:after="0" w:line="302" w:lineRule="auto"/>
        <w:tabs>
          <w:tab w:leader="none" w:pos="1877"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Except as otherwise set forth in a Participation Agreement between the Company and a Participant, each outstanding unvested equity-based compensation award granted by the Company or an Affiliate that is held by or for the Participant will be forfeited or vested, as applicable, in accordance with the applicable equity award agreement. Any vested awards will be settled, based on the vesting, forfeiture and settlement terms of the applicable equity award agreements.</w:t>
      </w:r>
    </w:p>
    <w:p>
      <w:pPr>
        <w:spacing w:after="0" w:line="13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010000"/>
        </w:rPr>
        <w:t xml:space="preserve">Section 2.2 </w:t>
      </w:r>
      <w:r>
        <w:rPr>
          <w:rFonts w:ascii="Arial" w:cs="Arial" w:eastAsia="Arial" w:hAnsi="Arial"/>
          <w:sz w:val="22"/>
          <w:szCs w:val="22"/>
          <w:b w:val="1"/>
          <w:bCs w:val="1"/>
          <w:color w:val="000000"/>
        </w:rPr>
        <w:t>Severance Benefits upon an Eligible Termination (Related to a Change in Control)</w:t>
      </w:r>
      <w:r>
        <w:rPr>
          <w:rFonts w:ascii="Arial" w:cs="Arial" w:eastAsia="Arial" w:hAnsi="Arial"/>
          <w:sz w:val="22"/>
          <w:szCs w:val="22"/>
          <w:color w:val="000000"/>
        </w:rPr>
        <w:t>. Subject to the further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provisions of this Article 2, upon a Participant’s Qualifying Termination (other than on account of death or Disability) that occurs within the Protection Period, the Participant will receive all of the payments and benefits described in Section 2.1 above, except that the following substitution and modification will be made:</w:t>
      </w:r>
    </w:p>
    <w:p>
      <w:pPr>
        <w:spacing w:after="0" w:line="186" w:lineRule="exact"/>
        <w:rPr>
          <w:sz w:val="20"/>
          <w:szCs w:val="20"/>
          <w:color w:val="auto"/>
        </w:rPr>
      </w:pPr>
    </w:p>
    <w:p>
      <w:pPr>
        <w:ind w:firstLine="1305"/>
        <w:spacing w:after="0" w:line="263" w:lineRule="auto"/>
        <w:tabs>
          <w:tab w:leader="none" w:pos="1766"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Lump Sum Compensation Payment</w:t>
      </w:r>
      <w:r>
        <w:rPr>
          <w:rFonts w:ascii="Arial" w:cs="Arial" w:eastAsia="Arial" w:hAnsi="Arial"/>
          <w:sz w:val="22"/>
          <w:szCs w:val="22"/>
          <w:color w:val="auto"/>
        </w:rPr>
        <w:t>. In lieu of any Base Salary Continuation payment under Section 2.1(c), the Employer will pay to the Participant an amount in cash equal to the product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188" w:name="page189"/>
    <w:bookmarkEnd w:id="188"/>
    <w:p>
      <w:pPr>
        <w:jc w:val="both"/>
        <w:ind w:left="660" w:firstLine="1293"/>
        <w:spacing w:after="0" w:line="253" w:lineRule="auto"/>
        <w:tabs>
          <w:tab w:leader="none" w:pos="2458" w:val="left"/>
        </w:tabs>
        <w:numPr>
          <w:ilvl w:val="0"/>
          <w:numId w:val="67"/>
        </w:numPr>
        <w:rPr>
          <w:rFonts w:ascii="Arial" w:cs="Arial" w:eastAsia="Arial" w:hAnsi="Arial"/>
          <w:sz w:val="22"/>
          <w:szCs w:val="22"/>
          <w:color w:val="010000"/>
        </w:rPr>
      </w:pPr>
      <w:r>
        <w:rPr>
          <w:rFonts w:ascii="Arial" w:cs="Arial" w:eastAsia="Arial" w:hAnsi="Arial"/>
          <w:sz w:val="22"/>
          <w:szCs w:val="22"/>
          <w:color w:val="auto"/>
        </w:rPr>
        <w:t>the sum of (A) the Participant’s annualized base salary as in effect immediately prior to the Eligible Termination (or immediately prior to any event constituting Good Reason, if applicable), plus (B) the Average Annual Bonus amount in effect immediately preceding the Termination Date; multiplied by</w:t>
      </w:r>
    </w:p>
    <w:p>
      <w:pPr>
        <w:spacing w:after="0" w:line="185" w:lineRule="exact"/>
        <w:rPr>
          <w:rFonts w:ascii="Arial" w:cs="Arial" w:eastAsia="Arial" w:hAnsi="Arial"/>
          <w:sz w:val="22"/>
          <w:szCs w:val="22"/>
          <w:color w:val="010000"/>
        </w:rPr>
      </w:pPr>
    </w:p>
    <w:p>
      <w:pPr>
        <w:ind w:left="2440" w:hanging="487"/>
        <w:spacing w:after="0"/>
        <w:tabs>
          <w:tab w:leader="none" w:pos="2440" w:val="left"/>
        </w:tabs>
        <w:numPr>
          <w:ilvl w:val="0"/>
          <w:numId w:val="67"/>
        </w:numPr>
        <w:rPr>
          <w:rFonts w:ascii="Arial" w:cs="Arial" w:eastAsia="Arial" w:hAnsi="Arial"/>
          <w:sz w:val="22"/>
          <w:szCs w:val="22"/>
          <w:color w:val="010000"/>
        </w:rPr>
      </w:pPr>
      <w:r>
        <w:rPr>
          <w:rFonts w:ascii="Arial" w:cs="Arial" w:eastAsia="Arial" w:hAnsi="Arial"/>
          <w:sz w:val="22"/>
          <w:szCs w:val="22"/>
          <w:color w:val="auto"/>
        </w:rPr>
        <w:t>the Applicable Factor specified in Schedule B that applies to the Participant.</w:t>
      </w:r>
    </w:p>
    <w:p>
      <w:pPr>
        <w:spacing w:after="0" w:line="220" w:lineRule="exact"/>
        <w:rPr>
          <w:sz w:val="20"/>
          <w:szCs w:val="20"/>
          <w:color w:val="auto"/>
        </w:rPr>
      </w:pPr>
    </w:p>
    <w:p>
      <w:pPr>
        <w:ind w:firstLine="1305"/>
        <w:spacing w:after="0" w:line="263" w:lineRule="auto"/>
        <w:tabs>
          <w:tab w:leader="none" w:pos="1792"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Payment Timing</w:t>
      </w:r>
      <w:r>
        <w:rPr>
          <w:rFonts w:ascii="Arial" w:cs="Arial" w:eastAsia="Arial" w:hAnsi="Arial"/>
          <w:sz w:val="22"/>
          <w:szCs w:val="22"/>
          <w:color w:val="auto"/>
        </w:rPr>
        <w:t>. The lump sum compensation payment amount determined in Section 2.2(a) will be paid in a single lump sum on the Payment Date.</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010000"/>
        </w:rPr>
        <w:t xml:space="preserve">Section 2.3 </w:t>
      </w:r>
      <w:r>
        <w:rPr>
          <w:rFonts w:ascii="Arial" w:cs="Arial" w:eastAsia="Arial" w:hAnsi="Arial"/>
          <w:sz w:val="22"/>
          <w:szCs w:val="22"/>
          <w:b w:val="1"/>
          <w:bCs w:val="1"/>
          <w:color w:val="000000"/>
        </w:rPr>
        <w:t>Payments upon a Termination of Employment Due to Death or Disability</w:t>
      </w:r>
      <w:r>
        <w:rPr>
          <w:rFonts w:ascii="Arial" w:cs="Arial" w:eastAsia="Arial" w:hAnsi="Arial"/>
          <w:sz w:val="22"/>
          <w:szCs w:val="22"/>
          <w:color w:val="000000"/>
        </w:rPr>
        <w:t>. Subject to the further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provisions of this Article 2, upon a Participant’s Eligible Termination due to death or Disability:</w:t>
      </w:r>
    </w:p>
    <w:p>
      <w:pPr>
        <w:spacing w:after="0" w:line="168" w:lineRule="exact"/>
        <w:rPr>
          <w:sz w:val="20"/>
          <w:szCs w:val="20"/>
          <w:color w:val="auto"/>
        </w:rPr>
      </w:pPr>
    </w:p>
    <w:p>
      <w:pPr>
        <w:ind w:firstLine="1305"/>
        <w:spacing w:after="0" w:line="263" w:lineRule="auto"/>
        <w:tabs>
          <w:tab w:leader="none" w:pos="1766"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Employer will pay or provide to the Participant or his or her Personal representative or estate, the Participant’s Accrued Obligations.</w:t>
      </w:r>
    </w:p>
    <w:p>
      <w:pPr>
        <w:spacing w:after="0" w:line="174" w:lineRule="exact"/>
        <w:rPr>
          <w:rFonts w:ascii="Arial" w:cs="Arial" w:eastAsia="Arial" w:hAnsi="Arial"/>
          <w:sz w:val="22"/>
          <w:szCs w:val="22"/>
          <w:color w:val="010000"/>
        </w:rPr>
      </w:pPr>
    </w:p>
    <w:p>
      <w:pPr>
        <w:jc w:val="both"/>
        <w:ind w:firstLine="1305"/>
        <w:spacing w:after="0" w:line="246" w:lineRule="auto"/>
        <w:tabs>
          <w:tab w:leader="none" w:pos="1832"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Prior Year Unpaid Bonus Payment Amount</w:t>
      </w:r>
      <w:r>
        <w:rPr>
          <w:rFonts w:ascii="Arial" w:cs="Arial" w:eastAsia="Arial" w:hAnsi="Arial"/>
          <w:sz w:val="22"/>
          <w:szCs w:val="22"/>
          <w:color w:val="auto"/>
        </w:rPr>
        <w:t>. The Employer will pay to the Participant or his or her Personal representative or estate an amount, if any, equal to the bonus that would be payable for services attributable to a completed prior year performance period that, as of the Termination Date, has not been paid under the terms of the Diamondback Energy, Inc. 2014 Executive Annual Incentive Compensation Plan, or any successor thereto. The prior year bonus payment amount will be paid after, and only to the extent, it is certified by the Compensation Committee of the Board, and will be paid at the same time bonuses to similarly situated executives are paid, as if the terminated Participant continued to be employed on the certification and bonus payment dates;</w:t>
      </w:r>
    </w:p>
    <w:p>
      <w:pPr>
        <w:spacing w:after="0" w:line="197" w:lineRule="exact"/>
        <w:rPr>
          <w:rFonts w:ascii="Arial" w:cs="Arial" w:eastAsia="Arial" w:hAnsi="Arial"/>
          <w:sz w:val="22"/>
          <w:szCs w:val="22"/>
          <w:color w:val="010000"/>
        </w:rPr>
      </w:pPr>
    </w:p>
    <w:p>
      <w:pPr>
        <w:jc w:val="both"/>
        <w:ind w:firstLine="1305"/>
        <w:spacing w:after="0" w:line="294" w:lineRule="auto"/>
        <w:tabs>
          <w:tab w:leader="none" w:pos="1766"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Base Salary Continuation</w:t>
      </w:r>
      <w:r>
        <w:rPr>
          <w:rFonts w:ascii="Arial" w:cs="Arial" w:eastAsia="Arial" w:hAnsi="Arial"/>
          <w:sz w:val="19"/>
          <w:szCs w:val="19"/>
          <w:color w:val="auto"/>
        </w:rPr>
        <w:t>. For each month during the period following the Termination Date that applies to the Participant as specified in Schedule A, the Employer will continue to pay to the Participant or his or her Personal representative or estate an amount equal to the product of (i) his or her monthly base salary, as in effect immediately prior to the Eligible Termination (or immediately prior to any event constituting Good Reason, if applicable), multiplied by (ii) the multiple specified in Schedule A that is applicable to such Participant. The Base Salary Continuation amount will be payable in substantially equal periodic installments commencing on the Payment Date in accordance with the normal payroll practices of the Employer;</w:t>
      </w:r>
    </w:p>
    <w:p>
      <w:pPr>
        <w:spacing w:after="0" w:line="149" w:lineRule="exact"/>
        <w:rPr>
          <w:rFonts w:ascii="Arial" w:cs="Arial" w:eastAsia="Arial" w:hAnsi="Arial"/>
          <w:sz w:val="19"/>
          <w:szCs w:val="19"/>
          <w:color w:val="010000"/>
        </w:rPr>
      </w:pPr>
    </w:p>
    <w:p>
      <w:pPr>
        <w:jc w:val="both"/>
        <w:ind w:firstLine="1305"/>
        <w:spacing w:after="0" w:line="297" w:lineRule="auto"/>
        <w:tabs>
          <w:tab w:leader="none" w:pos="1765"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Pro-rated Target Annual Bonus</w:t>
      </w:r>
      <w:r>
        <w:rPr>
          <w:rFonts w:ascii="Arial" w:cs="Arial" w:eastAsia="Arial" w:hAnsi="Arial"/>
          <w:sz w:val="19"/>
          <w:szCs w:val="19"/>
          <w:color w:val="auto"/>
        </w:rPr>
        <w:t>. To the extent not paid or payable under the terms of the Diamondback Energy, Inc. 2014 Executive Annual Incentive Compensation Plan, or any successor thereto, Employer will pay to the Participant or his or her Personal representative or estate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will be payable on the Payment Date;</w:t>
      </w:r>
    </w:p>
    <w:p>
      <w:pPr>
        <w:spacing w:after="0" w:line="147" w:lineRule="exact"/>
        <w:rPr>
          <w:rFonts w:ascii="Arial" w:cs="Arial" w:eastAsia="Arial" w:hAnsi="Arial"/>
          <w:sz w:val="19"/>
          <w:szCs w:val="19"/>
          <w:color w:val="010000"/>
        </w:rPr>
      </w:pPr>
    </w:p>
    <w:p>
      <w:pPr>
        <w:jc w:val="both"/>
        <w:ind w:firstLine="1305"/>
        <w:spacing w:after="0" w:line="248" w:lineRule="auto"/>
        <w:tabs>
          <w:tab w:leader="none" w:pos="1901"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Except as otherwise set forth in a Participation Agreement between the Company and a Participant, each outstanding unvested equity-based compensation award granted by the Company or an Affiliate that is held by or for the Participant will be forfeited or vested, as applicable, in accordance with the terms of the applicable equity award agreements. Any vested awards will be settled, based on the vesting, forfeiture and settlement terms of the applicable equity award agreements.</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2.4</w:t>
      </w:r>
      <w:r>
        <w:rPr>
          <w:sz w:val="20"/>
          <w:szCs w:val="20"/>
          <w:color w:val="auto"/>
        </w:rPr>
        <w:tab/>
      </w:r>
      <w:r>
        <w:rPr>
          <w:rFonts w:ascii="Arial" w:cs="Arial" w:eastAsia="Arial" w:hAnsi="Arial"/>
          <w:sz w:val="19"/>
          <w:szCs w:val="19"/>
          <w:b w:val="1"/>
          <w:bCs w:val="1"/>
          <w:color w:val="auto"/>
        </w:rPr>
        <w:t>Release and Full Settlement; Payment Delay; Repayment Obligations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47" w:lineRule="auto"/>
        <w:tabs>
          <w:tab w:leader="none" w:pos="1806"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Release and Full Settlement</w:t>
      </w:r>
      <w:r>
        <w:rPr>
          <w:rFonts w:ascii="Arial" w:cs="Arial" w:eastAsia="Arial" w:hAnsi="Arial"/>
          <w:sz w:val="22"/>
          <w:szCs w:val="22"/>
          <w:color w:val="auto"/>
        </w:rPr>
        <w:t>. Any provision of this Plan to the contrary notwithstanding, the payment of any amounts or provision of any benefits under Section 2.1, Section 2.2, Section 2.3 or Section 3.2 will be subject to the Participant’s (or, if applicable, his Personal representative or estate’s) execution, within forty five (45) days following receipt (or such shorter period as set forth in such release), of a waiver and general release of claims in the form provided by the Administrator, and such waiver and general release of claims becoming effective and irrevocable in accordance with its terms within sixty (60) days following the Termination Date.</w:t>
      </w:r>
    </w:p>
    <w:p>
      <w:pPr>
        <w:spacing w:after="0" w:line="193" w:lineRule="exact"/>
        <w:rPr>
          <w:rFonts w:ascii="Arial" w:cs="Arial" w:eastAsia="Arial" w:hAnsi="Arial"/>
          <w:sz w:val="22"/>
          <w:szCs w:val="22"/>
          <w:color w:val="010000"/>
        </w:rPr>
      </w:pPr>
    </w:p>
    <w:p>
      <w:pPr>
        <w:jc w:val="both"/>
        <w:ind w:firstLine="1305"/>
        <w:spacing w:after="0" w:line="292" w:lineRule="auto"/>
        <w:tabs>
          <w:tab w:leader="none" w:pos="1792"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Payment Timing</w:t>
      </w:r>
      <w:r>
        <w:rPr>
          <w:rFonts w:ascii="Arial" w:cs="Arial" w:eastAsia="Arial" w:hAnsi="Arial"/>
          <w:sz w:val="19"/>
          <w:szCs w:val="19"/>
          <w:color w:val="auto"/>
        </w:rPr>
        <w:t>. Except as set forth in the following sentence, any payments pursuant to Section 2.1, Section 2.2, Section 2.3 or Section 3.2 that would otherwise be payable in the first sixty (60) days following the Termination Date will be withheld and any unpaid installments will become payable in a lump sum on the date that is sixty (60) days following the Termination Date. However, if the Participant is a Specified Employee, any payments hereunder that constitute a “deferral of compensation” within the meaning of Section 409A and to which the Participant would otherwise be entitled during the first six months following the Termination Date will be accumulated and paid to the Participant on the date that is six months following the Termination Date (or if earlier, to the Participant’s estate or Personal representative upon the Participant’s death).</w:t>
      </w:r>
    </w:p>
    <w:p>
      <w:pPr>
        <w:spacing w:after="0" w:line="151" w:lineRule="exact"/>
        <w:rPr>
          <w:rFonts w:ascii="Arial" w:cs="Arial" w:eastAsia="Arial" w:hAnsi="Arial"/>
          <w:sz w:val="19"/>
          <w:szCs w:val="19"/>
          <w:color w:val="010000"/>
        </w:rPr>
      </w:pPr>
    </w:p>
    <w:p>
      <w:pPr>
        <w:jc w:val="both"/>
        <w:ind w:firstLine="1305"/>
        <w:spacing w:after="0" w:line="297" w:lineRule="auto"/>
        <w:tabs>
          <w:tab w:leader="none" w:pos="1779"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Clawback or Forfeiture of Payments</w:t>
      </w:r>
      <w:r>
        <w:rPr>
          <w:rFonts w:ascii="Arial" w:cs="Arial" w:eastAsia="Arial" w:hAnsi="Arial"/>
          <w:sz w:val="19"/>
          <w:szCs w:val="19"/>
          <w:color w:val="auto"/>
        </w:rPr>
        <w:t>. The payment of any amounts or provision of any benefits under Section 2.1, Section 2.2, Section 2.3 or Section 3.2 hereof will be subject to the Participant’s continued compliance with his or her Restrictive Covenant obligations under Article 3, and, in the event of any breach of such obligations by the Participant, the Participant agrees to promptly repay the Employer the gross amount or value of any payments or benefits provided under this Article 2. Notwithstanding any provision in this Plan or any Participation Agreement to the contrary, if Participant breaches the</w:t>
      </w:r>
    </w:p>
    <w:p>
      <w:pPr>
        <w:sectPr>
          <w:pgSz w:w="11900" w:h="16838" w:orient="portrait"/>
          <w:cols w:equalWidth="0" w:num="1">
            <w:col w:w="11420"/>
          </w:cols>
          <w:pgMar w:left="240" w:top="605" w:right="239" w:bottom="0" w:gutter="0" w:footer="0" w:header="0"/>
        </w:sectPr>
      </w:pPr>
    </w:p>
    <w:bookmarkStart w:id="189" w:name="page190"/>
    <w:bookmarkEnd w:id="189"/>
    <w:p>
      <w:pPr>
        <w:jc w:val="both"/>
        <w:spacing w:after="0" w:line="246" w:lineRule="auto"/>
        <w:rPr>
          <w:sz w:val="20"/>
          <w:szCs w:val="20"/>
          <w:color w:val="auto"/>
        </w:rPr>
      </w:pPr>
      <w:r>
        <w:rPr>
          <w:rFonts w:ascii="Arial" w:cs="Arial" w:eastAsia="Arial" w:hAnsi="Arial"/>
          <w:sz w:val="22"/>
          <w:szCs w:val="22"/>
          <w:color w:val="auto"/>
        </w:rPr>
        <w:t>Restrictive Covenant Provisions of Article 3, or if required by any policy of the Company, the Employer or an Affiliate, by the Dodd-Frank Wall Street Reform and Consumer Protection Act or the Sarbanes–Oxley Act of 2002 or by other applicable law in effect as of the time that any benefit payment is paid hereunder, each Participant’s benefits under this Plan shall be conditioned on repayment or forfeiture in accordance with such applicable laws, policy, or any relevant provision of the related Participation Agreement. By entering into a Participation Agreement and becoming a Participant under this Plan, a Participant will have consented to any such clawback, repayment or forfeiture condition, regardless of whether or not such condition is expressly stated in the Participation Agreement.</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010000"/>
        </w:rPr>
        <w:t xml:space="preserve">Section 2.5 </w:t>
      </w:r>
      <w:r>
        <w:rPr>
          <w:rFonts w:ascii="Arial" w:cs="Arial" w:eastAsia="Arial" w:hAnsi="Arial"/>
          <w:sz w:val="19"/>
          <w:szCs w:val="19"/>
          <w:b w:val="1"/>
          <w:bCs w:val="1"/>
          <w:color w:val="000000"/>
        </w:rPr>
        <w:t>Parachute Payments</w:t>
      </w:r>
      <w:r>
        <w:rPr>
          <w:rFonts w:ascii="Arial" w:cs="Arial" w:eastAsia="Arial" w:hAnsi="Arial"/>
          <w:sz w:val="19"/>
          <w:szCs w:val="19"/>
          <w:color w:val="000000"/>
        </w:rPr>
        <w:t>. Notwithstanding any other provisions of this Plan, in the event that any payment or</w:t>
      </w:r>
      <w:r>
        <w:rPr>
          <w:rFonts w:ascii="Arial" w:cs="Arial" w:eastAsia="Arial" w:hAnsi="Arial"/>
          <w:sz w:val="19"/>
          <w:szCs w:val="19"/>
          <w:b w:val="1"/>
          <w:bCs w:val="1"/>
          <w:color w:val="010000"/>
        </w:rPr>
        <w:t xml:space="preserve"> </w:t>
      </w:r>
      <w:r>
        <w:rPr>
          <w:rFonts w:ascii="Arial" w:cs="Arial" w:eastAsia="Arial" w:hAnsi="Arial"/>
          <w:sz w:val="19"/>
          <w:szCs w:val="19"/>
          <w:color w:val="000000"/>
        </w:rPr>
        <w:t>benefit received or to be received by a Participant (including any payment or benefit received in connection with a Change in Control or the termination of a Participant’s employment during the Protected Period, whether pursuant to the terms of this Plan or any other plan, arrangement or agreement) (all such payments and benefits, including the payments and benefits under this Plan, being hereinafter referred to as the “</w:t>
      </w:r>
      <w:r>
        <w:rPr>
          <w:rFonts w:ascii="Arial" w:cs="Arial" w:eastAsia="Arial" w:hAnsi="Arial"/>
          <w:sz w:val="19"/>
          <w:szCs w:val="19"/>
          <w:b w:val="1"/>
          <w:bCs w:val="1"/>
          <w:color w:val="000000"/>
        </w:rPr>
        <w:t>Total Payments</w:t>
      </w:r>
      <w:r>
        <w:rPr>
          <w:rFonts w:ascii="Arial" w:cs="Arial" w:eastAsia="Arial" w:hAnsi="Arial"/>
          <w:sz w:val="19"/>
          <w:szCs w:val="19"/>
          <w:color w:val="000000"/>
        </w:rPr>
        <w:t>”) would be subject (in whole or part), to the excise tax imposed under Section 4999 of the Code (the “</w:t>
      </w:r>
      <w:r>
        <w:rPr>
          <w:rFonts w:ascii="Arial" w:cs="Arial" w:eastAsia="Arial" w:hAnsi="Arial"/>
          <w:sz w:val="19"/>
          <w:szCs w:val="19"/>
          <w:b w:val="1"/>
          <w:bCs w:val="1"/>
          <w:color w:val="000000"/>
        </w:rPr>
        <w:t>Excise Tax</w:t>
      </w:r>
      <w:r>
        <w:rPr>
          <w:rFonts w:ascii="Arial" w:cs="Arial" w:eastAsia="Arial" w:hAnsi="Arial"/>
          <w:sz w:val="19"/>
          <w:szCs w:val="19"/>
          <w:color w:val="000000"/>
        </w:rPr>
        <w:t>”), then, after taking into account any reduction in the Total Payments provided by reason of Section 280G of the Code in such other plan, arrangement or agreement, the Total Payments shall be reduced, in the order set forth below, to the extent necessary so that no portion of the Total Payments is subject to the Excise Tax, but only if (x)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(y)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57" w:lineRule="exact"/>
        <w:rPr>
          <w:sz w:val="20"/>
          <w:szCs w:val="20"/>
          <w:color w:val="auto"/>
        </w:rPr>
      </w:pPr>
    </w:p>
    <w:p>
      <w:pPr>
        <w:jc w:val="both"/>
        <w:ind w:firstLine="1305"/>
        <w:spacing w:after="0" w:line="286" w:lineRule="auto"/>
        <w:tabs>
          <w:tab w:leader="none" w:pos="1914"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Total Payments Reduction</w:t>
      </w:r>
      <w:r>
        <w:rPr>
          <w:rFonts w:ascii="Arial" w:cs="Arial" w:eastAsia="Arial" w:hAnsi="Arial"/>
          <w:sz w:val="19"/>
          <w:szCs w:val="19"/>
          <w:color w:val="auto"/>
        </w:rPr>
        <w:t>. The Total Payments shall be reduced by the Administrator in its reasonable discretion in the following order: (A) reduction of any cash severance payments otherwise payable that are exempt from Section 409A of the Code; (B) reduction of any other cash payments or benefits otherwise payable that are exempt from Section 409A of the Code, but excluding any payments attributable to the acceleration of vesting or payments with respect to any stock option or other equity award with respect to Company’s or an Affiliate’s common stock or other form of equity award that are exempt from Section 409A of the Code; (C) reduction of any other payments or benefits otherwise payable to you on a pro-rata basis or such other manner that complies with Section 409A of the Code, but excluding any payments attributable to the acceleration of vesting and payments with respect to any stock option or other equity award with respect to Company’s or an Affiliate’s common stock or other form of equity award that are exempt from Section 409A of the Code; and (D) reduction of any payments attributable to the acceleration of vesting or payments with respect to any stock option or other equity award with respect to Company’s or an Affiliate’s common stock or other equity interest that are exempt from Section 409A of the Code; provided, however, that no reduction of a payment or benefit of nonqualified deferred compensation that is subject to Section 409A of the Code shall be made to the extent that such reduction would result in any other payment or benefit being deemed a substitute (within the meaning of Section 1.409A-3(f) of the Treasury Regulations) for the forfeited amount by reason of such other payment or benefit having a different time or form of payment.</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firstLine="1305"/>
        <w:spacing w:after="0" w:line="284" w:lineRule="auto"/>
        <w:tabs>
          <w:tab w:leader="none" w:pos="1778"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Performance of Calculations</w:t>
      </w:r>
      <w:r>
        <w:rPr>
          <w:rFonts w:ascii="Arial" w:cs="Arial" w:eastAsia="Arial" w:hAnsi="Arial"/>
          <w:sz w:val="19"/>
          <w:szCs w:val="19"/>
          <w:color w:val="auto"/>
        </w:rPr>
        <w:t>. For purposes of determining whether and the extent to which the Total Payments will be subject to the Excise Tax, (A) no portion of the Total Payments the receipt or enjoyment of which a Participant has waived at such time and in such manner as not to constitute a “payment” within the meaning of Section 280G(b) of the Code shall be taken into account; (B) no portion of the Total Payments shall be taken into account which, in the written opinion of independent accountants of nationally recognized standing (“</w:t>
      </w:r>
      <w:r>
        <w:rPr>
          <w:rFonts w:ascii="Arial" w:cs="Arial" w:eastAsia="Arial" w:hAnsi="Arial"/>
          <w:sz w:val="19"/>
          <w:szCs w:val="19"/>
          <w:b w:val="1"/>
          <w:bCs w:val="1"/>
          <w:color w:val="auto"/>
        </w:rPr>
        <w:t>Accounting Firm</w:t>
      </w:r>
      <w:r>
        <w:rPr>
          <w:rFonts w:ascii="Arial" w:cs="Arial" w:eastAsia="Arial" w:hAnsi="Arial"/>
          <w:sz w:val="19"/>
          <w:szCs w:val="19"/>
          <w:color w:val="auto"/>
        </w:rPr>
        <w:t>”) selected by Company, does not constitute a “parachute payment” within the meaning of Section 280G(b)(2) of the Code (including by reason of Section 280G(b)(4)(A) of the Code) and, in calculating the Excise Tax, no portion of such Total Payments shall be taken into account which, in the opinion of Accounting Firm, constitutes reasonable compensation for services actually rendered, within the meaning of Section 280G(b)(4)(B) of the Code, in excess of the Base Amount (as defined in Section 280G(b)(3) of the Code) allocable to such reasonable compensation; and</w:t>
      </w:r>
    </w:p>
    <w:p>
      <w:pPr>
        <w:ind w:firstLine="8"/>
        <w:spacing w:after="0" w:line="246" w:lineRule="auto"/>
        <w:tabs>
          <w:tab w:leader="none" w:pos="34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value of any non-cash benefit or any deferred payment or benefit included in the Total Payments shall be determined by the Accounting Firm in accordance with the principles of Sections 280G(d)(3) and (4) of the Code.</w:t>
      </w:r>
    </w:p>
    <w:p>
      <w:pPr>
        <w:spacing w:after="0" w:line="192" w:lineRule="exact"/>
        <w:rPr>
          <w:rFonts w:ascii="Arial" w:cs="Arial" w:eastAsia="Arial" w:hAnsi="Arial"/>
          <w:sz w:val="22"/>
          <w:szCs w:val="22"/>
          <w:color w:val="auto"/>
        </w:rPr>
      </w:pPr>
    </w:p>
    <w:p>
      <w:pPr>
        <w:jc w:val="both"/>
        <w:ind w:firstLine="1305"/>
        <w:spacing w:after="0" w:line="297" w:lineRule="auto"/>
        <w:tabs>
          <w:tab w:leader="none" w:pos="1779" w:val="left"/>
        </w:tabs>
        <w:numPr>
          <w:ilvl w:val="1"/>
          <w:numId w:val="72"/>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If applicable, Participant, Company and Affiliates will each provide the Accounting Firm access to and copies of any books, records and documents in their respective possession, reasonably requested by the Accounting Firm, and otherwise cooperate with the Accounting Firm in connection with the preparation and issuance of the determinations and calculations contemplated by this Section 2.5. The fees and expenses of the Accounting Firm for its services in connection with the determinations and calculations contemplated by this Section 2.5 will be borne by Company.</w:t>
      </w:r>
    </w:p>
    <w:p>
      <w:pPr>
        <w:spacing w:after="0" w:line="147" w:lineRule="exact"/>
        <w:rPr>
          <w:rFonts w:ascii="Arial" w:cs="Arial" w:eastAsia="Arial" w:hAnsi="Arial"/>
          <w:sz w:val="19"/>
          <w:szCs w:val="19"/>
          <w:color w:val="010000"/>
        </w:rPr>
      </w:pPr>
    </w:p>
    <w:p>
      <w:pPr>
        <w:ind w:firstLine="1305"/>
        <w:spacing w:after="0" w:line="263" w:lineRule="auto"/>
        <w:tabs>
          <w:tab w:leader="none" w:pos="1859" w:val="left"/>
        </w:tabs>
        <w:numPr>
          <w:ilvl w:val="1"/>
          <w:numId w:val="72"/>
        </w:numPr>
        <w:rPr>
          <w:rFonts w:ascii="Arial" w:cs="Arial" w:eastAsia="Arial" w:hAnsi="Arial"/>
          <w:sz w:val="22"/>
          <w:szCs w:val="22"/>
          <w:color w:val="010000"/>
        </w:rPr>
      </w:pPr>
      <w:r>
        <w:rPr>
          <w:rFonts w:ascii="Arial" w:cs="Arial" w:eastAsia="Arial" w:hAnsi="Arial"/>
          <w:sz w:val="22"/>
          <w:szCs w:val="22"/>
          <w:u w:val="single" w:color="auto"/>
          <w:color w:val="auto"/>
        </w:rPr>
        <w:t>No Gross-Ups</w:t>
      </w:r>
      <w:r>
        <w:rPr>
          <w:rFonts w:ascii="Arial" w:cs="Arial" w:eastAsia="Arial" w:hAnsi="Arial"/>
          <w:sz w:val="22"/>
          <w:szCs w:val="22"/>
          <w:color w:val="auto"/>
        </w:rPr>
        <w:t>. None of the Company, any Affiliate or any Employer is obligated to provide a gross-up or similar payment to any Participant who is subject to Excise Tax on the Total Payments.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010000"/>
        </w:rPr>
        <w:t xml:space="preserve">Section 2.6 </w:t>
      </w:r>
      <w:r>
        <w:rPr>
          <w:rFonts w:ascii="Arial" w:cs="Arial" w:eastAsia="Arial" w:hAnsi="Arial"/>
          <w:sz w:val="22"/>
          <w:szCs w:val="22"/>
          <w:b w:val="1"/>
          <w:bCs w:val="1"/>
          <w:color w:val="000000"/>
        </w:rPr>
        <w:t>Coordination with Certain Other Agreements</w:t>
      </w:r>
      <w:r>
        <w:rPr>
          <w:rFonts w:ascii="Arial" w:cs="Arial" w:eastAsia="Arial" w:hAnsi="Arial"/>
          <w:sz w:val="22"/>
          <w:szCs w:val="22"/>
          <w:color w:val="000000"/>
        </w:rPr>
        <w:t>. The benefits under, and participation in, this Plan are</w:t>
      </w:r>
      <w:r>
        <w:rPr>
          <w:rFonts w:ascii="Arial" w:cs="Arial" w:eastAsia="Arial" w:hAnsi="Arial"/>
          <w:sz w:val="22"/>
          <w:szCs w:val="22"/>
          <w:b w:val="1"/>
          <w:bCs w:val="1"/>
          <w:color w:val="010000"/>
        </w:rPr>
        <w:t xml:space="preserve"> </w:t>
      </w:r>
      <w:r>
        <w:rPr>
          <w:rFonts w:ascii="Arial" w:cs="Arial" w:eastAsia="Arial" w:hAnsi="Arial"/>
          <w:sz w:val="22"/>
          <w:szCs w:val="22"/>
          <w:color w:val="000000"/>
        </w:rPr>
        <w:t>intended to supersede and replace the severance and separation benefits to which an Participant may be entitled under any other plan, policy, agreement or arrangement. By executing a Participation Agreement with the Company to participate in this Plan, an Eligible Senior Executive will waive any right to severance or separation benefits under any other severance or separation benefits plan, policy, agreement or arrangement of any Employer.</w:t>
      </w:r>
    </w:p>
    <w:p>
      <w:pPr>
        <w:sectPr>
          <w:pgSz w:w="11900" w:h="16838" w:orient="portrait"/>
          <w:cols w:equalWidth="0" w:num="1">
            <w:col w:w="11420"/>
          </w:cols>
          <w:pgMar w:left="240" w:top="132" w:right="239" w:bottom="0" w:gutter="0" w:footer="0" w:header="0"/>
        </w:sectPr>
      </w:pPr>
    </w:p>
    <w:bookmarkStart w:id="190" w:name="page191"/>
    <w:bookmarkEnd w:id="190"/>
    <w:p>
      <w:pPr>
        <w:jc w:val="both"/>
        <w:ind w:firstLine="648"/>
        <w:spacing w:after="0" w:line="252" w:lineRule="auto"/>
        <w:rPr>
          <w:sz w:val="20"/>
          <w:szCs w:val="20"/>
          <w:color w:val="auto"/>
        </w:rPr>
      </w:pPr>
      <w:r>
        <w:rPr>
          <w:rFonts w:ascii="Arial" w:cs="Arial" w:eastAsia="Arial" w:hAnsi="Arial"/>
          <w:sz w:val="22"/>
          <w:szCs w:val="22"/>
          <w:b w:val="1"/>
          <w:bCs w:val="1"/>
          <w:color w:val="010000"/>
        </w:rPr>
        <w:t xml:space="preserve">Section 2.7 </w:t>
      </w:r>
      <w:r>
        <w:rPr>
          <w:rFonts w:ascii="Arial" w:cs="Arial" w:eastAsia="Arial" w:hAnsi="Arial"/>
          <w:sz w:val="22"/>
          <w:szCs w:val="22"/>
          <w:b w:val="1"/>
          <w:bCs w:val="1"/>
          <w:color w:val="000000"/>
        </w:rPr>
        <w:t>No Mitigation</w:t>
      </w:r>
      <w:r>
        <w:rPr>
          <w:rFonts w:ascii="Arial" w:cs="Arial" w:eastAsia="Arial" w:hAnsi="Arial"/>
          <w:sz w:val="22"/>
          <w:szCs w:val="22"/>
          <w:color w:val="000000"/>
        </w:rPr>
        <w:t>. A Participant will not be required to mitigate the amount of any payment or benefit provided</w:t>
      </w:r>
      <w:r>
        <w:rPr>
          <w:rFonts w:ascii="Arial" w:cs="Arial" w:eastAsia="Arial" w:hAnsi="Arial"/>
          <w:sz w:val="22"/>
          <w:szCs w:val="22"/>
          <w:b w:val="1"/>
          <w:bCs w:val="1"/>
          <w:color w:val="010000"/>
        </w:rPr>
        <w:t xml:space="preserve"> </w:t>
      </w:r>
      <w:r>
        <w:rPr>
          <w:rFonts w:ascii="Arial" w:cs="Arial" w:eastAsia="Arial" w:hAnsi="Arial"/>
          <w:sz w:val="22"/>
          <w:szCs w:val="22"/>
          <w:color w:val="000000"/>
        </w:rPr>
        <w:t>for in this Article 2 or Section 3.2 by seeking other employment or otherwise, nor will the amount of any payment or benefit provided for in this Article 2 or Section 3.2 be reduced by any compensation or benefit earned by the Participant as the result of employment by another employer.</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010000"/>
        </w:rPr>
        <w:t>Section 2.8</w:t>
      </w:r>
      <w:r>
        <w:rPr>
          <w:sz w:val="20"/>
          <w:szCs w:val="20"/>
          <w:color w:val="auto"/>
        </w:rPr>
        <w:tab/>
      </w:r>
      <w:r>
        <w:rPr>
          <w:rFonts w:ascii="Arial" w:cs="Arial" w:eastAsia="Arial" w:hAnsi="Arial"/>
          <w:sz w:val="19"/>
          <w:szCs w:val="19"/>
          <w:b w:val="1"/>
          <w:bCs w:val="1"/>
          <w:color w:val="auto"/>
        </w:rPr>
        <w:t>Deductions from Severance Benefits</w:t>
      </w:r>
      <w:r>
        <w:rPr>
          <w:rFonts w:ascii="Arial" w:cs="Arial" w:eastAsia="Arial" w:hAnsi="Arial"/>
          <w:sz w:val="19"/>
          <w:szCs w:val="19"/>
          <w:color w:val="auto"/>
        </w:rPr>
        <w:t>. The following items will be deducted from the benefits paid under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1"/>
          <w:szCs w:val="21"/>
          <w:color w:val="010000"/>
        </w:rPr>
        <w:t>(a)</w:t>
      </w:r>
      <w:r>
        <w:rPr>
          <w:sz w:val="20"/>
          <w:szCs w:val="20"/>
          <w:color w:val="auto"/>
        </w:rPr>
        <w:tab/>
      </w:r>
      <w:r>
        <w:rPr>
          <w:rFonts w:ascii="Arial" w:cs="Arial" w:eastAsia="Arial" w:hAnsi="Arial"/>
          <w:sz w:val="21"/>
          <w:szCs w:val="21"/>
          <w:color w:val="auto"/>
        </w:rPr>
        <w:t>All Federal, State and local taxes that the Administrator determines the Plan must or may deduct 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withhold;</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1"/>
          <w:szCs w:val="21"/>
          <w:color w:val="010000"/>
        </w:rPr>
        <w:t>(b)</w:t>
      </w:r>
      <w:r>
        <w:rPr>
          <w:sz w:val="20"/>
          <w:szCs w:val="20"/>
          <w:color w:val="auto"/>
        </w:rPr>
        <w:tab/>
      </w:r>
      <w:r>
        <w:rPr>
          <w:rFonts w:ascii="Arial" w:cs="Arial" w:eastAsia="Arial" w:hAnsi="Arial"/>
          <w:sz w:val="21"/>
          <w:szCs w:val="21"/>
          <w:color w:val="auto"/>
        </w:rPr>
        <w:t>To the extent permitted by law, any amounts a Participant owes to the Company, any Affiliate or any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Employer; and</w:t>
      </w:r>
    </w:p>
    <w:p>
      <w:pPr>
        <w:spacing w:after="0" w:line="202" w:lineRule="exact"/>
        <w:rPr>
          <w:sz w:val="20"/>
          <w:szCs w:val="20"/>
          <w:color w:val="auto"/>
        </w:rPr>
      </w:pPr>
    </w:p>
    <w:p>
      <w:pPr>
        <w:ind w:right="20" w:firstLine="1305"/>
        <w:spacing w:after="0" w:line="287" w:lineRule="auto"/>
        <w:tabs>
          <w:tab w:leader="none" w:pos="1806"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Any amount of garnished earnings which are required to be withheld from the Participant’s pay, if Employer has been garnishing the Participant’s earnings pursuant to an order of garnishment, child support or tax lien.</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COVENANTS</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010000"/>
        </w:rPr>
        <w:t xml:space="preserve">Section 3.1 </w:t>
      </w:r>
      <w:r>
        <w:rPr>
          <w:rFonts w:ascii="Arial" w:cs="Arial" w:eastAsia="Arial" w:hAnsi="Arial"/>
          <w:sz w:val="21"/>
          <w:szCs w:val="21"/>
          <w:b w:val="1"/>
          <w:bCs w:val="1"/>
          <w:color w:val="000000"/>
        </w:rPr>
        <w:t>Non-Competition and Non-Solicitation Obligations</w:t>
      </w:r>
      <w:r>
        <w:rPr>
          <w:rFonts w:ascii="Arial" w:cs="Arial" w:eastAsia="Arial" w:hAnsi="Arial"/>
          <w:sz w:val="21"/>
          <w:szCs w:val="21"/>
          <w:color w:val="000000"/>
        </w:rPr>
        <w:t>. In consideration of the payments and benefits that may</w:t>
      </w:r>
      <w:r>
        <w:rPr>
          <w:rFonts w:ascii="Arial" w:cs="Arial" w:eastAsia="Arial" w:hAnsi="Arial"/>
          <w:sz w:val="21"/>
          <w:szCs w:val="21"/>
          <w:b w:val="1"/>
          <w:bCs w:val="1"/>
          <w:color w:val="010000"/>
        </w:rPr>
        <w:t xml:space="preserve"> </w:t>
      </w:r>
      <w:r>
        <w:rPr>
          <w:rFonts w:ascii="Arial" w:cs="Arial" w:eastAsia="Arial" w:hAnsi="Arial"/>
          <w:sz w:val="21"/>
          <w:szCs w:val="21"/>
          <w:color w:val="000000"/>
        </w:rPr>
        <w:t>be paid or provided to the Participant hereunder and to protect the trade secrets and confidential information of the Company and its Affiliates that have been and will in the future be disclosed or entrusted to the Participant, the business goodwill of the Company or its Affiliates, and the business opportunities that have been and will in the future be disclosed or entrusted to the Participant by the Company or its Affiliates, the Company and the Participant agree to the provisions of this Article 3. The Participant agrees that during the Restricted Period, the Participant will not:</w:t>
      </w:r>
    </w:p>
    <w:p>
      <w:pPr>
        <w:spacing w:after="0" w:line="180" w:lineRule="exact"/>
        <w:rPr>
          <w:sz w:val="20"/>
          <w:szCs w:val="20"/>
          <w:color w:val="auto"/>
        </w:rPr>
      </w:pPr>
    </w:p>
    <w:p>
      <w:pPr>
        <w:jc w:val="both"/>
        <w:ind w:firstLine="1305"/>
        <w:spacing w:after="0" w:line="257" w:lineRule="auto"/>
        <w:tabs>
          <w:tab w:leader="none" w:pos="1766" w:val="left"/>
        </w:tabs>
        <w:numPr>
          <w:ilvl w:val="0"/>
          <w:numId w:val="74"/>
        </w:numPr>
        <w:rPr>
          <w:rFonts w:ascii="Arial" w:cs="Arial" w:eastAsia="Arial" w:hAnsi="Arial"/>
          <w:sz w:val="21"/>
          <w:szCs w:val="21"/>
          <w:color w:val="010000"/>
        </w:rPr>
      </w:pPr>
      <w:r>
        <w:rPr>
          <w:rFonts w:ascii="Arial" w:cs="Arial" w:eastAsia="Arial" w:hAnsi="Arial"/>
          <w:sz w:val="21"/>
          <w:szCs w:val="21"/>
          <w:u w:val="single" w:color="auto"/>
          <w:color w:val="auto"/>
        </w:rPr>
        <w:t>Non-Competition</w:t>
      </w:r>
      <w:r>
        <w:rPr>
          <w:rFonts w:ascii="Arial" w:cs="Arial" w:eastAsia="Arial" w:hAnsi="Arial"/>
          <w:sz w:val="21"/>
          <w:szCs w:val="21"/>
          <w:color w:val="auto"/>
        </w:rPr>
        <w:t>. Without the written consent of the Compensation Committee of the Board, at any time or in any manner, either directly or indirectly, become associated with, render services to, invest in, represent, advise or otherwise participate as an officer, employee, director, stockholder, partner, member, agent of or consultant for any company, business, organization or other legal or natural person that engages or participates in the Restricted Business; provided, however, that nothing herein shall prevent a Participant from acquiring up to two percent (2%) of the securities of any company listed on a national securities exchange or quoted on the NASDAQ quotation system, provided Participant’s involvement with any such company is solely that of a passive stockholder. The covenant contained in this Section 3.1(a) shall be deemed a series of separate covenants for each state, county and city in which the Diamondback Parties’ business is conducted or is preparing to be conducted. If, in any judicial proceeding, a court shall refuse to enforce all of the separate covenants deemed included in this Section 3.1(a) because, taken together, they cover too extensive a geographic area, the parties intend that those covenants (taken in order of the states, counties and cities therein which are least populous), which if eliminated would permit the remaining separate covenants to be enforced in such proceeding, shall, for the purpose of such proceeding, be deemed eliminated from the provisions of this Section 3.1(a).</w:t>
      </w:r>
    </w:p>
    <w:p>
      <w:pPr>
        <w:spacing w:after="0" w:line="190" w:lineRule="exact"/>
        <w:rPr>
          <w:rFonts w:ascii="Arial" w:cs="Arial" w:eastAsia="Arial" w:hAnsi="Arial"/>
          <w:sz w:val="21"/>
          <w:szCs w:val="21"/>
          <w:color w:val="010000"/>
        </w:rPr>
      </w:pPr>
    </w:p>
    <w:p>
      <w:pPr>
        <w:jc w:val="both"/>
        <w:ind w:firstLine="1305"/>
        <w:spacing w:after="0" w:line="261" w:lineRule="auto"/>
        <w:tabs>
          <w:tab w:leader="none" w:pos="1778" w:val="left"/>
        </w:tabs>
        <w:numPr>
          <w:ilvl w:val="0"/>
          <w:numId w:val="74"/>
        </w:numPr>
        <w:rPr>
          <w:rFonts w:ascii="Arial" w:cs="Arial" w:eastAsia="Arial" w:hAnsi="Arial"/>
          <w:sz w:val="21"/>
          <w:szCs w:val="21"/>
          <w:color w:val="010000"/>
        </w:rPr>
      </w:pPr>
      <w:r>
        <w:rPr>
          <w:rFonts w:ascii="Arial" w:cs="Arial" w:eastAsia="Arial" w:hAnsi="Arial"/>
          <w:sz w:val="21"/>
          <w:szCs w:val="21"/>
          <w:u w:val="single" w:color="auto"/>
          <w:color w:val="auto"/>
        </w:rPr>
        <w:t>Non Solicitation, Non Hire of Employees</w:t>
      </w:r>
      <w:r>
        <w:rPr>
          <w:rFonts w:ascii="Arial" w:cs="Arial" w:eastAsia="Arial" w:hAnsi="Arial"/>
          <w:sz w:val="21"/>
          <w:szCs w:val="21"/>
          <w:color w:val="auto"/>
        </w:rPr>
        <w:t>. At any time or in any manner, either directly or indirectly, either on Participant’s behalf or on behalf of any Person (other than the Diamondback Parties), recruit, solicit, hire, divert or otherwise encourage or attempt to recruit, solicit, hire, divert or otherwise encourage any officer or employees or agents of any Diamondback Party to enter into any employment, consulting or advisory arrangement or contract with or to perform any services for or on Participant’s behalf or on behalf of any Person (other than a Diamondback Party), or to enter into any kind of business with Participant or any other Person, including, without limitation, any Restricted Business.</w:t>
      </w:r>
    </w:p>
    <w:p>
      <w:pPr>
        <w:spacing w:after="0" w:line="180" w:lineRule="exact"/>
        <w:rPr>
          <w:rFonts w:ascii="Arial" w:cs="Arial" w:eastAsia="Arial" w:hAnsi="Arial"/>
          <w:sz w:val="21"/>
          <w:szCs w:val="21"/>
          <w:color w:val="010000"/>
        </w:rPr>
      </w:pPr>
    </w:p>
    <w:p>
      <w:pPr>
        <w:jc w:val="both"/>
        <w:ind w:firstLine="1305"/>
        <w:spacing w:after="0" w:line="250" w:lineRule="auto"/>
        <w:tabs>
          <w:tab w:leader="none" w:pos="1779"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At any time or in any manner, either directly or indirectly, for the Participant’s own account or for the account of any other Person, interfere with any Diamondback Party’s relationship with any of its land owners, mineral owners, gatherers, processors, employees, contractors, suppliers or regulators or any other third party with which a Diamondback Party maintains a business relationship.</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010000"/>
        </w:rPr>
        <w:t xml:space="preserve">Section 3.2 </w:t>
      </w:r>
      <w:r>
        <w:rPr>
          <w:rFonts w:ascii="Arial" w:cs="Arial" w:eastAsia="Arial" w:hAnsi="Arial"/>
          <w:sz w:val="19"/>
          <w:szCs w:val="19"/>
          <w:b w:val="1"/>
          <w:bCs w:val="1"/>
          <w:color w:val="000000"/>
        </w:rPr>
        <w:t>Limitations on Non-Competition</w:t>
      </w:r>
      <w:r>
        <w:rPr>
          <w:rFonts w:ascii="Arial" w:cs="Arial" w:eastAsia="Arial" w:hAnsi="Arial"/>
          <w:sz w:val="19"/>
          <w:szCs w:val="19"/>
          <w:color w:val="000000"/>
        </w:rPr>
        <w:t>. Notwithstanding the provisions of Section 3.1, if the Participant provides</w:t>
      </w:r>
      <w:r>
        <w:rPr>
          <w:rFonts w:ascii="Arial" w:cs="Arial" w:eastAsia="Arial" w:hAnsi="Arial"/>
          <w:sz w:val="19"/>
          <w:szCs w:val="19"/>
          <w:b w:val="1"/>
          <w:bCs w:val="1"/>
          <w:color w:val="010000"/>
        </w:rPr>
        <w:t xml:space="preserve"> </w:t>
      </w:r>
      <w:r>
        <w:rPr>
          <w:rFonts w:ascii="Arial" w:cs="Arial" w:eastAsia="Arial" w:hAnsi="Arial"/>
          <w:sz w:val="19"/>
          <w:szCs w:val="19"/>
          <w:color w:val="000000"/>
        </w:rPr>
        <w:t>written notice to the Employer that the Participant will terminate employment with the Employer pursuant to a resignation by the Participant that does not constitute an Eligible Termination, then, solely for purposes of Section 3.1(a), the Restricted Period will end on a date selected by the Company and set forth in a written notice provided by the Company to the Participant; provided, however, that (a) the date selected by the Company will be a whole number of months (not in excess of 12) after the Termination Date and (b) subject to the provisions of Section 2.4 hereof, beginning on the Payment Date, the Employer will pay to the Participant an amount equal to one-twelfth of the Participant’s annualized base salary plus target annual bonus for each month of the Restricted Period, which amount will be paid on a prorated basis on each regularly scheduled payroll date during the Restricted Period following the Termination Date. The Participant hereby delegates to the Company the right to select and determine in good faith the duration of the Restricted Period as provided in this Section 3.2.</w:t>
      </w:r>
    </w:p>
    <w:p>
      <w:pPr>
        <w:sectPr>
          <w:pgSz w:w="11900" w:h="16838" w:orient="portrait"/>
          <w:cols w:equalWidth="0" w:num="1">
            <w:col w:w="11420"/>
          </w:cols>
          <w:pgMar w:left="240" w:top="207" w:right="239" w:bottom="228" w:gutter="0" w:footer="0" w:header="0"/>
        </w:sectPr>
      </w:pPr>
    </w:p>
    <w:bookmarkStart w:id="191" w:name="page192"/>
    <w:bookmarkEnd w:id="191"/>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010000"/>
        </w:rPr>
        <w:t xml:space="preserve">Section 3.3 </w:t>
      </w:r>
      <w:r>
        <w:rPr>
          <w:rFonts w:ascii="Arial" w:cs="Arial" w:eastAsia="Arial" w:hAnsi="Arial"/>
          <w:sz w:val="22"/>
          <w:szCs w:val="22"/>
          <w:b w:val="1"/>
          <w:bCs w:val="1"/>
          <w:color w:val="000000"/>
        </w:rPr>
        <w:t>Non-Disparagement</w:t>
      </w:r>
      <w:r>
        <w:rPr>
          <w:rFonts w:ascii="Arial" w:cs="Arial" w:eastAsia="Arial" w:hAnsi="Arial"/>
          <w:sz w:val="22"/>
          <w:szCs w:val="22"/>
          <w:color w:val="000000"/>
        </w:rPr>
        <w:t>. During and following the Participant’s employment with the Employer, the Participant</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agrees not to make public statements, negative comments or otherwise disparage any Diamondback Party or any Diamondback Party’s officers, directors, employees, agents, shareholders or other equity holders in any manner harmful to them or their business, business reputation or personal reputation.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010000"/>
        </w:rPr>
        <w:t xml:space="preserve">Section 3.4 </w:t>
      </w:r>
      <w:r>
        <w:rPr>
          <w:rFonts w:ascii="Arial" w:cs="Arial" w:eastAsia="Arial" w:hAnsi="Arial"/>
          <w:sz w:val="22"/>
          <w:szCs w:val="22"/>
          <w:b w:val="1"/>
          <w:bCs w:val="1"/>
          <w:color w:val="000000"/>
        </w:rPr>
        <w:t>Return of Property</w:t>
      </w:r>
      <w:r>
        <w:rPr>
          <w:rFonts w:ascii="Arial" w:cs="Arial" w:eastAsia="Arial" w:hAnsi="Arial"/>
          <w:sz w:val="22"/>
          <w:szCs w:val="22"/>
          <w:color w:val="000000"/>
        </w:rPr>
        <w:t>. All materials, records and documents in any medium made by a Participant or coming</w:t>
      </w:r>
      <w:r>
        <w:rPr>
          <w:rFonts w:ascii="Arial" w:cs="Arial" w:eastAsia="Arial" w:hAnsi="Arial"/>
          <w:sz w:val="22"/>
          <w:szCs w:val="22"/>
          <w:b w:val="1"/>
          <w:bCs w:val="1"/>
          <w:color w:val="010000"/>
        </w:rPr>
        <w:t xml:space="preserve"> </w:t>
      </w:r>
      <w:r>
        <w:rPr>
          <w:rFonts w:ascii="Arial" w:cs="Arial" w:eastAsia="Arial" w:hAnsi="Arial"/>
          <w:sz w:val="22"/>
          <w:szCs w:val="22"/>
          <w:color w:val="000000"/>
        </w:rPr>
        <w:t>into a Participant’s possession during employment concerning any products, processes or services, manufactured, used, developed, investigated, provided or considered by any Diamondback Party or otherwise concerning the business or affairs of the Diamondback Parties, are the sole property of the applicable Diamondback Party, and upon termination of a Participant’s employment, or upon request of the Company during employment, a Participant will promptly deliver the same to the Diamondback Party designated by the Company. In addition, upon termination of employment, or upon request of the Company during a Participant’s employment, the Participant will deliver to the Diamondback Party designated by the Company all other property of the Diamondback Parties in Participant’s possession or under Participant’s control, including, but not limited to, confidential or proprietary data or information, financial statements, marketing and sales data, drawings, documents and electronic records.</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010000"/>
        </w:rPr>
        <w:t xml:space="preserve">Section 3.5 </w:t>
      </w:r>
      <w:r>
        <w:rPr>
          <w:rFonts w:ascii="Arial" w:cs="Arial" w:eastAsia="Arial" w:hAnsi="Arial"/>
          <w:sz w:val="19"/>
          <w:szCs w:val="19"/>
          <w:b w:val="1"/>
          <w:bCs w:val="1"/>
          <w:color w:val="000000"/>
        </w:rPr>
        <w:t>Cooperation</w:t>
      </w:r>
      <w:r>
        <w:rPr>
          <w:rFonts w:ascii="Arial" w:cs="Arial" w:eastAsia="Arial" w:hAnsi="Arial"/>
          <w:sz w:val="19"/>
          <w:szCs w:val="19"/>
          <w:color w:val="000000"/>
        </w:rPr>
        <w:t>. Upon the receipt of reasonable notice from the Company, an Employer or an Affiliate</w:t>
      </w:r>
      <w:r>
        <w:rPr>
          <w:rFonts w:ascii="Arial" w:cs="Arial" w:eastAsia="Arial" w:hAnsi="Arial"/>
          <w:sz w:val="19"/>
          <w:szCs w:val="19"/>
          <w:b w:val="1"/>
          <w:bCs w:val="1"/>
          <w:color w:val="010000"/>
        </w:rPr>
        <w:t xml:space="preserve"> </w:t>
      </w:r>
      <w:r>
        <w:rPr>
          <w:rFonts w:ascii="Arial" w:cs="Arial" w:eastAsia="Arial" w:hAnsi="Arial"/>
          <w:sz w:val="19"/>
          <w:szCs w:val="19"/>
          <w:color w:val="000000"/>
        </w:rPr>
        <w:t>(including outside counsel), a Participant agrees that while employed by any Diamondback Party and thereafter, the Participant will provide reasonable assistance to any Diamondback Party and their respective representatives in defense of any claims that may be made against any Diamondback Party and will assist any Diamondback Party in the prosecution of any claims that may be made by any Diamondback Party, to the extent that such claims relate to the period of participant’s employment with a Diamondback Party. Participants agree to promptly inform the Company if they become aware of any lawsuits involving such claims that may be filed or threatened against any Diamondback Party. Participants also agree to promptly inform the Company (to the extent legally permitted to do so) if asked to assist in any investigation of any Diamondback Party (or its actions), regardless of whether a lawsuit or other proceeding has then been filed against any Diamondback Party with respect to such investigation. Upon presentation of appropriate documentation, the Company or an Employer will pay or reimburse the Participant for all reasonable, out-of-pocket expenses incurred in complying with this Section 3.5. If at the time of compliance Participant is no longer an employee, officer or director (or functional equivalent) of any Diamondback Party, the Company or an Employer will provide a reasonable per diem.</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3.6</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6" w:lineRule="auto"/>
        <w:tabs>
          <w:tab w:leader="none" w:pos="1752"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the course of employment with the Diamondback Parties, a Participant will have had, and/or will have, access to confidential or proprietary data or information of the Diamondback Parties. Each Participant hereby agrees to not at any time during or after employment divulge or communicate to any Person (which term, for purposes of this Plan, includes both individual Persons or entities) nor shall a Participant direct any employee of a Diamondback Party to divulge or communicate to any Person (other than to a Person bound by confidentiality obligations similar to those contained herein and other than as necessary in performing your duties hereunder), or use to the detriment of the Diamondback Parties or for the benefit of any other Person, any of such data or information. No business conducted by a Participant or any organization of which a Participant, directly or indirectly, is an owner, partner, manager, joint venturer, director, officer, manager or otherwise a participant in or connected with in any locality, state or country in which the Diamondback Parties conduct business may use any name, designation or logo which is substantially similar to that presently used by any Diamondback Party. The term “</w:t>
      </w:r>
      <w:r>
        <w:rPr>
          <w:rFonts w:ascii="Arial" w:cs="Arial" w:eastAsia="Arial" w:hAnsi="Arial"/>
          <w:sz w:val="19"/>
          <w:szCs w:val="19"/>
          <w:b w:val="1"/>
          <w:bCs w:val="1"/>
          <w:color w:val="auto"/>
        </w:rPr>
        <w:t>confidential or proprietary data or</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as used in this Plan means any information not generally available to the public or generally known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Diamondback Party’s industry, including, without limitation, Personnel information, financial information, customer lists or contacts, vendor lists and pricing information, strategy and plans, engineering data and analysis, maps, samples, well logs, well production information, geological data, geophysical data, seismic data, information regarding operations, systems, services, know-how, computer and any other processed or collated data, trade secrets (including, without limitation, software), computer programs, pricing, marketing and advertising data.</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jc w:val="both"/>
        <w:ind w:firstLine="1305"/>
        <w:spacing w:after="0" w:line="289" w:lineRule="auto"/>
        <w:tabs>
          <w:tab w:leader="none" w:pos="1778"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Proprietary Information and Disclosure</w:t>
      </w:r>
      <w:r>
        <w:rPr>
          <w:rFonts w:ascii="Arial" w:cs="Arial" w:eastAsia="Arial" w:hAnsi="Arial"/>
          <w:sz w:val="19"/>
          <w:szCs w:val="19"/>
          <w:color w:val="auto"/>
        </w:rPr>
        <w:t>. Each Participant agrees that they will at all times promptly disclose to the Company, in such form and manner as the Company or an Employer may require, any inventions, improvements or procedural or methodological innovations, program methods, forms, systems, services, designs, marketing ideas, products or processes (whether or not capable of being trademarked, copyrighted or patented) conceived or developed or created by the Participant during or in connection with employment with any Diamondback Party and which relate to the business of any Diamondback Party (“</w:t>
      </w:r>
      <w:r>
        <w:rPr>
          <w:rFonts w:ascii="Arial" w:cs="Arial" w:eastAsia="Arial" w:hAnsi="Arial"/>
          <w:sz w:val="19"/>
          <w:szCs w:val="19"/>
          <w:b w:val="1"/>
          <w:bCs w:val="1"/>
          <w:color w:val="auto"/>
        </w:rPr>
        <w:t>Intellectual Property</w:t>
      </w:r>
      <w:r>
        <w:rPr>
          <w:rFonts w:ascii="Arial" w:cs="Arial" w:eastAsia="Arial" w:hAnsi="Arial"/>
          <w:sz w:val="19"/>
          <w:szCs w:val="19"/>
          <w:color w:val="auto"/>
        </w:rPr>
        <w:t>”). Each Participant agrees that all such Intellectual Property constitutes a work-for-hire and will be the sole property of the applicable Diamondback Party. Each Participant further agrees that he or she will execute such instruments and perform such acts as may be requested by the Company or an Employer to transfer to and perfect in the entity designated by the Company all legally protectable rights in such Intellectual Property.</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AND APPEAL PROCEDURES</w:t>
      </w:r>
    </w:p>
    <w:p>
      <w:pPr>
        <w:spacing w:after="0" w:line="209" w:lineRule="exact"/>
        <w:rPr>
          <w:sz w:val="20"/>
          <w:szCs w:val="20"/>
          <w:color w:val="auto"/>
        </w:rPr>
      </w:pPr>
    </w:p>
    <w:p>
      <w:pPr>
        <w:ind w:firstLine="648"/>
        <w:spacing w:after="0" w:line="350" w:lineRule="auto"/>
        <w:rPr>
          <w:sz w:val="20"/>
          <w:szCs w:val="20"/>
          <w:color w:val="auto"/>
        </w:rPr>
      </w:pPr>
      <w:r>
        <w:rPr>
          <w:rFonts w:ascii="Arial" w:cs="Arial" w:eastAsia="Arial" w:hAnsi="Arial"/>
          <w:sz w:val="19"/>
          <w:szCs w:val="19"/>
          <w:b w:val="1"/>
          <w:bCs w:val="1"/>
          <w:color w:val="010000"/>
        </w:rPr>
        <w:t xml:space="preserve">Section 4.1 </w:t>
      </w:r>
      <w:r>
        <w:rPr>
          <w:rFonts w:ascii="Arial" w:cs="Arial" w:eastAsia="Arial" w:hAnsi="Arial"/>
          <w:sz w:val="19"/>
          <w:szCs w:val="19"/>
          <w:b w:val="1"/>
          <w:bCs w:val="1"/>
          <w:color w:val="000000"/>
        </w:rPr>
        <w:t>Filing Claim for Benefits</w:t>
      </w:r>
      <w:r>
        <w:rPr>
          <w:rFonts w:ascii="Arial" w:cs="Arial" w:eastAsia="Arial" w:hAnsi="Arial"/>
          <w:sz w:val="19"/>
          <w:szCs w:val="19"/>
          <w:color w:val="000000"/>
        </w:rPr>
        <w:t>. If a Participant or Beneficiary (“</w:t>
      </w:r>
      <w:r>
        <w:rPr>
          <w:rFonts w:ascii="Arial" w:cs="Arial" w:eastAsia="Arial" w:hAnsi="Arial"/>
          <w:sz w:val="19"/>
          <w:szCs w:val="19"/>
          <w:b w:val="1"/>
          <w:bCs w:val="1"/>
          <w:color w:val="000000"/>
        </w:rPr>
        <w:t>Claimant</w:t>
      </w:r>
      <w:r>
        <w:rPr>
          <w:rFonts w:ascii="Arial" w:cs="Arial" w:eastAsia="Arial" w:hAnsi="Arial"/>
          <w:sz w:val="19"/>
          <w:szCs w:val="19"/>
          <w:color w:val="000000"/>
        </w:rPr>
        <w:t>”) believes he or she has not received</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benefits Claimant is entitled to receive under the terms of the Plan, Claimant may file a claim for benefits with the</w:t>
      </w:r>
    </w:p>
    <w:p>
      <w:pPr>
        <w:sectPr>
          <w:pgSz w:w="11900" w:h="16859" w:orient="portrait"/>
          <w:cols w:equalWidth="0" w:num="1">
            <w:col w:w="11420"/>
          </w:cols>
          <w:pgMar w:left="240" w:top="126" w:right="239" w:bottom="0" w:gutter="0" w:footer="0" w:header="0"/>
        </w:sectPr>
      </w:pPr>
    </w:p>
    <w:bookmarkStart w:id="192" w:name="page193"/>
    <w:bookmarkEnd w:id="192"/>
    <w:p>
      <w:pPr>
        <w:jc w:val="both"/>
        <w:spacing w:after="0" w:line="253" w:lineRule="auto"/>
        <w:rPr>
          <w:sz w:val="20"/>
          <w:szCs w:val="20"/>
          <w:color w:val="auto"/>
        </w:rPr>
      </w:pPr>
      <w:r>
        <w:rPr>
          <w:rFonts w:ascii="Arial" w:cs="Arial" w:eastAsia="Arial" w:hAnsi="Arial"/>
          <w:sz w:val="22"/>
          <w:szCs w:val="22"/>
          <w:color w:val="auto"/>
        </w:rPr>
        <w:t>Administrator. All claims must be made in writing and must be signed by Claimant or an authorized representative. If Claimant does not furnish sufficient information to determine the validity of the claim, the Administrator will indicate to Claimant any additional information which is required.</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010000"/>
        </w:rPr>
        <w:t xml:space="preserve">Section 4.2 </w:t>
      </w:r>
      <w:r>
        <w:rPr>
          <w:rFonts w:ascii="Arial" w:cs="Arial" w:eastAsia="Arial" w:hAnsi="Arial"/>
          <w:sz w:val="19"/>
          <w:szCs w:val="19"/>
          <w:b w:val="1"/>
          <w:bCs w:val="1"/>
          <w:color w:val="000000"/>
        </w:rPr>
        <w:t>Notification by the Administrator</w:t>
      </w:r>
      <w:r>
        <w:rPr>
          <w:rFonts w:ascii="Arial" w:cs="Arial" w:eastAsia="Arial" w:hAnsi="Arial"/>
          <w:sz w:val="19"/>
          <w:szCs w:val="19"/>
          <w:color w:val="000000"/>
        </w:rPr>
        <w:t>. Each claim will be approved or disapproved by the Administrator within</w:t>
      </w:r>
      <w:r>
        <w:rPr>
          <w:rFonts w:ascii="Arial" w:cs="Arial" w:eastAsia="Arial" w:hAnsi="Arial"/>
          <w:sz w:val="19"/>
          <w:szCs w:val="19"/>
          <w:b w:val="1"/>
          <w:bCs w:val="1"/>
          <w:color w:val="010000"/>
        </w:rPr>
        <w:t xml:space="preserve"> </w:t>
      </w:r>
      <w:r>
        <w:rPr>
          <w:rFonts w:ascii="Arial" w:cs="Arial" w:eastAsia="Arial" w:hAnsi="Arial"/>
          <w:sz w:val="19"/>
          <w:szCs w:val="19"/>
          <w:color w:val="000000"/>
        </w:rPr>
        <w:t>90 days following the receipt of the information necessary to process the claim (45 days if the claim relates to a Plan determination of disability (a “</w:t>
      </w:r>
      <w:r>
        <w:rPr>
          <w:rFonts w:ascii="Arial" w:cs="Arial" w:eastAsia="Arial" w:hAnsi="Arial"/>
          <w:sz w:val="19"/>
          <w:szCs w:val="19"/>
          <w:b w:val="1"/>
          <w:bCs w:val="1"/>
          <w:color w:val="000000"/>
        </w:rPr>
        <w:t>Disability Claim</w:t>
      </w:r>
      <w:r>
        <w:rPr>
          <w:rFonts w:ascii="Arial" w:cs="Arial" w:eastAsia="Arial" w:hAnsi="Arial"/>
          <w:sz w:val="19"/>
          <w:szCs w:val="19"/>
          <w:color w:val="000000"/>
        </w:rPr>
        <w:t>”)). In the event the Administrator denies a claim for benefits in whole or in part, the Administrator will notify Claimant in writing or by electronic notification of the denial of the claim. Such notice by the Administrator will also set forth, in a manner calculated to be understood by Claimant, the specific reason for such denial, the specific Plan provisions on which the denial is based, a description of any additional material or information necessary to perfect the claim with an explanation of why such material or information is necessary, and an explanation of the Plan’s claim review procedure as set forth in Section 4.3 and the time limits applicable to such procedures, including a statement of Claimant’s right to bring a civil action under Section 502 of ERISA following a claim denial after review. These periods may be extended by the Administrator for up to 90 days (30 days in the case of a Disability Claim), if the Administrator determines that such an extension is necessary due to matters beyond the control of the Plan and notifies Claimant, prior to expiration of the initial notification period, of the circumstances requiring an extension of time and the date by which the Administrator expects to render a decision. In the case of a Disability Claim, the Administrator may further extend the period for making a determination by up to an additional 30 days if, prior to the end of the first 30 day extension period, the Administrator determines that such an additional extension is necessary due to matters beyond the control of the Plan and notifies Claimant of the circumstances requiring an extension of time and the date by which the Administrator expects to render a decision. If no action is taken by the Administrator on a claim within 90 days (45 days for a Disability Claim), the claim will be deemed to be denied for purposes of the review procedure, unless the failure was a de minimis violation that does not cause and is not likely to cause prejudice or harm to Claimant and the Administrator demonstrates that the failure was for good cause or due to matters beyond the control of the Administrator and that the failure occurred in the context of an ongoing good faith exchange of information between the Plan and Claimant.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193" w:name="page194"/>
    <w:bookmarkEnd w:id="193"/>
    <w:p>
      <w:pPr>
        <w:jc w:val="both"/>
        <w:ind w:firstLine="648"/>
        <w:spacing w:after="0" w:line="252" w:lineRule="auto"/>
        <w:rPr>
          <w:sz w:val="20"/>
          <w:szCs w:val="20"/>
          <w:color w:val="auto"/>
        </w:rPr>
      </w:pPr>
      <w:r>
        <w:rPr>
          <w:rFonts w:ascii="Arial" w:cs="Arial" w:eastAsia="Arial" w:hAnsi="Arial"/>
          <w:sz w:val="22"/>
          <w:szCs w:val="22"/>
          <w:b w:val="1"/>
          <w:bCs w:val="1"/>
          <w:color w:val="010000"/>
        </w:rPr>
        <w:t xml:space="preserve">Section 4.3 </w:t>
      </w:r>
      <w:r>
        <w:rPr>
          <w:rFonts w:ascii="Arial" w:cs="Arial" w:eastAsia="Arial" w:hAnsi="Arial"/>
          <w:sz w:val="22"/>
          <w:szCs w:val="22"/>
          <w:b w:val="1"/>
          <w:bCs w:val="1"/>
          <w:color w:val="000000"/>
        </w:rPr>
        <w:t>Review Procedure</w:t>
      </w:r>
      <w:r>
        <w:rPr>
          <w:rFonts w:ascii="Arial" w:cs="Arial" w:eastAsia="Arial" w:hAnsi="Arial"/>
          <w:sz w:val="22"/>
          <w:szCs w:val="22"/>
          <w:color w:val="000000"/>
        </w:rPr>
        <w:t>. A Claimant may appeal a denial of his or her claim by requesting a review of the decision</w:t>
      </w:r>
      <w:r>
        <w:rPr>
          <w:rFonts w:ascii="Arial" w:cs="Arial" w:eastAsia="Arial" w:hAnsi="Arial"/>
          <w:sz w:val="22"/>
          <w:szCs w:val="22"/>
          <w:b w:val="1"/>
          <w:bCs w:val="1"/>
          <w:color w:val="010000"/>
        </w:rPr>
        <w:t xml:space="preserve"> </w:t>
      </w:r>
      <w:r>
        <w:rPr>
          <w:rFonts w:ascii="Arial" w:cs="Arial" w:eastAsia="Arial" w:hAnsi="Arial"/>
          <w:sz w:val="22"/>
          <w:szCs w:val="22"/>
          <w:color w:val="000000"/>
        </w:rPr>
        <w:t>by the Administrator or a Person designated by the Administrator, which Person will be a Named Fiduciary under Section 402(a)(2) of ERISA for purposes of this Section 4.3. An appeal must be submitted in writing within 60 days (180 days in the case of a Disability Claim) after the denial and must:</w:t>
      </w:r>
    </w:p>
    <w:p>
      <w:pPr>
        <w:spacing w:after="0" w:line="186" w:lineRule="exact"/>
        <w:rPr>
          <w:sz w:val="20"/>
          <w:szCs w:val="20"/>
          <w:color w:val="auto"/>
        </w:rPr>
      </w:pPr>
    </w:p>
    <w:p>
      <w:pPr>
        <w:ind w:left="1760" w:hanging="455"/>
        <w:spacing w:after="0"/>
        <w:tabs>
          <w:tab w:leader="none" w:pos="1760"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Request a review of the claim for benefits under the Plan;</w:t>
      </w:r>
    </w:p>
    <w:p>
      <w:pPr>
        <w:spacing w:after="0" w:line="219" w:lineRule="exact"/>
        <w:rPr>
          <w:rFonts w:ascii="Arial" w:cs="Arial" w:eastAsia="Arial" w:hAnsi="Arial"/>
          <w:sz w:val="22"/>
          <w:szCs w:val="22"/>
          <w:color w:val="010000"/>
        </w:rPr>
      </w:pPr>
    </w:p>
    <w:p>
      <w:pPr>
        <w:ind w:left="1900" w:hanging="595"/>
        <w:spacing w:after="0"/>
        <w:tabs>
          <w:tab w:leader="none" w:pos="1900"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Set forth all of the grounds under which Claimant’s request for review is based and any facts in support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 and</w:t>
      </w:r>
    </w:p>
    <w:p>
      <w:pPr>
        <w:spacing w:after="0" w:line="202" w:lineRule="exact"/>
        <w:rPr>
          <w:sz w:val="20"/>
          <w:szCs w:val="20"/>
          <w:color w:val="auto"/>
        </w:rPr>
      </w:pPr>
    </w:p>
    <w:p>
      <w:pPr>
        <w:ind w:left="1760" w:hanging="455"/>
        <w:spacing w:after="0"/>
        <w:tabs>
          <w:tab w:leader="none" w:pos="1760"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Set forth any issues or comments which Claimant deems pertinent to the appeal.</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 connection with an appeal, Claimant and his or her legal representative will be given the opportunity to:</w:t>
      </w:r>
    </w:p>
    <w:p>
      <w:pPr>
        <w:spacing w:after="0" w:line="231" w:lineRule="exact"/>
        <w:rPr>
          <w:sz w:val="20"/>
          <w:szCs w:val="20"/>
          <w:color w:val="auto"/>
        </w:rPr>
      </w:pPr>
    </w:p>
    <w:p>
      <w:pPr>
        <w:ind w:left="2380" w:hanging="427"/>
        <w:spacing w:after="0"/>
        <w:tabs>
          <w:tab w:leader="none" w:pos="2380"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submit written comments, documents, records, and other information relating to the claim for benefits;</w:t>
      </w:r>
    </w:p>
    <w:p>
      <w:pPr>
        <w:spacing w:after="0" w:line="254" w:lineRule="exact"/>
        <w:rPr>
          <w:rFonts w:ascii="Arial" w:cs="Arial" w:eastAsia="Arial" w:hAnsi="Arial"/>
          <w:sz w:val="19"/>
          <w:szCs w:val="19"/>
          <w:color w:val="010000"/>
        </w:rPr>
      </w:pPr>
    </w:p>
    <w:p>
      <w:pPr>
        <w:jc w:val="both"/>
        <w:ind w:left="660" w:firstLine="1293"/>
        <w:spacing w:after="0" w:line="265" w:lineRule="auto"/>
        <w:tabs>
          <w:tab w:leader="none" w:pos="2531"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obtain reasonable access, upon request and free of charge, to review and obtain copies of pertinent documents or materials upon submission of a written request to the Administrator or Named Fiduciary, provided the Administrator or Named Fiduciary finds the requested documents or materials are relevant to Claimant’s claim for benefits within the meaning of claims procedure regulation 29 C.F.R. § 2560.503-1(m)(8).</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On the basis of its review, the Administrator or Named Fiduciary will make an independent determination of Claimant’s eligibility for benefits under the Plan. The review will take into account all comments, documents, records, and other information submitted by Claimant relating to the claim for benefits, without regard to whether such information was submitted or considered in the initial benefit claim determination. The Administrator or the Named Fiduciary designated by the Administrator will act upon each appeal within 60 days (45 days in the case of a Disability Claim appeal) after receipt thereof, unless special circumstances require an extension of the time for processing, in which case a decision will be rendered as soon as possible, but not later than 120 days (90 days in the case of a Disability Claim appeal) after the appeal is received. The decision of the Administrator or Named Fiduciary on any claim for benefits will be final and conclusive upon all parties thereto. In the event the Administrator or Named Fiduciary denies an appeal in whole or in part, it will give written or electronic notice of the decision to Claimant within five days of the date the determination is made, which notice will set forth in a manner calculated to be understood by Claimant the specific reasons for such denial and which will make specific reference to the pertinent Plan provisions on which the decision was based. The notice will also contain a statement that Claimant is entitled to receive upon request and free of charge, reasonable access to, and copies of, all documents, records, and other information relevant to claimant’s claim for benefits, within the meaning of claims procedure regulation 29 C.F.R. § 2560.503-1(m)(8) and a statement of Claimant’s right to bring a civil action under Section 502 of ERISA.</w:t>
      </w:r>
    </w:p>
    <w:p>
      <w:pPr>
        <w:spacing w:after="0" w:line="163" w:lineRule="exact"/>
        <w:rPr>
          <w:sz w:val="20"/>
          <w:szCs w:val="20"/>
          <w:color w:val="auto"/>
        </w:rPr>
      </w:pPr>
    </w:p>
    <w:p>
      <w:pPr>
        <w:ind w:left="5660" w:right="320" w:hanging="4355"/>
        <w:spacing w:after="0" w:line="673" w:lineRule="auto"/>
        <w:tabs>
          <w:tab w:leader="none" w:pos="1773" w:val="left"/>
        </w:tabs>
        <w:numPr>
          <w:ilvl w:val="0"/>
          <w:numId w:val="79"/>
        </w:numPr>
        <w:rPr>
          <w:rFonts w:ascii="Arial" w:cs="Arial" w:eastAsia="Arial" w:hAnsi="Arial"/>
          <w:sz w:val="22"/>
          <w:szCs w:val="22"/>
          <w:color w:val="010000"/>
        </w:rPr>
      </w:pPr>
      <w:r>
        <w:rPr>
          <w:rFonts w:ascii="Arial" w:cs="Arial" w:eastAsia="Arial" w:hAnsi="Arial"/>
          <w:sz w:val="22"/>
          <w:szCs w:val="22"/>
          <w:color w:val="auto"/>
        </w:rPr>
        <w:t>Effective for Disability Claims filed on or after the Effective Date, the following additional rules will apply: 4</w:t>
      </w:r>
    </w:p>
    <w:p>
      <w:pPr>
        <w:sectPr>
          <w:pgSz w:w="11900" w:h="16838" w:orient="portrait"/>
          <w:cols w:equalWidth="0" w:num="1">
            <w:col w:w="11420"/>
          </w:cols>
          <w:pgMar w:left="240" w:top="599" w:right="239" w:bottom="1440" w:gutter="0" w:footer="0" w:header="0"/>
        </w:sectPr>
      </w:pPr>
    </w:p>
    <w:bookmarkStart w:id="194" w:name="page195"/>
    <w:bookmarkEnd w:id="194"/>
    <w:p>
      <w:pPr>
        <w:jc w:val="both"/>
        <w:ind w:left="-540" w:firstLine="1293"/>
        <w:spacing w:after="0" w:line="248" w:lineRule="auto"/>
        <w:tabs>
          <w:tab w:leader="none" w:pos="1271"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Notice to Claimant of any extension of the 45-day period for initial determination must include the circumstances requiring the extension and the date as of which a decision is expected, with a specific explanation of the standards on which entitlement to a disability benefit are based, the unresolved issues preventing a decision on the Disability Claim and the information needed to resolve those issues, and must give Claimant 45 days to provide any information requested.</w:t>
      </w:r>
    </w:p>
    <w:p>
      <w:pPr>
        <w:spacing w:after="0" w:line="192" w:lineRule="exact"/>
        <w:rPr>
          <w:rFonts w:ascii="Arial" w:cs="Arial" w:eastAsia="Arial" w:hAnsi="Arial"/>
          <w:sz w:val="22"/>
          <w:szCs w:val="22"/>
          <w:color w:val="010000"/>
        </w:rPr>
      </w:pPr>
    </w:p>
    <w:p>
      <w:pPr>
        <w:ind w:left="100" w:firstLine="653"/>
        <w:spacing w:after="0" w:line="263" w:lineRule="auto"/>
        <w:tabs>
          <w:tab w:leader="none" w:pos="1336"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In addition to the information provided with respect to other claims, the notification of denial of a Disability Claim must include the following:</w:t>
      </w:r>
    </w:p>
    <w:p>
      <w:pPr>
        <w:spacing w:after="0" w:line="174" w:lineRule="exact"/>
        <w:rPr>
          <w:rFonts w:ascii="Arial" w:cs="Arial" w:eastAsia="Arial" w:hAnsi="Arial"/>
          <w:sz w:val="22"/>
          <w:szCs w:val="22"/>
          <w:color w:val="010000"/>
        </w:rPr>
      </w:pPr>
    </w:p>
    <w:p>
      <w:pPr>
        <w:jc w:val="both"/>
        <w:ind w:left="100" w:firstLine="1301"/>
        <w:spacing w:after="0" w:line="247" w:lineRule="auto"/>
        <w:tabs>
          <w:tab w:leader="none" w:pos="1953"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 discussion of the decision, including an explanation of the basis for disagreeing with or not following the views presented by Claimant to the Plan of health care professionals who are treating the Participant and vocational professionals who have evaluated the Participant; medical or vocational experts whose advice was obtained on behalf of the Plan in connection with the Disability Claim, without regard to whether the advice was relied on in making the determination; and any disability determination made by the Social Security Administration presented to the Plan by Claimant.</w:t>
      </w:r>
    </w:p>
    <w:p>
      <w:pPr>
        <w:spacing w:after="0" w:line="193" w:lineRule="exact"/>
        <w:rPr>
          <w:rFonts w:ascii="Arial" w:cs="Arial" w:eastAsia="Arial" w:hAnsi="Arial"/>
          <w:sz w:val="22"/>
          <w:szCs w:val="22"/>
          <w:color w:val="010000"/>
        </w:rPr>
      </w:pPr>
    </w:p>
    <w:p>
      <w:pPr>
        <w:jc w:val="both"/>
        <w:ind w:left="100" w:firstLine="1301"/>
        <w:spacing w:after="0" w:line="253" w:lineRule="auto"/>
        <w:tabs>
          <w:tab w:leader="none" w:pos="1928"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Either the specific internal rules, guidelines, protocols, standards or other similar criteria of the Plan relied on in making the decision, or a statement that such rules, guidelines, protocols, standards or other similar criteria of the Plan do not exist.</w:t>
      </w:r>
    </w:p>
    <w:p>
      <w:pPr>
        <w:spacing w:after="0" w:line="185" w:lineRule="exact"/>
        <w:rPr>
          <w:rFonts w:ascii="Arial" w:cs="Arial" w:eastAsia="Arial" w:hAnsi="Arial"/>
          <w:sz w:val="22"/>
          <w:szCs w:val="22"/>
          <w:color w:val="010000"/>
        </w:rPr>
      </w:pPr>
    </w:p>
    <w:p>
      <w:pPr>
        <w:ind w:left="100" w:right="20" w:firstLine="1301"/>
        <w:spacing w:after="0" w:line="263" w:lineRule="auto"/>
        <w:tabs>
          <w:tab w:leader="none" w:pos="1955"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 statement that Claimant may request, free of charge, reasonable access to and copies of all documents, records and other information relevant to the Disability Claim.</w:t>
      </w:r>
    </w:p>
    <w:p>
      <w:pPr>
        <w:spacing w:after="0" w:line="174" w:lineRule="exact"/>
        <w:rPr>
          <w:rFonts w:ascii="Arial" w:cs="Arial" w:eastAsia="Arial" w:hAnsi="Arial"/>
          <w:sz w:val="22"/>
          <w:szCs w:val="22"/>
          <w:color w:val="010000"/>
        </w:rPr>
      </w:pPr>
    </w:p>
    <w:p>
      <w:pPr>
        <w:jc w:val="both"/>
        <w:ind w:left="100" w:firstLine="653"/>
        <w:spacing w:after="0" w:line="287" w:lineRule="auto"/>
        <w:tabs>
          <w:tab w:leader="none" w:pos="1329"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Subsequent review of any decision denying a Disability Claim must be conducted by an independent and impartial fiduciary not involved in the initial determination. Claimant shall be notified in writing not later than 45 days after receipt of a request for a review. This 45-day period may be extended for an additional 45 days if special circumstances require the extension. Before the Plan can issue an adverse determination on appeal, Claimant shall be provided, free of charge, with any new or additional evidence considered, relied on or generated by the Plan administrator or other Person making the benefit determination (or at the direction of the Plan administrator or such other Person) in connection with the Disability Claim. Such evidence shall be provided to Claimant as soon as possible and sufficiently before the deadline for the notice of adverse determination, to give Claimant a reasonable opportunity to respond. Before the Plan can issue an adverse determination on appeal based on new or additional rationale, Claimant shall be provided, free of charge, with such rationale. The rationale will be provided as soon as possible and sufficiently before the deadline for the notice of adverse determination to give Claimant a reasonable opportunity to respond.</w:t>
      </w:r>
    </w:p>
    <w:p>
      <w:pPr>
        <w:spacing w:after="0" w:line="200" w:lineRule="exact"/>
        <w:rPr>
          <w:rFonts w:ascii="Arial" w:cs="Arial" w:eastAsia="Arial" w:hAnsi="Arial"/>
          <w:sz w:val="19"/>
          <w:szCs w:val="19"/>
          <w:color w:val="010000"/>
        </w:rPr>
      </w:pPr>
    </w:p>
    <w:p>
      <w:pPr>
        <w:spacing w:after="0" w:line="221" w:lineRule="exact"/>
        <w:rPr>
          <w:rFonts w:ascii="Arial" w:cs="Arial" w:eastAsia="Arial" w:hAnsi="Arial"/>
          <w:sz w:val="19"/>
          <w:szCs w:val="19"/>
          <w:color w:val="010000"/>
        </w:rPr>
      </w:pPr>
    </w:p>
    <w:p>
      <w:pPr>
        <w:jc w:val="both"/>
        <w:ind w:left="100" w:firstLine="653"/>
        <w:spacing w:after="0" w:line="312" w:lineRule="auto"/>
        <w:tabs>
          <w:tab w:leader="none" w:pos="1303"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In addition to the information provided for all other claims on appeal, the notice of determination of a Disability Claim appeal must include an explanation of the basis for disagreeing with or not following the views presented by Claimant of health care professionals treating the Participant and vocational professionals who</w:t>
      </w:r>
    </w:p>
    <w:p>
      <w:pPr>
        <w:spacing w:after="0" w:line="35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604" w:right="239" w:bottom="1440" w:gutter="0" w:footer="0" w:header="0"/>
        </w:sectPr>
      </w:pPr>
    </w:p>
    <w:bookmarkStart w:id="195" w:name="page196"/>
    <w:bookmarkEnd w:id="195"/>
    <w:p>
      <w:pPr>
        <w:jc w:val="both"/>
        <w:ind w:left="1300"/>
        <w:spacing w:after="0" w:line="246" w:lineRule="auto"/>
        <w:rPr>
          <w:sz w:val="20"/>
          <w:szCs w:val="20"/>
          <w:color w:val="auto"/>
        </w:rPr>
      </w:pPr>
      <w:r>
        <w:rPr>
          <w:rFonts w:ascii="Arial" w:cs="Arial" w:eastAsia="Arial" w:hAnsi="Arial"/>
          <w:sz w:val="22"/>
          <w:szCs w:val="22"/>
          <w:color w:val="auto"/>
        </w:rPr>
        <w:t>evaluated the Participant, the views of medical or vocational experts whose advice was obtained on behalf of the Plan administrator (regardless of whether the advice was relied upon), and any disability determination of the Social Security Administration presented by Claimant to the Plan administrator. The notice also shall include either the specific internal rules, guidelines, protocols, standards or other similar criteria relied on in making the decision or a statement that no such rules, guidelines, protocols, standards or other similar criteria exist, and a statement informing Claimant of his or her right to bring a civil suit under federal law (and a description of the Plan’s limitation period for doing so, if any).</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010000"/>
        </w:rPr>
        <w:t xml:space="preserve">Section 4.4 </w:t>
      </w:r>
      <w:r>
        <w:rPr>
          <w:rFonts w:ascii="Arial" w:cs="Arial" w:eastAsia="Arial" w:hAnsi="Arial"/>
          <w:sz w:val="22"/>
          <w:szCs w:val="22"/>
          <w:b w:val="1"/>
          <w:bCs w:val="1"/>
          <w:color w:val="000000"/>
        </w:rPr>
        <w:t>Administrator’s Authority</w:t>
      </w:r>
      <w:r>
        <w:rPr>
          <w:rFonts w:ascii="Arial" w:cs="Arial" w:eastAsia="Arial" w:hAnsi="Arial"/>
          <w:sz w:val="22"/>
          <w:szCs w:val="22"/>
          <w:color w:val="000000"/>
        </w:rPr>
        <w:t>. As provided in Section 5.1, the Plan Administrator has the discretionary</w:t>
      </w:r>
      <w:r>
        <w:rPr>
          <w:rFonts w:ascii="Arial" w:cs="Arial" w:eastAsia="Arial" w:hAnsi="Arial"/>
          <w:sz w:val="22"/>
          <w:szCs w:val="22"/>
          <w:b w:val="1"/>
          <w:bCs w:val="1"/>
          <w:color w:val="010000"/>
        </w:rPr>
        <w:t xml:space="preserve"> </w:t>
      </w:r>
      <w:r>
        <w:rPr>
          <w:rFonts w:ascii="Arial" w:cs="Arial" w:eastAsia="Arial" w:hAnsi="Arial"/>
          <w:sz w:val="22"/>
          <w:szCs w:val="22"/>
          <w:color w:val="000000"/>
        </w:rPr>
        <w:t>authority to interpret the Plan, make factual findings and determinations and make final decisions with respect to paying claims under the Plan. All determinations of the Plan administrator shall be final, conclusive and binding on all interested parties, unless the actions of the Plan Administrator are arbitrary and capricious.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20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010000"/>
        </w:rPr>
        <w:t xml:space="preserve">Section 5.1 </w:t>
      </w:r>
      <w:r>
        <w:rPr>
          <w:rFonts w:ascii="Arial" w:cs="Arial" w:eastAsia="Arial" w:hAnsi="Arial"/>
          <w:sz w:val="19"/>
          <w:szCs w:val="19"/>
          <w:b w:val="1"/>
          <w:bCs w:val="1"/>
          <w:color w:val="000000"/>
        </w:rPr>
        <w:t>In General</w:t>
      </w:r>
      <w:r>
        <w:rPr>
          <w:rFonts w:ascii="Arial" w:cs="Arial" w:eastAsia="Arial" w:hAnsi="Arial"/>
          <w:sz w:val="19"/>
          <w:szCs w:val="19"/>
          <w:color w:val="000000"/>
        </w:rPr>
        <w:t>. The general administration of the Plan and the duty to carry out its provisions shall be vested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Administrator, which shall be the “plan administrator” as that term is defined in Section 3(16)(A) of ERISA. The Plan and the severance benefits payable under the Plan shall be administered by the Administrator, which will be the Compensation Committee of the Board or its delegate, unless otherwise appointed from time to time by the Board. The Administrator may, in its discretion, secure the services of other parties, including agents and/or employees to carry out the day-to-day functions necessary to an efficient operation of the Plan. The Administrator’s interpretations, decisions, requests and exercises of power and responsibilities shall not be subject to review by anyone and shall be final, binding, and conclusive upon all Persons. The Administrator shall, in its sole and absolute discretion, have the exclusive right to interpret all of the terms of the Plan, to determine eligibility for coverage and benefits, to make reasonable and uniform rules and regulations required in the administration of the Plan, to resolve disputes as to eligibility, type, or amount of benefits, to correct any errors or omissions in the form or operation of the Plan, to make such other determinations with respect to the Plan, and to exercise such other powers and responsibilities as shall be provided for in the Plan or as shall be necessary or helpful with respect thereto. The Administrator under and pursuant to this Plan shall be the named fiduciary for purposes of Section 402(a) of ERISA with respect to all powers and duties expressly or implicitly assigned to it hereunder.</w:t>
      </w: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010000"/>
        </w:rPr>
        <w:t xml:space="preserve">Section 5.2 </w:t>
      </w:r>
      <w:r>
        <w:rPr>
          <w:rFonts w:ascii="Arial" w:cs="Arial" w:eastAsia="Arial" w:hAnsi="Arial"/>
          <w:sz w:val="22"/>
          <w:szCs w:val="22"/>
          <w:b w:val="1"/>
          <w:bCs w:val="1"/>
          <w:color w:val="000000"/>
        </w:rPr>
        <w:t>Reimbursement and Compensation</w:t>
      </w:r>
      <w:r>
        <w:rPr>
          <w:rFonts w:ascii="Arial" w:cs="Arial" w:eastAsia="Arial" w:hAnsi="Arial"/>
          <w:sz w:val="22"/>
          <w:szCs w:val="22"/>
          <w:color w:val="000000"/>
        </w:rPr>
        <w:t>. The Administrator shall receive no compensation for its services as</w:t>
      </w:r>
      <w:r>
        <w:rPr>
          <w:rFonts w:ascii="Arial" w:cs="Arial" w:eastAsia="Arial" w:hAnsi="Arial"/>
          <w:sz w:val="22"/>
          <w:szCs w:val="22"/>
          <w:b w:val="1"/>
          <w:bCs w:val="1"/>
          <w:color w:val="010000"/>
        </w:rPr>
        <w:t xml:space="preserve"> </w:t>
      </w:r>
      <w:r>
        <w:rPr>
          <w:rFonts w:ascii="Arial" w:cs="Arial" w:eastAsia="Arial" w:hAnsi="Arial"/>
          <w:sz w:val="22"/>
          <w:szCs w:val="22"/>
          <w:color w:val="000000"/>
        </w:rPr>
        <w:t>Administrator, but it shall be entitled to reimbursement for all sums reasonably and necessarily expended by it in the performance of such duties.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04" w:right="239" w:bottom="1440" w:gutter="0" w:footer="0" w:header="0"/>
        </w:sectPr>
      </w:pPr>
    </w:p>
    <w:bookmarkStart w:id="196" w:name="page197"/>
    <w:bookmarkEnd w:id="196"/>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Company, by action of the Compensation Committee of its Board, reserves the right to amend or terminate the Plan, without the consent of any Person or entity. However, no such amendment may eliminate the right to receive severance benefits which an Eligible Senior Executive has accrued or become entitled to under Article 2 of the Plan prior to the effective date of such amendments or termination. Such amendment or termination shall be effective when adopted in an instrument in writing, duly executed on behalf of Company. This Plan may not be amended on or following a Change in Control to adversely affect the benefits or rights to benefits (contingent or otherwise) of any Participant under this Plan or terminated on or following a Change in Control until there are no longer any benefits potentially payable under this Plan. Further, a participating Employer may not terminate its participation in this Plan on or following a Change in Control unless and until it no longer employs any Participants and has otherwise satisfied its obligations to pay benefits under this Plan.</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CODE SECTION 409A</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010000"/>
        </w:rPr>
        <w:t xml:space="preserve">Section 7.1 </w:t>
      </w:r>
      <w:r>
        <w:rPr>
          <w:rFonts w:ascii="Arial" w:cs="Arial" w:eastAsia="Arial" w:hAnsi="Arial"/>
          <w:sz w:val="22"/>
          <w:szCs w:val="22"/>
          <w:b w:val="1"/>
          <w:bCs w:val="1"/>
          <w:color w:val="000000"/>
        </w:rPr>
        <w:t>Deferred Compensation Exceptions</w:t>
      </w:r>
      <w:r>
        <w:rPr>
          <w:rFonts w:ascii="Arial" w:cs="Arial" w:eastAsia="Arial" w:hAnsi="Arial"/>
          <w:sz w:val="22"/>
          <w:szCs w:val="22"/>
          <w:color w:val="000000"/>
        </w:rPr>
        <w:t>. Payments under this Plan will be administered and interpreted to</w:t>
      </w:r>
      <w:r>
        <w:rPr>
          <w:rFonts w:ascii="Arial" w:cs="Arial" w:eastAsia="Arial" w:hAnsi="Arial"/>
          <w:sz w:val="22"/>
          <w:szCs w:val="22"/>
          <w:b w:val="1"/>
          <w:bCs w:val="1"/>
          <w:color w:val="010000"/>
        </w:rPr>
        <w:t xml:space="preserve"> </w:t>
      </w:r>
      <w:r>
        <w:rPr>
          <w:rFonts w:ascii="Arial" w:cs="Arial" w:eastAsia="Arial" w:hAnsi="Arial"/>
          <w:sz w:val="22"/>
          <w:szCs w:val="22"/>
          <w:color w:val="000000"/>
        </w:rPr>
        <w:t>maximize the short-term deferral exception to and the involuntary separation pay exception under Section 409A of the Code and the regulations thereunder (collectively “</w:t>
      </w:r>
      <w:r>
        <w:rPr>
          <w:rFonts w:ascii="Arial" w:cs="Arial" w:eastAsia="Arial" w:hAnsi="Arial"/>
          <w:sz w:val="22"/>
          <w:szCs w:val="22"/>
          <w:b w:val="1"/>
          <w:bCs w:val="1"/>
          <w:i w:val="1"/>
          <w:iCs w:val="1"/>
          <w:color w:val="000000"/>
        </w:rPr>
        <w:t>Section 409A</w:t>
      </w:r>
      <w:r>
        <w:rPr>
          <w:rFonts w:ascii="Arial" w:cs="Arial" w:eastAsia="Arial" w:hAnsi="Arial"/>
          <w:sz w:val="22"/>
          <w:szCs w:val="22"/>
          <w:color w:val="000000"/>
        </w:rPr>
        <w:t>”). The portion of any payment under this Plan that is paid within the short-term deferral period (within the meaning of Code Section 409A and Treas. Regs. §1.409A-1(b)(4)) or that is paid within the involuntary separation pay safe harbor (as described in Code Section 409A and Treas. Regs. §1.409A-1(b)(9)(iii)) will not be treated as nonqualified deferred compensation and will not be aggregated with other nonqualified deferred compensation plans or payments.</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010000"/>
        </w:rPr>
        <w:t xml:space="preserve">Section 7.2 </w:t>
      </w:r>
      <w:r>
        <w:rPr>
          <w:rFonts w:ascii="Arial" w:cs="Arial" w:eastAsia="Arial" w:hAnsi="Arial"/>
          <w:sz w:val="19"/>
          <w:szCs w:val="19"/>
          <w:b w:val="1"/>
          <w:bCs w:val="1"/>
          <w:color w:val="000000"/>
        </w:rPr>
        <w:t>Separate Payments and Payment Timing</w:t>
      </w:r>
      <w:r>
        <w:rPr>
          <w:rFonts w:ascii="Arial" w:cs="Arial" w:eastAsia="Arial" w:hAnsi="Arial"/>
          <w:sz w:val="19"/>
          <w:szCs w:val="19"/>
          <w:color w:val="000000"/>
        </w:rPr>
        <w:t>. Any payment or installment made under this Plan, any amount</w:t>
      </w:r>
      <w:r>
        <w:rPr>
          <w:rFonts w:ascii="Arial" w:cs="Arial" w:eastAsia="Arial" w:hAnsi="Arial"/>
          <w:sz w:val="19"/>
          <w:szCs w:val="19"/>
          <w:b w:val="1"/>
          <w:bCs w:val="1"/>
          <w:color w:val="010000"/>
        </w:rPr>
        <w:t xml:space="preserve"> </w:t>
      </w:r>
      <w:r>
        <w:rPr>
          <w:rFonts w:ascii="Arial" w:cs="Arial" w:eastAsia="Arial" w:hAnsi="Arial"/>
          <w:sz w:val="19"/>
          <w:szCs w:val="19"/>
          <w:color w:val="000000"/>
        </w:rPr>
        <w:t>that is paid as a short-term deferral, within the meaning of Treas. Regs. §1.409A-1(b)(4), and any payment within the involuntary separation pay safe harbor exception in Treas. Regs. §1.409A-1(b)(9)(iii) will be treated as separate payments. Executive will not, directly or indirectly, designate the taxable year of a payment made under this Plan, and if the release period discussed in Section 2.4 above spans two (2) calendar years, payment of any amounts that are subject to Section 409A shall be paid in the later calendar year. Payment dates provided for in this Plan will be deemed to incorporate grace periods that are treated as made upon a designated payment date within the meaning of Code Section 409A and Treas. Regs. §1.409A-3(d). The Company does not guaranty or warrant the tax consequences of this Plan and, except as specifically provided to the contrary in this Plan, each Eligible Senior Executive, in all cases, will be liable for any taxes due as a result of this Plan. Neither the Company nor any of its Affiliates shall have any obligation to indemnify or otherwise hold any Eligible Senior Executive harmless from any or all such taxes, interest or penalties, or liability for any damages related thereto.</w:t>
      </w:r>
    </w:p>
    <w:p>
      <w:pPr>
        <w:spacing w:after="0" w:line="15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010000"/>
        </w:rPr>
        <w:t xml:space="preserve">Section 7.3 </w:t>
      </w:r>
      <w:r>
        <w:rPr>
          <w:rFonts w:ascii="Arial" w:cs="Arial" w:eastAsia="Arial" w:hAnsi="Arial"/>
          <w:sz w:val="19"/>
          <w:szCs w:val="19"/>
          <w:b w:val="1"/>
          <w:bCs w:val="1"/>
          <w:color w:val="000000"/>
        </w:rPr>
        <w:t>General Section 409A Provisions</w:t>
      </w:r>
      <w:r>
        <w:rPr>
          <w:rFonts w:ascii="Arial" w:cs="Arial" w:eastAsia="Arial" w:hAnsi="Arial"/>
          <w:sz w:val="19"/>
          <w:szCs w:val="19"/>
          <w:color w:val="000000"/>
        </w:rPr>
        <w:t>. If for any reason, the short-term deferral or involuntary separation pay</w:t>
      </w:r>
      <w:r>
        <w:rPr>
          <w:rFonts w:ascii="Arial" w:cs="Arial" w:eastAsia="Arial" w:hAnsi="Arial"/>
          <w:sz w:val="19"/>
          <w:szCs w:val="19"/>
          <w:b w:val="1"/>
          <w:bCs w:val="1"/>
          <w:color w:val="010000"/>
        </w:rPr>
        <w:t xml:space="preserve"> </w:t>
      </w:r>
      <w:r>
        <w:rPr>
          <w:rFonts w:ascii="Arial" w:cs="Arial" w:eastAsia="Arial" w:hAnsi="Arial"/>
          <w:sz w:val="19"/>
          <w:szCs w:val="19"/>
          <w:color w:val="000000"/>
        </w:rPr>
        <w:t>plan exception is inapplicable, payments and benefits payable to any Participant under this Plan are intended to comply with the requirements of Section 409A. To the extent the payments and benefits under this Plan are subject to Section 409A, this Plan will be interpreted, construed and administered in a manner that satisfies the requirements of Sections 409A(a)(2), (3) and (4) of the Code and the Treasury Regulations thereunder (and any applicable transition relief under Section 409A of the Code).</w:t>
      </w:r>
    </w:p>
    <w:p>
      <w:pPr>
        <w:spacing w:after="0" w:line="149" w:lineRule="exact"/>
        <w:rPr>
          <w:sz w:val="20"/>
          <w:szCs w:val="20"/>
          <w:color w:val="auto"/>
        </w:rPr>
      </w:pPr>
    </w:p>
    <w:p>
      <w:pPr>
        <w:jc w:val="both"/>
        <w:ind w:firstLine="1305"/>
        <w:spacing w:after="0" w:line="246" w:lineRule="auto"/>
        <w:tabs>
          <w:tab w:leader="none" w:pos="1833"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If the Company determines that any payments or benefits payable under this Plan intended to comply with Sections 409A(a)(2), (3) and (4) of the Code do not comply with Section 409A of the Code, the Company may amend this Plan, or take such other actions as the Company deems reasonably necessary or appropriate, to comply with the requirements of Section 409A of the Code, the Treasury Regulations thereunder (and any applicable relief provisions) while preserving the economic agreement of the parties. If any provision of the Plan would cause such payments or benefits to fail to so comply, such provision will not be effective and will be null and void with respect to such payments or benefits, and such provision will otherwise remain in full force and effect.</w:t>
      </w:r>
    </w:p>
    <w:p>
      <w:pPr>
        <w:spacing w:after="0" w:line="197" w:lineRule="exact"/>
        <w:rPr>
          <w:rFonts w:ascii="Arial" w:cs="Arial" w:eastAsia="Arial" w:hAnsi="Arial"/>
          <w:sz w:val="22"/>
          <w:szCs w:val="22"/>
          <w:color w:val="010000"/>
        </w:rPr>
      </w:pPr>
    </w:p>
    <w:p>
      <w:pPr>
        <w:jc w:val="both"/>
        <w:ind w:firstLine="1305"/>
        <w:spacing w:after="0" w:line="297" w:lineRule="auto"/>
        <w:tabs>
          <w:tab w:leader="none" w:pos="1981"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All payments considered nonqualified deferred compensation under Section 409A and the regulations thereunder will be made on the date(s) provided herein and no request to accelerate or defer any payment under this Section will be considered or approved for any reason whatsoever, except as permitted under Section 409A. Notwithstanding the foregoing, amounts payable hereunder which are not nonqualified deferred compensation, or which may be accelerated pursuant to Section 409A, such as distributions for applicable tax payments, may be accelerated, but not deferred, at the sole discretion of Company.</w:t>
      </w:r>
    </w:p>
    <w:p>
      <w:pPr>
        <w:spacing w:after="0" w:line="147" w:lineRule="exact"/>
        <w:rPr>
          <w:rFonts w:ascii="Arial" w:cs="Arial" w:eastAsia="Arial" w:hAnsi="Arial"/>
          <w:sz w:val="19"/>
          <w:szCs w:val="19"/>
          <w:color w:val="010000"/>
        </w:rPr>
      </w:pPr>
    </w:p>
    <w:p>
      <w:pPr>
        <w:jc w:val="both"/>
        <w:ind w:right="20" w:firstLine="1305"/>
        <w:spacing w:after="0" w:line="253" w:lineRule="auto"/>
        <w:tabs>
          <w:tab w:leader="none" w:pos="1793"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To the extent required to comply with Section 409A, all references in this Plan to termination of employment or termination mean an Employee’s “separation from service” as that term is defined in Section 1.409A-1(h) of the Treasury Regulations.</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7.4</w:t>
      </w:r>
      <w:r>
        <w:rPr>
          <w:sz w:val="20"/>
          <w:szCs w:val="20"/>
          <w:color w:val="auto"/>
        </w:rPr>
        <w:tab/>
      </w:r>
      <w:r>
        <w:rPr>
          <w:rFonts w:ascii="Arial" w:cs="Arial" w:eastAsia="Arial" w:hAnsi="Arial"/>
          <w:sz w:val="19"/>
          <w:szCs w:val="19"/>
          <w:b w:val="1"/>
          <w:bCs w:val="1"/>
          <w:color w:val="auto"/>
        </w:rPr>
        <w:t>Specified Employee Status</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343" w:lineRule="auto"/>
        <w:tabs>
          <w:tab w:leader="none" w:pos="1806"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If a Participant is a specified employee (within the meaning of Code Section 409A) on the date of his or her separation from service, any payments made with respect to such separation from service under this Plan, and other payments or</w:t>
      </w:r>
    </w:p>
    <w:p>
      <w:pPr>
        <w:sectPr>
          <w:pgSz w:w="11900" w:h="16852" w:orient="portrait"/>
          <w:cols w:equalWidth="0" w:num="1">
            <w:col w:w="11420"/>
          </w:cols>
          <w:pgMar w:left="240" w:top="598" w:right="239" w:bottom="0" w:gutter="0" w:footer="0" w:header="0"/>
        </w:sectPr>
      </w:pPr>
    </w:p>
    <w:bookmarkStart w:id="197" w:name="page198"/>
    <w:bookmarkEnd w:id="197"/>
    <w:p>
      <w:pPr>
        <w:jc w:val="both"/>
        <w:spacing w:after="0" w:line="294" w:lineRule="auto"/>
        <w:rPr>
          <w:sz w:val="20"/>
          <w:szCs w:val="20"/>
          <w:color w:val="auto"/>
        </w:rPr>
      </w:pPr>
      <w:r>
        <w:rPr>
          <w:rFonts w:ascii="Arial" w:cs="Arial" w:eastAsia="Arial" w:hAnsi="Arial"/>
          <w:sz w:val="19"/>
          <w:szCs w:val="19"/>
          <w:color w:val="auto"/>
        </w:rPr>
        <w:t>benefits under this Plan that are subject to Section 409A of the Code, will be delayed in order to comply with Section 409A(a)(2) (B)(i) of the Code, and such payments or benefits will be paid or distributed to you during the five-day period commencing on the earlier of: (i) the expiration of the six-month period measured from the date of Participant’s separation from service, or (ii) the date of Participant’s death. Upon the expiration of the applicable six-month period under Section 409A(a)(2)(B)(i) of the Code, all payments deferred pursuant to this Section 7.4 will be paid to Executive (or Executive’s estate, in the event of Executive’s death) in a lump sum payment. Any remaining payments and benefits due under the Plan will be paid as otherwise provided in the Plan.</w:t>
      </w:r>
    </w:p>
    <w:p>
      <w:pPr>
        <w:spacing w:after="0" w:line="150" w:lineRule="exact"/>
        <w:rPr>
          <w:sz w:val="20"/>
          <w:szCs w:val="20"/>
          <w:color w:val="auto"/>
        </w:rPr>
      </w:pPr>
    </w:p>
    <w:p>
      <w:pPr>
        <w:jc w:val="both"/>
        <w:ind w:firstLine="1305"/>
        <w:spacing w:after="0" w:line="246" w:lineRule="auto"/>
        <w:tabs>
          <w:tab w:leader="none" w:pos="1778"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To minimize the risk that the six-month delay pursuant to the preceding paragraph will disrupt coverage under any employee benefit plan in which Executive is entitled to participate following the termination of employment, payments that are not considered deferred compensation because they are paid as a short-term deferral or are within the involuntary separation pay safe harbor exception that are made during the six months following the termination of your employment shall first be applied to cover any costs relating to such continued employee benefits plan coverage, but only to the extent that such coverage would constitute deferred compensation for purposes of Section 409A, and thereafter shall be made in respect of other amounts or benefits owed to you.</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INFORMATION</w:t>
      </w:r>
    </w:p>
    <w:p>
      <w:pPr>
        <w:spacing w:after="0" w:line="20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010000"/>
        </w:rPr>
        <w:t xml:space="preserve">Section 8.1 </w:t>
      </w:r>
      <w:r>
        <w:rPr>
          <w:rFonts w:ascii="Arial" w:cs="Arial" w:eastAsia="Arial" w:hAnsi="Arial"/>
          <w:sz w:val="19"/>
          <w:szCs w:val="19"/>
          <w:b w:val="1"/>
          <w:bCs w:val="1"/>
          <w:color w:val="000000"/>
        </w:rPr>
        <w:t>Other Participating Employers</w:t>
      </w:r>
      <w:r>
        <w:rPr>
          <w:rFonts w:ascii="Arial" w:cs="Arial" w:eastAsia="Arial" w:hAnsi="Arial"/>
          <w:sz w:val="19"/>
          <w:szCs w:val="19"/>
          <w:color w:val="000000"/>
        </w:rPr>
        <w:t>. The Company is the Plan sponsor and Diamondback E&amp;P, LLC is an</w:t>
      </w:r>
      <w:r>
        <w:rPr>
          <w:rFonts w:ascii="Arial" w:cs="Arial" w:eastAsia="Arial" w:hAnsi="Arial"/>
          <w:sz w:val="19"/>
          <w:szCs w:val="19"/>
          <w:b w:val="1"/>
          <w:bCs w:val="1"/>
          <w:color w:val="010000"/>
        </w:rPr>
        <w:t xml:space="preserve"> </w:t>
      </w:r>
      <w:r>
        <w:rPr>
          <w:rFonts w:ascii="Arial" w:cs="Arial" w:eastAsia="Arial" w:hAnsi="Arial"/>
          <w:sz w:val="19"/>
          <w:szCs w:val="19"/>
          <w:color w:val="000000"/>
        </w:rPr>
        <w:t>adopting Employer under this Plan. It is contemplated that other subsidiaries and Affiliates of the Company may adopt this Plan, with the approval of the Compensation Committee of the Board, and thereby become an Employer hereunder. Any such entity, whether or not presently existing, may become an Employer by appropriate action of its board of directors or non-corporate counterpart. The provisions of this Plan will apply separately and equally to each Employer and its employees in the same manner as is expressly provided for the Company and its employees, except that the determination of whether a Change in Control has occurred will be made based solely on the Company. Transfer of employment among the Company and other participating Employers will not be considered an Eligible Termination hereunder unless such transfer otherwise constitutes a Good Reason event. A sale of assets or other transaction where a Participant’s employment is transferred to a successor or acquiring entity and there is no loss of employment will not be considered an Eligible Termination hereunder unless such transfer otherwise constitutes a Good Reason event. Subject to the provisions of Article 6, any participating Employer may, by appropriate action of its board of directors or non-corporate counterpart, terminate its participation in this Plan. Amounts payable hereunder will be paid by the Employer that employs the particular Participant.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010000"/>
        </w:rPr>
        <w:t xml:space="preserve">Section 8.2 </w:t>
      </w:r>
      <w:r>
        <w:rPr>
          <w:rFonts w:ascii="Arial" w:cs="Arial" w:eastAsia="Arial" w:hAnsi="Arial"/>
          <w:sz w:val="21"/>
          <w:szCs w:val="21"/>
          <w:b w:val="1"/>
          <w:bCs w:val="1"/>
          <w:color w:val="000000"/>
        </w:rPr>
        <w:t>Limitation of Rights</w:t>
      </w:r>
      <w:r>
        <w:rPr>
          <w:rFonts w:ascii="Arial" w:cs="Arial" w:eastAsia="Arial" w:hAnsi="Arial"/>
          <w:sz w:val="21"/>
          <w:szCs w:val="21"/>
          <w:color w:val="000000"/>
        </w:rPr>
        <w:t>. Neither the establishment of the Plan nor any amendment thereof, nor the payment of</w:t>
      </w:r>
      <w:r>
        <w:rPr>
          <w:rFonts w:ascii="Arial" w:cs="Arial" w:eastAsia="Arial" w:hAnsi="Arial"/>
          <w:sz w:val="21"/>
          <w:szCs w:val="21"/>
          <w:b w:val="1"/>
          <w:bCs w:val="1"/>
          <w:color w:val="010000"/>
        </w:rPr>
        <w:t xml:space="preserve"> </w:t>
      </w:r>
      <w:r>
        <w:rPr>
          <w:rFonts w:ascii="Arial" w:cs="Arial" w:eastAsia="Arial" w:hAnsi="Arial"/>
          <w:sz w:val="21"/>
          <w:szCs w:val="21"/>
          <w:color w:val="000000"/>
        </w:rPr>
        <w:t>any benefits, will be construed as giving to any Participant, or other Person any legal or equitable right against Company, any of its Affiliates, or any Person acting on behalf of Company or any of its Affiliates, except as expressly provided herein. Likewise, nothing appearing in or done pursuant to the Plan will be held or construed to create a contract of employment with any Participant or to be consideration for the employment of any Participant. Nothing contained herein will be deemed to (a) give any person the right to be retained in the employ of the Employer, (b) restrict the right of the Employer to discharge any Participant at any time, (c) restrict any Participant’s right to terminate employment at any time, or (d) change the “at will” nature of the employment relationship between the Participant and the Employer.</w:t>
      </w:r>
    </w:p>
    <w:p>
      <w:pPr>
        <w:spacing w:after="0" w:line="17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010000"/>
        </w:rPr>
        <w:t xml:space="preserve">Section 8.3 </w:t>
      </w:r>
      <w:r>
        <w:rPr>
          <w:rFonts w:ascii="Arial" w:cs="Arial" w:eastAsia="Arial" w:hAnsi="Arial"/>
          <w:sz w:val="21"/>
          <w:szCs w:val="21"/>
          <w:b w:val="1"/>
          <w:bCs w:val="1"/>
          <w:color w:val="000000"/>
        </w:rPr>
        <w:t>Governing Law</w:t>
      </w:r>
      <w:r>
        <w:rPr>
          <w:rFonts w:ascii="Arial" w:cs="Arial" w:eastAsia="Arial" w:hAnsi="Arial"/>
          <w:sz w:val="21"/>
          <w:szCs w:val="21"/>
          <w:color w:val="000000"/>
        </w:rPr>
        <w:t>. The provisions of the Plan shall be construed, enforced and administered according to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laws of the State of Delaware, to the extent not preempted by ERISA and any otherwise applicable federal law.</w:t>
      </w:r>
    </w:p>
    <w:p>
      <w:pPr>
        <w:spacing w:after="0" w:line="14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010000"/>
        </w:rPr>
        <w:t xml:space="preserve">Section 8.4 </w:t>
      </w:r>
      <w:r>
        <w:rPr>
          <w:rFonts w:ascii="Arial" w:cs="Arial" w:eastAsia="Arial" w:hAnsi="Arial"/>
          <w:sz w:val="19"/>
          <w:szCs w:val="19"/>
          <w:b w:val="1"/>
          <w:bCs w:val="1"/>
          <w:color w:val="000000"/>
        </w:rPr>
        <w:t>Jurisdiction and Venue</w:t>
      </w:r>
      <w:r>
        <w:rPr>
          <w:rFonts w:ascii="Arial" w:cs="Arial" w:eastAsia="Arial" w:hAnsi="Arial"/>
          <w:sz w:val="19"/>
          <w:szCs w:val="19"/>
          <w:color w:val="000000"/>
        </w:rPr>
        <w:t>. Exclusive jurisdiction and venue of all disputes arising out of or relating to this plan</w:t>
      </w:r>
      <w:r>
        <w:rPr>
          <w:rFonts w:ascii="Arial" w:cs="Arial" w:eastAsia="Arial" w:hAnsi="Arial"/>
          <w:sz w:val="19"/>
          <w:szCs w:val="19"/>
          <w:b w:val="1"/>
          <w:bCs w:val="1"/>
          <w:color w:val="010000"/>
        </w:rPr>
        <w:t xml:space="preserve"> </w:t>
      </w:r>
      <w:r>
        <w:rPr>
          <w:rFonts w:ascii="Arial" w:cs="Arial" w:eastAsia="Arial" w:hAnsi="Arial"/>
          <w:sz w:val="19"/>
          <w:szCs w:val="19"/>
          <w:color w:val="000000"/>
        </w:rPr>
        <w:t>shall be in any court of appropriate jurisdiction in Midland, Texas, or if such courts do not have jurisdiction or will not accept jurisdiction, in any court of general jurisdiction in the State of Texas. All parties hereby irrevocably consent to the exclusive jurisdiction by any such court with respect to any such proceeding and hereby irrevocably waive, and agree not to assert, by way of motion, as a defense, counterclaim or otherwise (a) any claim that he, she or it is not personally subject to the jurisdiction of the above-named courts for any reason other than by failure to lawfully serve process, (b) that he, she or it or their property is exempt or immune from the jurisdiction of any such court or from any legal process commenced in such courts, and (c) to the fullest extent permitted by applicable law, that (i) the action or proceeding is brought in an inconvenient forum, (ii) the venue of such action or proceeding is improper and (iii) this Plan or the subject matter thereof may not be enforced in or by such courts. The provisions of this Section 8.4 shall survive and remain in effect until all obligations are satisfied, notwithstanding any termination of the Plan.</w:t>
      </w:r>
    </w:p>
    <w:p>
      <w:pPr>
        <w:spacing w:after="0" w:line="15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010000"/>
        </w:rPr>
        <w:t xml:space="preserve">Section 8.5 </w:t>
      </w:r>
      <w:r>
        <w:rPr>
          <w:rFonts w:ascii="Arial" w:cs="Arial" w:eastAsia="Arial" w:hAnsi="Arial"/>
          <w:sz w:val="19"/>
          <w:szCs w:val="19"/>
          <w:b w:val="1"/>
          <w:bCs w:val="1"/>
          <w:color w:val="000000"/>
        </w:rPr>
        <w:t>Waiver of Trial by Jury</w:t>
      </w:r>
      <w:r>
        <w:rPr>
          <w:rFonts w:ascii="Arial" w:cs="Arial" w:eastAsia="Arial" w:hAnsi="Arial"/>
          <w:sz w:val="19"/>
          <w:szCs w:val="19"/>
          <w:color w:val="000000"/>
        </w:rPr>
        <w:t>. To the extent not prohibited by applicable law, each Participant under this Plan</w:t>
      </w:r>
      <w:r>
        <w:rPr>
          <w:rFonts w:ascii="Arial" w:cs="Arial" w:eastAsia="Arial" w:hAnsi="Arial"/>
          <w:sz w:val="19"/>
          <w:szCs w:val="19"/>
          <w:b w:val="1"/>
          <w:bCs w:val="1"/>
          <w:color w:val="010000"/>
        </w:rPr>
        <w:t xml:space="preserve"> </w:t>
      </w:r>
      <w:r>
        <w:rPr>
          <w:rFonts w:ascii="Arial" w:cs="Arial" w:eastAsia="Arial" w:hAnsi="Arial"/>
          <w:sz w:val="19"/>
          <w:szCs w:val="19"/>
          <w:color w:val="000000"/>
        </w:rPr>
        <w:t>hereby waives, and covenants that he or she shall not assert (whether as plaintiff, defendant or otherwise), their respective right to a jury trial of any permitted claim or cause of action arising out of this Plan, any of the transactions contemplated hereby, or any dealings between any of the parties hereto relating to the subject matter of this Plan or any of the agreements or transactions contemplated hereby. The scope of this waiver and covenant is intended to be all encompassing of any and all disputes that may be filed in any court and that relate to the subject matter of this Plan or any of the transactions contemplated hereby, including, ERISA claims, contract claims, tort claims and all other common law and statutory claims. This waiver and covenant is irrevocable and shall apply to any subsequent amendments, supplements or other modifications to this Agreement.</w:t>
      </w:r>
    </w:p>
    <w:p>
      <w:pPr>
        <w:sectPr>
          <w:pgSz w:w="11900" w:h="16838" w:orient="portrait"/>
          <w:cols w:equalWidth="0" w:num="1">
            <w:col w:w="11420"/>
          </w:cols>
          <w:pgMar w:left="240" w:top="132" w:right="239" w:bottom="186" w:gutter="0" w:footer="0" w:header="0"/>
        </w:sectPr>
      </w:pPr>
    </w:p>
    <w:bookmarkStart w:id="198" w:name="page199"/>
    <w:bookmarkEnd w:id="198"/>
    <w:p>
      <w:pPr>
        <w:jc w:val="both"/>
        <w:ind w:firstLine="648"/>
        <w:spacing w:after="0" w:line="291" w:lineRule="auto"/>
        <w:rPr>
          <w:sz w:val="20"/>
          <w:szCs w:val="20"/>
          <w:color w:val="auto"/>
        </w:rPr>
      </w:pPr>
      <w:r>
        <w:rPr>
          <w:rFonts w:ascii="Arial" w:cs="Arial" w:eastAsia="Arial" w:hAnsi="Arial"/>
          <w:sz w:val="19"/>
          <w:szCs w:val="19"/>
          <w:b w:val="1"/>
          <w:bCs w:val="1"/>
          <w:color w:val="010000"/>
        </w:rPr>
        <w:t xml:space="preserve">Section 8.6 </w:t>
      </w:r>
      <w:r>
        <w:rPr>
          <w:rFonts w:ascii="Arial" w:cs="Arial" w:eastAsia="Arial" w:hAnsi="Arial"/>
          <w:sz w:val="19"/>
          <w:szCs w:val="19"/>
          <w:b w:val="1"/>
          <w:bCs w:val="1"/>
          <w:color w:val="000000"/>
        </w:rPr>
        <w:t>No Assignment</w:t>
      </w:r>
      <w:r>
        <w:rPr>
          <w:rFonts w:ascii="Arial" w:cs="Arial" w:eastAsia="Arial" w:hAnsi="Arial"/>
          <w:sz w:val="19"/>
          <w:szCs w:val="19"/>
          <w:color w:val="000000"/>
        </w:rPr>
        <w:t>. Executives will not have any right to pledge, hypothecate, anticipate or assign benefits or</w:t>
      </w:r>
      <w:r>
        <w:rPr>
          <w:rFonts w:ascii="Arial" w:cs="Arial" w:eastAsia="Arial" w:hAnsi="Arial"/>
          <w:sz w:val="19"/>
          <w:szCs w:val="19"/>
          <w:b w:val="1"/>
          <w:bCs w:val="1"/>
          <w:color w:val="010000"/>
        </w:rPr>
        <w:t xml:space="preserve"> </w:t>
      </w:r>
      <w:r>
        <w:rPr>
          <w:rFonts w:ascii="Arial" w:cs="Arial" w:eastAsia="Arial" w:hAnsi="Arial"/>
          <w:sz w:val="19"/>
          <w:szCs w:val="19"/>
          <w:color w:val="000000"/>
        </w:rPr>
        <w:t>rights under this Plan, except by will or the laws of descent and distribution. The provisions of this Plan shall inure to the benefit of and be enforceable by a Participant, his or her Personal or legal representatives, executors, administrators, successors, heirs, distributees, devisees and legatees. If a Participant should die before severance benefit payments hereunder have been paid in full, the remaining severance pay benefit payments shall be paid in accordance with the terms of this Plan to his or her surviving spouse, or if there is no surviving spouse to the Participant’s surviving children or, if there are no surviving children, to the Participant’s estate. The provisions of this Plan, including the Participant covenants herein, shall inure to the benefit of and be enforceable by the Company and its Affiliates, successors and assigns.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8.7 </w:t>
      </w:r>
      <w:r>
        <w:rPr>
          <w:rFonts w:ascii="Arial" w:cs="Arial" w:eastAsia="Arial" w:hAnsi="Arial"/>
          <w:sz w:val="22"/>
          <w:szCs w:val="22"/>
          <w:b w:val="1"/>
          <w:bCs w:val="1"/>
          <w:color w:val="000000"/>
        </w:rPr>
        <w:t>Severability</w:t>
      </w:r>
      <w:r>
        <w:rPr>
          <w:rFonts w:ascii="Arial" w:cs="Arial" w:eastAsia="Arial" w:hAnsi="Arial"/>
          <w:sz w:val="22"/>
          <w:szCs w:val="22"/>
          <w:color w:val="000000"/>
        </w:rPr>
        <w:t>. If any provision of the Plan is held invalid or unenforceable, its validity or unenforceability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not affect any other provisions of the Plan, and the Plan shall be construed and enforced as if such provision had not been included herein.</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010000"/>
        </w:rPr>
        <w:t xml:space="preserve">Section 8.8 </w:t>
      </w:r>
      <w:r>
        <w:rPr>
          <w:rFonts w:ascii="Arial" w:cs="Arial" w:eastAsia="Arial" w:hAnsi="Arial"/>
          <w:sz w:val="19"/>
          <w:szCs w:val="19"/>
          <w:b w:val="1"/>
          <w:bCs w:val="1"/>
          <w:color w:val="000000"/>
        </w:rPr>
        <w:t>Information Requested</w:t>
      </w:r>
      <w:r>
        <w:rPr>
          <w:rFonts w:ascii="Arial" w:cs="Arial" w:eastAsia="Arial" w:hAnsi="Arial"/>
          <w:sz w:val="19"/>
          <w:szCs w:val="19"/>
          <w:color w:val="000000"/>
        </w:rPr>
        <w:t>. Participants or other Persons entitled to benefits hereunder shall provide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the Employer, the Administrator, and their authorized representatives with such information and evidence, and shall sign such documents, as may reasonably be requested from time to time for the purpose of administration of the Plan.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8.9 </w:t>
      </w:r>
      <w:r>
        <w:rPr>
          <w:rFonts w:ascii="Arial" w:cs="Arial" w:eastAsia="Arial" w:hAnsi="Arial"/>
          <w:sz w:val="22"/>
          <w:szCs w:val="22"/>
          <w:b w:val="1"/>
          <w:bCs w:val="1"/>
          <w:color w:val="000000"/>
        </w:rPr>
        <w:t>Basis of Payments to and From Plan</w:t>
      </w:r>
      <w:r>
        <w:rPr>
          <w:rFonts w:ascii="Arial" w:cs="Arial" w:eastAsia="Arial" w:hAnsi="Arial"/>
          <w:sz w:val="22"/>
          <w:szCs w:val="22"/>
          <w:color w:val="000000"/>
        </w:rPr>
        <w:t>. The benefits provided herein will be unfunded and will be provided</w:t>
      </w:r>
      <w:r>
        <w:rPr>
          <w:rFonts w:ascii="Arial" w:cs="Arial" w:eastAsia="Arial" w:hAnsi="Arial"/>
          <w:sz w:val="22"/>
          <w:szCs w:val="22"/>
          <w:b w:val="1"/>
          <w:bCs w:val="1"/>
          <w:color w:val="010000"/>
        </w:rPr>
        <w:t xml:space="preserve"> </w:t>
      </w:r>
      <w:r>
        <w:rPr>
          <w:rFonts w:ascii="Arial" w:cs="Arial" w:eastAsia="Arial" w:hAnsi="Arial"/>
          <w:sz w:val="22"/>
          <w:szCs w:val="22"/>
          <w:color w:val="000000"/>
        </w:rPr>
        <w:t>from the Employers’ general assets. No Participant will have any right to, or interest in, any assets of any Employer that may be applied by the Employer to the payment of amounts due hereunder.</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010000"/>
        </w:rPr>
        <w:t xml:space="preserve">Section 9.1 </w:t>
      </w:r>
      <w:r>
        <w:rPr>
          <w:rFonts w:ascii="Arial" w:cs="Arial" w:eastAsia="Arial" w:hAnsi="Arial"/>
          <w:sz w:val="22"/>
          <w:szCs w:val="22"/>
          <w:b w:val="1"/>
          <w:bCs w:val="1"/>
          <w:color w:val="000000"/>
        </w:rPr>
        <w:t>Definitions</w:t>
      </w:r>
      <w:r>
        <w:rPr>
          <w:rFonts w:ascii="Arial" w:cs="Arial" w:eastAsia="Arial" w:hAnsi="Arial"/>
          <w:sz w:val="22"/>
          <w:szCs w:val="22"/>
          <w:color w:val="000000"/>
        </w:rPr>
        <w:t>. Wherever used herein, the following terms shall have the following meanings, unless the context</w:t>
      </w:r>
      <w:r>
        <w:rPr>
          <w:rFonts w:ascii="Arial" w:cs="Arial" w:eastAsia="Arial" w:hAnsi="Arial"/>
          <w:sz w:val="22"/>
          <w:szCs w:val="22"/>
          <w:b w:val="1"/>
          <w:bCs w:val="1"/>
          <w:color w:val="010000"/>
        </w:rPr>
        <w:t xml:space="preserve"> </w:t>
      </w:r>
      <w:r>
        <w:rPr>
          <w:rFonts w:ascii="Arial" w:cs="Arial" w:eastAsia="Arial" w:hAnsi="Arial"/>
          <w:sz w:val="22"/>
          <w:szCs w:val="22"/>
          <w:color w:val="000000"/>
        </w:rPr>
        <w:t>clearly requires a different meaning:</w:t>
      </w:r>
    </w:p>
    <w:p>
      <w:pPr>
        <w:spacing w:after="0" w:line="162" w:lineRule="exact"/>
        <w:rPr>
          <w:sz w:val="20"/>
          <w:szCs w:val="20"/>
          <w:color w:val="auto"/>
        </w:rPr>
      </w:pPr>
    </w:p>
    <w:p>
      <w:pPr>
        <w:jc w:val="both"/>
        <w:ind w:firstLine="1305"/>
        <w:spacing w:after="0" w:line="267" w:lineRule="auto"/>
        <w:tabs>
          <w:tab w:leader="none" w:pos="1955"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Accrued Obligations</w:t>
      </w:r>
      <w:r>
        <w:rPr>
          <w:rFonts w:ascii="Arial" w:cs="Arial" w:eastAsia="Arial" w:hAnsi="Arial"/>
          <w:sz w:val="21"/>
          <w:szCs w:val="21"/>
          <w:color w:val="auto"/>
        </w:rPr>
        <w:t>” means the Participant’s unpaid base salary through the Termination Date, any unreimbursed business expenses, and any amount arising from the Participant’s participation in, or benefits under, any employee benefit plans, programs or arrangements, which amounts will be payable in accordance with the requirements of applicable law and the terms and conditions of such employee benefit plans, programs or arrangements.</w:t>
      </w:r>
    </w:p>
    <w:p>
      <w:pPr>
        <w:spacing w:after="0" w:line="167" w:lineRule="exact"/>
        <w:rPr>
          <w:rFonts w:ascii="Arial" w:cs="Arial" w:eastAsia="Arial" w:hAnsi="Arial"/>
          <w:sz w:val="21"/>
          <w:szCs w:val="21"/>
          <w:color w:val="010000"/>
        </w:rPr>
      </w:pPr>
    </w:p>
    <w:p>
      <w:pPr>
        <w:ind w:firstLine="1305"/>
        <w:spacing w:after="0" w:line="269" w:lineRule="auto"/>
        <w:tabs>
          <w:tab w:leader="none" w:pos="1805"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the Compensation Committee of the Board, or its delegate, or such other committee or Person appointed by the Board in accordance with Section 5.1.</w:t>
      </w:r>
    </w:p>
    <w:p>
      <w:pPr>
        <w:spacing w:after="0" w:line="162" w:lineRule="exact"/>
        <w:rPr>
          <w:rFonts w:ascii="Arial" w:cs="Arial" w:eastAsia="Arial" w:hAnsi="Arial"/>
          <w:sz w:val="22"/>
          <w:szCs w:val="22"/>
          <w:color w:val="010000"/>
        </w:rPr>
      </w:pPr>
    </w:p>
    <w:p>
      <w:pPr>
        <w:jc w:val="both"/>
        <w:ind w:firstLine="1305"/>
        <w:spacing w:after="0" w:line="295" w:lineRule="auto"/>
        <w:tabs>
          <w:tab w:leader="none" w:pos="1779"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any parent corporation or subsidiary corporation of the Company, whether now or hereafter existing, as those terms are defined in Sections 424(e) and (f), respectively, of the Code and any individual, partnership, corporation, limited liability company, association, joint stock company, trust, joint venture or unincorporated organization that directly, or indirectly through one or more intermediaries, controls, is controlled by, or is under common control with the Company. For this purpose “control” means the possession, directly or indirectly, of the power to direct or cause the direction of the management and policies of another, whether through ownership of voting securities, by contract or otherwise.</w:t>
      </w:r>
    </w:p>
    <w:p>
      <w:pPr>
        <w:spacing w:after="0" w:line="144" w:lineRule="exact"/>
        <w:rPr>
          <w:rFonts w:ascii="Arial" w:cs="Arial" w:eastAsia="Arial" w:hAnsi="Arial"/>
          <w:sz w:val="19"/>
          <w:szCs w:val="19"/>
          <w:color w:val="010000"/>
        </w:rPr>
      </w:pPr>
    </w:p>
    <w:p>
      <w:pPr>
        <w:ind w:firstLine="1305"/>
        <w:spacing w:after="0" w:line="269" w:lineRule="auto"/>
        <w:tabs>
          <w:tab w:leader="none" w:pos="1792" w:val="left"/>
        </w:tabs>
        <w:numPr>
          <w:ilvl w:val="0"/>
          <w:numId w:val="84"/>
        </w:numPr>
        <w:rPr>
          <w:rFonts w:ascii="Arial" w:cs="Arial" w:eastAsia="Arial" w:hAnsi="Arial"/>
          <w:sz w:val="22"/>
          <w:szCs w:val="22"/>
          <w:color w:val="010000"/>
        </w:rPr>
      </w:pPr>
      <w:r>
        <w:rPr>
          <w:rFonts w:ascii="Arial" w:cs="Arial" w:eastAsia="Arial" w:hAnsi="Arial"/>
          <w:sz w:val="22"/>
          <w:szCs w:val="22"/>
          <w:b w:val="1"/>
          <w:bCs w:val="1"/>
          <w:color w:val="auto"/>
        </w:rPr>
        <w:t xml:space="preserve">“Applicable Factor” </w:t>
      </w:r>
      <w:r>
        <w:rPr>
          <w:rFonts w:ascii="Arial" w:cs="Arial" w:eastAsia="Arial" w:hAnsi="Arial"/>
          <w:sz w:val="22"/>
          <w:szCs w:val="22"/>
          <w:color w:val="auto"/>
        </w:rPr>
        <w:t>means the relevant factor specified as applicable to the Eligible Senior Executive,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on the attached Schedule B.</w:t>
      </w:r>
    </w:p>
    <w:p>
      <w:pPr>
        <w:spacing w:after="0" w:line="162" w:lineRule="exact"/>
        <w:rPr>
          <w:rFonts w:ascii="Arial" w:cs="Arial" w:eastAsia="Arial" w:hAnsi="Arial"/>
          <w:sz w:val="22"/>
          <w:szCs w:val="22"/>
          <w:color w:val="010000"/>
        </w:rPr>
      </w:pPr>
    </w:p>
    <w:p>
      <w:pPr>
        <w:jc w:val="both"/>
        <w:ind w:firstLine="1305"/>
        <w:spacing w:after="0" w:line="298" w:lineRule="auto"/>
        <w:tabs>
          <w:tab w:leader="none" w:pos="1779"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Average Annual Bonus</w:t>
      </w:r>
      <w:r>
        <w:rPr>
          <w:rFonts w:ascii="Arial" w:cs="Arial" w:eastAsia="Arial" w:hAnsi="Arial"/>
          <w:sz w:val="19"/>
          <w:szCs w:val="19"/>
          <w:color w:val="auto"/>
        </w:rPr>
        <w:t>” means the average of the annual bonuses, if any, paid or payable to the Participant for the three-year period (or for any shorter period of the Participant’s employment, if such Participant has not been employed for three years) immediately preceding the Termination Date. For purposes of clarity, any accelerated payment at target of an annual incentive award upon the occurrence of a change in control under Section 7(i) of the Diamondback Energy, Inc. 2014 Executive Annual Incentive Compensation Plan will be excluded from the calculation of Average Annual Bonus.</w:t>
      </w:r>
    </w:p>
    <w:p>
      <w:pPr>
        <w:spacing w:after="0" w:line="142" w:lineRule="exact"/>
        <w:rPr>
          <w:rFonts w:ascii="Arial" w:cs="Arial" w:eastAsia="Arial" w:hAnsi="Arial"/>
          <w:sz w:val="19"/>
          <w:szCs w:val="19"/>
          <w:color w:val="010000"/>
        </w:rPr>
      </w:pPr>
    </w:p>
    <w:p>
      <w:pPr>
        <w:jc w:val="both"/>
        <w:ind w:firstLine="1305"/>
        <w:spacing w:after="0" w:line="248" w:lineRule="auto"/>
        <w:tabs>
          <w:tab w:leader="none" w:pos="1742"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has the meaning assigned to such term in Rule 13d-3 and Rule 13d-5 under the Securities Exchange Act of 1934, as amended, except that in calculating the beneficial ownership of any particular Person, such Person will be deemed to have beneficial ownership of all securities that such Person has the right to acquire by conversion or exercise of other securities, whether such right is currently exercisable or is exercisable only after the passage of time, the satisfaction of performance goals, or both. The terms “</w:t>
      </w:r>
      <w:r>
        <w:rPr>
          <w:rFonts w:ascii="Arial" w:cs="Arial" w:eastAsia="Arial" w:hAnsi="Arial"/>
          <w:sz w:val="22"/>
          <w:szCs w:val="22"/>
          <w:b w:val="1"/>
          <w:bCs w:val="1"/>
          <w:color w:val="auto"/>
        </w:rPr>
        <w:t>Beneficially Owns</w:t>
      </w:r>
      <w:r>
        <w:rPr>
          <w:rFonts w:ascii="Arial" w:cs="Arial" w:eastAsia="Arial" w:hAnsi="Arial"/>
          <w:sz w:val="22"/>
          <w:szCs w:val="22"/>
          <w:color w:val="auto"/>
        </w:rPr>
        <w:t>”, “</w:t>
      </w:r>
      <w:r>
        <w:rPr>
          <w:rFonts w:ascii="Arial" w:cs="Arial" w:eastAsia="Arial" w:hAnsi="Arial"/>
          <w:sz w:val="22"/>
          <w:szCs w:val="22"/>
          <w:b w:val="1"/>
          <w:bCs w:val="1"/>
          <w:color w:val="auto"/>
        </w:rPr>
        <w:t>Beneficial Ownership</w:t>
      </w:r>
      <w:r>
        <w:rPr>
          <w:rFonts w:ascii="Arial" w:cs="Arial" w:eastAsia="Arial" w:hAnsi="Arial"/>
          <w:sz w:val="22"/>
          <w:szCs w:val="22"/>
          <w:color w:val="auto"/>
        </w:rPr>
        <w:t>” and “</w:t>
      </w:r>
      <w:r>
        <w:rPr>
          <w:rFonts w:ascii="Arial" w:cs="Arial" w:eastAsia="Arial" w:hAnsi="Arial"/>
          <w:sz w:val="22"/>
          <w:szCs w:val="22"/>
          <w:b w:val="1"/>
          <w:bCs w:val="1"/>
          <w:color w:val="auto"/>
        </w:rPr>
        <w:t>Beneficially Owned</w:t>
      </w:r>
      <w:r>
        <w:rPr>
          <w:rFonts w:ascii="Arial" w:cs="Arial" w:eastAsia="Arial" w:hAnsi="Arial"/>
          <w:sz w:val="22"/>
          <w:szCs w:val="22"/>
          <w:color w:val="auto"/>
        </w:rPr>
        <w:t>” have a corresponding meaning.</w:t>
      </w:r>
    </w:p>
    <w:p>
      <w:pPr>
        <w:spacing w:after="0" w:line="187" w:lineRule="exact"/>
        <w:rPr>
          <w:rFonts w:ascii="Arial" w:cs="Arial" w:eastAsia="Arial" w:hAnsi="Arial"/>
          <w:sz w:val="22"/>
          <w:szCs w:val="22"/>
          <w:color w:val="010000"/>
        </w:rPr>
      </w:pPr>
    </w:p>
    <w:p>
      <w:pPr>
        <w:ind w:right="20" w:firstLine="1305"/>
        <w:spacing w:after="0" w:line="293" w:lineRule="auto"/>
        <w:tabs>
          <w:tab w:leader="none" w:pos="1859" w:val="left"/>
        </w:tabs>
        <w:numPr>
          <w:ilvl w:val="0"/>
          <w:numId w:val="84"/>
        </w:numPr>
        <w:rPr>
          <w:rFonts w:ascii="Arial" w:cs="Arial" w:eastAsia="Arial" w:hAnsi="Arial"/>
          <w:sz w:val="21"/>
          <w:szCs w:val="21"/>
          <w:color w:val="010000"/>
        </w:rPr>
      </w:pPr>
      <w:r>
        <w:rPr>
          <w:rFonts w:ascii="Arial" w:cs="Arial" w:eastAsia="Arial" w:hAnsi="Arial"/>
          <w:sz w:val="21"/>
          <w:szCs w:val="21"/>
          <w:b w:val="1"/>
          <w:bCs w:val="1"/>
          <w:color w:val="auto"/>
        </w:rPr>
        <w:t xml:space="preserve">“Board” </w:t>
      </w:r>
      <w:r>
        <w:rPr>
          <w:rFonts w:ascii="Arial" w:cs="Arial" w:eastAsia="Arial" w:hAnsi="Arial"/>
          <w:sz w:val="21"/>
          <w:szCs w:val="21"/>
          <w:color w:val="auto"/>
        </w:rPr>
        <w:t>means the Board of Directors of the Company and includes the Compensation Committee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with respect to matters where the Compensation Committee has authority to act on behalf of the Board.</w:t>
      </w:r>
    </w:p>
    <w:p>
      <w:pPr>
        <w:spacing w:after="0" w:line="139" w:lineRule="exact"/>
        <w:rPr>
          <w:rFonts w:ascii="Arial" w:cs="Arial" w:eastAsia="Arial" w:hAnsi="Arial"/>
          <w:sz w:val="21"/>
          <w:szCs w:val="21"/>
          <w:color w:val="010000"/>
        </w:rPr>
      </w:pPr>
    </w:p>
    <w:p>
      <w:pPr>
        <w:jc w:val="both"/>
        <w:ind w:firstLine="1305"/>
        <w:spacing w:after="0" w:line="304" w:lineRule="auto"/>
        <w:tabs>
          <w:tab w:leader="none" w:pos="1832" w:val="left"/>
        </w:tabs>
        <w:numPr>
          <w:ilvl w:val="0"/>
          <w:numId w:val="84"/>
        </w:numPr>
        <w:rPr>
          <w:rFonts w:ascii="Arial" w:cs="Arial" w:eastAsia="Arial" w:hAnsi="Arial"/>
          <w:sz w:val="19"/>
          <w:szCs w:val="19"/>
          <w:color w:val="010000"/>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a Participant’s (i) willful or knowing refusal or failure (other than during periods of illness,</w:t>
      </w:r>
      <w:r>
        <w:rPr>
          <w:rFonts w:ascii="Arial" w:cs="Arial" w:eastAsia="Arial" w:hAnsi="Arial"/>
          <w:sz w:val="19"/>
          <w:szCs w:val="19"/>
          <w:b w:val="1"/>
          <w:bCs w:val="1"/>
          <w:color w:val="auto"/>
        </w:rPr>
        <w:t xml:space="preserve"> </w:t>
      </w:r>
      <w:r>
        <w:rPr>
          <w:rFonts w:ascii="Arial" w:cs="Arial" w:eastAsia="Arial" w:hAnsi="Arial"/>
          <w:sz w:val="19"/>
          <w:szCs w:val="19"/>
          <w:color w:val="auto"/>
        </w:rPr>
        <w:t>physical or mental incapacity) to perform his or her duties in any material respect; (ii) willful misconduct or gross negligence in the performance of duties; (iii) material breach of this Plan, a Participation Agreement, any agreement entered into by Participant related to the Company or its Affiliates, or any Company or Affiliate policy (including any applicable</w:t>
      </w:r>
    </w:p>
    <w:p>
      <w:pPr>
        <w:sectPr>
          <w:pgSz w:w="11900" w:h="16838" w:orient="portrait"/>
          <w:cols w:equalWidth="0" w:num="1">
            <w:col w:w="11420"/>
          </w:cols>
          <w:pgMar w:left="240" w:top="126" w:right="239" w:bottom="0" w:gutter="0" w:footer="0" w:header="0"/>
        </w:sectPr>
      </w:pPr>
    </w:p>
    <w:bookmarkStart w:id="199" w:name="page200"/>
    <w:bookmarkEnd w:id="199"/>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348" w:right="1440" w:bottom="1440" w:gutter="0" w:footer="0" w:header="0"/>
        </w:sectPr>
      </w:pPr>
    </w:p>
    <w:bookmarkStart w:id="200" w:name="page201"/>
    <w:bookmarkEnd w:id="200"/>
    <w:p>
      <w:pPr>
        <w:jc w:val="both"/>
        <w:spacing w:after="0" w:line="253" w:lineRule="auto"/>
        <w:rPr>
          <w:sz w:val="20"/>
          <w:szCs w:val="20"/>
          <w:color w:val="auto"/>
        </w:rPr>
      </w:pPr>
      <w:r>
        <w:rPr>
          <w:rFonts w:ascii="Arial" w:cs="Arial" w:eastAsia="Arial" w:hAnsi="Arial"/>
          <w:sz w:val="22"/>
          <w:szCs w:val="22"/>
          <w:color w:val="auto"/>
        </w:rPr>
        <w:t>code of conduct); (iv) breach of any of the Restrictive Covenants provisions in Article 3; (v) conviction of, entry of a guilty plea or a plea of nolo contendere to any criminal act that constitutes a felony or involves, fraud, dishonesty, or moral turpitude; or (vi) indictment for any felony involving embezzlement or theft or fraud.</w:t>
      </w:r>
    </w:p>
    <w:p>
      <w:pPr>
        <w:spacing w:after="0" w:line="180" w:lineRule="exact"/>
        <w:rPr>
          <w:sz w:val="20"/>
          <w:szCs w:val="20"/>
          <w:color w:val="auto"/>
        </w:rPr>
      </w:pPr>
    </w:p>
    <w:p>
      <w:pPr>
        <w:ind w:left="1720" w:hanging="415"/>
        <w:spacing w:after="0"/>
        <w:tabs>
          <w:tab w:leader="none" w:pos="1720"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w:t>
      </w:r>
    </w:p>
    <w:p>
      <w:pPr>
        <w:spacing w:after="0" w:line="225" w:lineRule="exact"/>
        <w:rPr>
          <w:rFonts w:ascii="Arial" w:cs="Arial" w:eastAsia="Arial" w:hAnsi="Arial"/>
          <w:sz w:val="22"/>
          <w:szCs w:val="22"/>
          <w:color w:val="010000"/>
        </w:rPr>
      </w:pPr>
    </w:p>
    <w:p>
      <w:pPr>
        <w:jc w:val="both"/>
        <w:ind w:left="660" w:firstLine="1293"/>
        <w:spacing w:after="0" w:line="248" w:lineRule="auto"/>
        <w:tabs>
          <w:tab w:leader="none" w:pos="2444" w:val="left"/>
        </w:tabs>
        <w:numPr>
          <w:ilvl w:val="2"/>
          <w:numId w:val="85"/>
        </w:numPr>
        <w:rPr>
          <w:rFonts w:ascii="Arial" w:cs="Arial" w:eastAsia="Arial" w:hAnsi="Arial"/>
          <w:sz w:val="22"/>
          <w:szCs w:val="22"/>
          <w:color w:val="010000"/>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occurring within a 12-month period, of all or substantially all of the assets of the Company to any Person, where “substantially all” means assets of the Company having a total gross fair market value equal to 40% or more of the total gross fair market value of all of the Company’s assets immediately before such transaction or series of transactions;</w:t>
      </w:r>
    </w:p>
    <w:p>
      <w:pPr>
        <w:spacing w:after="0" w:line="192" w:lineRule="exact"/>
        <w:rPr>
          <w:rFonts w:ascii="Arial" w:cs="Arial" w:eastAsia="Arial" w:hAnsi="Arial"/>
          <w:sz w:val="22"/>
          <w:szCs w:val="22"/>
          <w:color w:val="010000"/>
        </w:rPr>
      </w:pPr>
    </w:p>
    <w:p>
      <w:pPr>
        <w:ind w:left="2440" w:hanging="487"/>
        <w:spacing w:after="0"/>
        <w:tabs>
          <w:tab w:leader="none" w:pos="2440" w:val="left"/>
        </w:tabs>
        <w:numPr>
          <w:ilvl w:val="2"/>
          <w:numId w:val="85"/>
        </w:numPr>
        <w:rPr>
          <w:rFonts w:ascii="Arial" w:cs="Arial" w:eastAsia="Arial" w:hAnsi="Arial"/>
          <w:sz w:val="22"/>
          <w:szCs w:val="22"/>
          <w:color w:val="010000"/>
        </w:rPr>
      </w:pPr>
      <w:r>
        <w:rPr>
          <w:rFonts w:ascii="Arial" w:cs="Arial" w:eastAsia="Arial" w:hAnsi="Arial"/>
          <w:sz w:val="22"/>
          <w:szCs w:val="22"/>
          <w:color w:val="auto"/>
        </w:rPr>
        <w:t>The Incumbent Directors cease for any reason to constitute a majority of the Board;</w:t>
      </w:r>
    </w:p>
    <w:p>
      <w:pPr>
        <w:spacing w:after="0" w:line="219" w:lineRule="exact"/>
        <w:rPr>
          <w:rFonts w:ascii="Arial" w:cs="Arial" w:eastAsia="Arial" w:hAnsi="Arial"/>
          <w:sz w:val="22"/>
          <w:szCs w:val="22"/>
          <w:color w:val="010000"/>
        </w:rPr>
      </w:pPr>
    </w:p>
    <w:p>
      <w:pPr>
        <w:ind w:left="2500" w:hanging="547"/>
        <w:spacing w:after="0"/>
        <w:tabs>
          <w:tab w:leader="none" w:pos="2500" w:val="left"/>
        </w:tabs>
        <w:numPr>
          <w:ilvl w:val="2"/>
          <w:numId w:val="85"/>
        </w:numPr>
        <w:rPr>
          <w:rFonts w:ascii="Arial" w:cs="Arial" w:eastAsia="Arial" w:hAnsi="Arial"/>
          <w:sz w:val="22"/>
          <w:szCs w:val="22"/>
          <w:color w:val="010000"/>
        </w:rPr>
      </w:pPr>
      <w:r>
        <w:rPr>
          <w:rFonts w:ascii="Arial" w:cs="Arial" w:eastAsia="Arial" w:hAnsi="Arial"/>
          <w:sz w:val="22"/>
          <w:szCs w:val="22"/>
          <w:color w:val="auto"/>
        </w:rPr>
        <w:t>The adoption of a plan relating to the liquidation or dissolution of the Company;</w:t>
      </w:r>
    </w:p>
    <w:p>
      <w:pPr>
        <w:spacing w:after="0" w:line="219" w:lineRule="exact"/>
        <w:rPr>
          <w:rFonts w:ascii="Arial" w:cs="Arial" w:eastAsia="Arial" w:hAnsi="Arial"/>
          <w:sz w:val="22"/>
          <w:szCs w:val="22"/>
          <w:color w:val="010000"/>
        </w:rPr>
      </w:pPr>
    </w:p>
    <w:p>
      <w:pPr>
        <w:jc w:val="both"/>
        <w:ind w:left="660" w:firstLine="1293"/>
        <w:spacing w:after="0" w:line="253" w:lineRule="auto"/>
        <w:tabs>
          <w:tab w:leader="none" w:pos="2525" w:val="left"/>
        </w:tabs>
        <w:numPr>
          <w:ilvl w:val="2"/>
          <w:numId w:val="85"/>
        </w:numPr>
        <w:rPr>
          <w:rFonts w:ascii="Arial" w:cs="Arial" w:eastAsia="Arial" w:hAnsi="Arial"/>
          <w:sz w:val="22"/>
          <w:szCs w:val="22"/>
          <w:color w:val="010000"/>
        </w:rPr>
      </w:pPr>
      <w:r>
        <w:rPr>
          <w:rFonts w:ascii="Arial" w:cs="Arial" w:eastAsia="Arial" w:hAnsi="Arial"/>
          <w:sz w:val="22"/>
          <w:szCs w:val="22"/>
          <w:color w:val="auto"/>
        </w:rPr>
        <w:t>Any Person acquires stock of the Company that results in such Person holding Beneficial Ownership of stock of the Company possessing more than 50% of the total fair market value or the total voting power of the Company; or</w:t>
      </w:r>
    </w:p>
    <w:p>
      <w:pPr>
        <w:spacing w:after="0" w:line="185" w:lineRule="exact"/>
        <w:rPr>
          <w:rFonts w:ascii="Arial" w:cs="Arial" w:eastAsia="Arial" w:hAnsi="Arial"/>
          <w:sz w:val="22"/>
          <w:szCs w:val="22"/>
          <w:color w:val="010000"/>
        </w:rPr>
      </w:pPr>
    </w:p>
    <w:p>
      <w:pPr>
        <w:ind w:left="660" w:firstLine="1293"/>
        <w:spacing w:after="0" w:line="263" w:lineRule="auto"/>
        <w:tabs>
          <w:tab w:leader="none" w:pos="2627" w:val="left"/>
        </w:tabs>
        <w:numPr>
          <w:ilvl w:val="2"/>
          <w:numId w:val="85"/>
        </w:numPr>
        <w:rPr>
          <w:rFonts w:ascii="Arial" w:cs="Arial" w:eastAsia="Arial" w:hAnsi="Arial"/>
          <w:sz w:val="22"/>
          <w:szCs w:val="22"/>
          <w:color w:val="010000"/>
        </w:rPr>
      </w:pPr>
      <w:r>
        <w:rPr>
          <w:rFonts w:ascii="Arial" w:cs="Arial" w:eastAsia="Arial" w:hAnsi="Arial"/>
          <w:sz w:val="22"/>
          <w:szCs w:val="22"/>
          <w:color w:val="auto"/>
        </w:rPr>
        <w:t>Any Person acquires, over a 12-month period, Beneficial Ownership of stock of the Company possessing 30% or more of the total voting power of the Company.</w:t>
      </w:r>
    </w:p>
    <w:p>
      <w:pPr>
        <w:spacing w:after="0" w:line="174" w:lineRule="exact"/>
        <w:rPr>
          <w:rFonts w:ascii="Arial" w:cs="Arial" w:eastAsia="Arial" w:hAnsi="Arial"/>
          <w:sz w:val="22"/>
          <w:szCs w:val="22"/>
          <w:color w:val="010000"/>
        </w:rPr>
      </w:pPr>
    </w:p>
    <w:p>
      <w:pPr>
        <w:jc w:val="both"/>
        <w:ind w:left="660" w:firstLine="1293"/>
        <w:spacing w:after="0" w:line="288" w:lineRule="auto"/>
        <w:tabs>
          <w:tab w:leader="none" w:pos="2566" w:val="left"/>
        </w:tabs>
        <w:numPr>
          <w:ilvl w:val="2"/>
          <w:numId w:val="85"/>
        </w:numPr>
        <w:rPr>
          <w:rFonts w:ascii="Arial" w:cs="Arial" w:eastAsia="Arial" w:hAnsi="Arial"/>
          <w:sz w:val="19"/>
          <w:szCs w:val="19"/>
          <w:color w:val="010000"/>
        </w:rPr>
      </w:pPr>
      <w:r>
        <w:rPr>
          <w:rFonts w:ascii="Arial" w:cs="Arial" w:eastAsia="Arial" w:hAnsi="Arial"/>
          <w:sz w:val="19"/>
          <w:szCs w:val="19"/>
          <w:color w:val="auto"/>
        </w:rPr>
        <w:t>The foregoing notwithstanding, a transaction will not constitute a Change in Control if (A)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 w:lineRule="exact"/>
        <w:rPr>
          <w:rFonts w:ascii="Arial" w:cs="Arial" w:eastAsia="Arial" w:hAnsi="Arial"/>
          <w:sz w:val="19"/>
          <w:szCs w:val="19"/>
          <w:color w:val="010000"/>
        </w:rPr>
      </w:pPr>
    </w:p>
    <w:p>
      <w:pPr>
        <w:jc w:val="both"/>
        <w:ind w:left="660" w:hanging="4"/>
        <w:spacing w:after="0" w:line="257" w:lineRule="auto"/>
        <w:tabs>
          <w:tab w:leader="none" w:pos="1012" w:val="left"/>
        </w:tabs>
        <w:numPr>
          <w:ilvl w:val="0"/>
          <w:numId w:val="86"/>
        </w:numPr>
        <w:rPr>
          <w:rFonts w:ascii="Arial" w:cs="Arial" w:eastAsia="Arial" w:hAnsi="Arial"/>
          <w:sz w:val="21"/>
          <w:szCs w:val="21"/>
          <w:color w:val="auto"/>
        </w:rPr>
      </w:pPr>
      <w:r>
        <w:rPr>
          <w:rFonts w:ascii="Arial" w:cs="Arial" w:eastAsia="Arial" w:hAnsi="Arial"/>
          <w:sz w:val="21"/>
          <w:szCs w:val="21"/>
          <w:color w:val="auto"/>
        </w:rPr>
        <w:t>it constitutes an initial public offering or a secondary public offering that results in any security of the Company being listed (or approved for listing) on any securities exchange or designated (or approved for designation) as a security on an interdealer quotation system; (C) it constitutes a change in Beneficial Ownership that results from a change in ownership of an existing stockholder; or (D) solely because 30% or more of the total voting power of the Company’s then outstanding securities is acquired by (1) a trustee or other fiduciary holding securities under one or more employee benefit Plans of the Company or any Affiliate, or (2) any company that, immediately before such acquisition, is owned directly or indirectly by the stockholders of the Company in substantially the same proportion as their ownership of stock in the Company immediately before such acquisition.</w:t>
      </w:r>
    </w:p>
    <w:p>
      <w:pPr>
        <w:spacing w:after="0" w:line="176" w:lineRule="exact"/>
        <w:rPr>
          <w:sz w:val="20"/>
          <w:szCs w:val="20"/>
          <w:color w:val="auto"/>
        </w:rPr>
      </w:pPr>
    </w:p>
    <w:p>
      <w:pPr>
        <w:ind w:right="20" w:firstLine="1305"/>
        <w:spacing w:after="0" w:line="269" w:lineRule="auto"/>
        <w:tabs>
          <w:tab w:leader="none" w:pos="171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COBRA</w:t>
      </w:r>
      <w:r>
        <w:rPr>
          <w:rFonts w:ascii="Arial" w:cs="Arial" w:eastAsia="Arial" w:hAnsi="Arial"/>
          <w:sz w:val="22"/>
          <w:szCs w:val="22"/>
          <w:color w:val="auto"/>
        </w:rPr>
        <w:t>” means the group health plan continuation coverage provisions of the Consolidated Omnibus Budget Reconciliation Act of 1985, as amended</w:t>
      </w:r>
    </w:p>
    <w:p>
      <w:pPr>
        <w:spacing w:after="0" w:line="162" w:lineRule="exact"/>
        <w:rPr>
          <w:rFonts w:ascii="Arial" w:cs="Arial" w:eastAsia="Arial" w:hAnsi="Arial"/>
          <w:sz w:val="22"/>
          <w:szCs w:val="22"/>
          <w:color w:val="010000"/>
        </w:rPr>
      </w:pPr>
    </w:p>
    <w:p>
      <w:pPr>
        <w:ind w:left="1780" w:hanging="475"/>
        <w:spacing w:after="0"/>
        <w:tabs>
          <w:tab w:leader="none" w:pos="1780"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010000"/>
        </w:rPr>
      </w:pPr>
    </w:p>
    <w:p>
      <w:pPr>
        <w:ind w:left="1820" w:hanging="515"/>
        <w:spacing w:after="0"/>
        <w:tabs>
          <w:tab w:leader="none" w:pos="1820"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Diamondback Energy, Inc., a Delaware corporation, and will include its successors and</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assigns.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04" w:right="239" w:bottom="1440" w:gutter="0" w:footer="0" w:header="0"/>
        </w:sectPr>
      </w:pPr>
    </w:p>
    <w:bookmarkStart w:id="201" w:name="page202"/>
    <w:bookmarkEnd w:id="201"/>
    <w:p>
      <w:pPr>
        <w:jc w:val="both"/>
        <w:ind w:firstLine="1305"/>
        <w:spacing w:after="0" w:line="249" w:lineRule="auto"/>
        <w:tabs>
          <w:tab w:leader="none" w:pos="1946"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Continuation Period</w:t>
      </w:r>
      <w:r>
        <w:rPr>
          <w:rFonts w:ascii="Arial" w:cs="Arial" w:eastAsia="Arial" w:hAnsi="Arial"/>
          <w:sz w:val="22"/>
          <w:szCs w:val="22"/>
          <w:color w:val="auto"/>
        </w:rPr>
        <w:t>” means the period that group health plan continuation coverage under COBRA is available to a Participant whose employment termination results in a loss of group health plan coverage. The Continuation Period commences on the date following the Termination Date when group health plan coverage ends and ends on the earlier of (i) the 18 month anniversary of the loss of coverage date or (ii) the date on which the Participant becomes eligible to receive group health benefits from another employer.</w:t>
      </w:r>
    </w:p>
    <w:p>
      <w:pPr>
        <w:spacing w:after="0" w:line="186" w:lineRule="exact"/>
        <w:rPr>
          <w:rFonts w:ascii="Arial" w:cs="Arial" w:eastAsia="Arial" w:hAnsi="Arial"/>
          <w:sz w:val="22"/>
          <w:szCs w:val="22"/>
          <w:color w:val="010000"/>
        </w:rPr>
      </w:pPr>
    </w:p>
    <w:p>
      <w:pPr>
        <w:ind w:firstLine="1305"/>
        <w:spacing w:after="0" w:line="269" w:lineRule="auto"/>
        <w:tabs>
          <w:tab w:leader="none" w:pos="1819"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Diamondback Parties</w:t>
      </w:r>
      <w:r>
        <w:rPr>
          <w:rFonts w:ascii="Arial" w:cs="Arial" w:eastAsia="Arial" w:hAnsi="Arial"/>
          <w:sz w:val="22"/>
          <w:szCs w:val="22"/>
          <w:color w:val="auto"/>
        </w:rPr>
        <w:t>” means the Company, its direct and indirect subsidiaries and Affiliates (and each of them, individually, a “</w:t>
      </w:r>
      <w:r>
        <w:rPr>
          <w:rFonts w:ascii="Arial" w:cs="Arial" w:eastAsia="Arial" w:hAnsi="Arial"/>
          <w:sz w:val="22"/>
          <w:szCs w:val="22"/>
          <w:b w:val="1"/>
          <w:bCs w:val="1"/>
          <w:color w:val="auto"/>
        </w:rPr>
        <w:t>Diamondback Party</w:t>
      </w:r>
      <w:r>
        <w:rPr>
          <w:rFonts w:ascii="Arial" w:cs="Arial" w:eastAsia="Arial" w:hAnsi="Arial"/>
          <w:sz w:val="22"/>
          <w:szCs w:val="22"/>
          <w:color w:val="auto"/>
        </w:rPr>
        <w:t>”)</w:t>
      </w:r>
    </w:p>
    <w:p>
      <w:pPr>
        <w:spacing w:after="0" w:line="162" w:lineRule="exact"/>
        <w:rPr>
          <w:rFonts w:ascii="Arial" w:cs="Arial" w:eastAsia="Arial" w:hAnsi="Arial"/>
          <w:sz w:val="22"/>
          <w:szCs w:val="22"/>
          <w:color w:val="010000"/>
        </w:rPr>
      </w:pPr>
    </w:p>
    <w:p>
      <w:pPr>
        <w:jc w:val="both"/>
        <w:ind w:firstLine="1305"/>
        <w:spacing w:after="0" w:line="293" w:lineRule="auto"/>
        <w:tabs>
          <w:tab w:leader="none" w:pos="1819"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a Participant’s inability to substantially perform his or her duties to the Company or any Affiliate by reason of a medically determinable physical or mental impairment for a period of ninety (90) days (whether or not continuous) during any period of three hundred sixty-five (365) consecutive days by reason of physical or mental disability and the Participant has not returned to full-time performance of the Participant’s duties within 30 days after written notice of termination is given to the Participant by the Employer. The Administrator will determine whether an individual has a Disability under procedures established by the Administrator. The Administrator may rely on any determination that a Participant is disabled for purposes of benefits under any long-term disability plan maintained by the Company or any Affiliate in which a Participant participates.</w:t>
      </w:r>
    </w:p>
    <w:p>
      <w:pPr>
        <w:spacing w:after="0" w:line="145" w:lineRule="exact"/>
        <w:rPr>
          <w:rFonts w:ascii="Arial" w:cs="Arial" w:eastAsia="Arial" w:hAnsi="Arial"/>
          <w:sz w:val="19"/>
          <w:szCs w:val="19"/>
          <w:color w:val="010000"/>
        </w:rPr>
      </w:pPr>
    </w:p>
    <w:p>
      <w:pPr>
        <w:ind w:left="1800" w:hanging="495"/>
        <w:spacing w:after="0"/>
        <w:tabs>
          <w:tab w:leader="none" w:pos="1800"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February 20, 2020, the date this Plan was approved by the Compensation Committee</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of the Board.</w:t>
      </w:r>
    </w:p>
    <w:p>
      <w:pPr>
        <w:spacing w:after="0" w:line="195" w:lineRule="exact"/>
        <w:rPr>
          <w:rFonts w:ascii="Arial" w:cs="Arial" w:eastAsia="Arial" w:hAnsi="Arial"/>
          <w:sz w:val="19"/>
          <w:szCs w:val="19"/>
          <w:color w:val="010000"/>
        </w:rPr>
      </w:pPr>
    </w:p>
    <w:p>
      <w:pPr>
        <w:jc w:val="both"/>
        <w:ind w:firstLine="1305"/>
        <w:spacing w:after="0" w:line="315" w:lineRule="auto"/>
        <w:tabs>
          <w:tab w:leader="none" w:pos="1778"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Eligible Senior Executive</w:t>
      </w:r>
      <w:r>
        <w:rPr>
          <w:rFonts w:ascii="Arial" w:cs="Arial" w:eastAsia="Arial" w:hAnsi="Arial"/>
          <w:sz w:val="19"/>
          <w:szCs w:val="19"/>
          <w:color w:val="auto"/>
        </w:rPr>
        <w:t>” means an individual who has been designated as an Eligible Senior Executive by the Administrator, selected by the Administrator to participate in the Plan and who has entered into a Participation Agreement with the Company in substantially the forms set forth on the attached Schedule C-1 and Schedule C-2.</w:t>
      </w:r>
    </w:p>
    <w:p>
      <w:pPr>
        <w:spacing w:after="0" w:line="125" w:lineRule="exact"/>
        <w:rPr>
          <w:rFonts w:ascii="Arial" w:cs="Arial" w:eastAsia="Arial" w:hAnsi="Arial"/>
          <w:sz w:val="19"/>
          <w:szCs w:val="19"/>
          <w:color w:val="010000"/>
        </w:rPr>
      </w:pPr>
    </w:p>
    <w:p>
      <w:pPr>
        <w:ind w:firstLine="1305"/>
        <w:spacing w:after="0" w:line="350" w:lineRule="auto"/>
        <w:tabs>
          <w:tab w:leader="none" w:pos="1742"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Eligible Termination</w:t>
      </w:r>
      <w:r>
        <w:rPr>
          <w:rFonts w:ascii="Arial" w:cs="Arial" w:eastAsia="Arial" w:hAnsi="Arial"/>
          <w:sz w:val="19"/>
          <w:szCs w:val="19"/>
          <w:color w:val="auto"/>
        </w:rPr>
        <w:t>” means (i) a termination of the Participant’s employment with the Employer (A) by the Employer without Cause, or (B) by reason of death or Disability, or (ii) a resignation by the Participant for Good Reason.</w:t>
      </w:r>
    </w:p>
    <w:p>
      <w:pPr>
        <w:spacing w:after="0" w:line="92" w:lineRule="exact"/>
        <w:rPr>
          <w:rFonts w:ascii="Arial" w:cs="Arial" w:eastAsia="Arial" w:hAnsi="Arial"/>
          <w:sz w:val="19"/>
          <w:szCs w:val="19"/>
          <w:color w:val="010000"/>
        </w:rPr>
      </w:pPr>
    </w:p>
    <w:p>
      <w:pPr>
        <w:jc w:val="both"/>
        <w:ind w:firstLine="1305"/>
        <w:spacing w:after="0" w:line="274" w:lineRule="auto"/>
        <w:tabs>
          <w:tab w:leader="none" w:pos="1768"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Employer</w:t>
      </w:r>
      <w:r>
        <w:rPr>
          <w:rFonts w:ascii="Arial" w:cs="Arial" w:eastAsia="Arial" w:hAnsi="Arial"/>
          <w:sz w:val="21"/>
          <w:szCs w:val="21"/>
          <w:color w:val="auto"/>
        </w:rPr>
        <w:t>” means the Company and each of its subsidiaries and Affiliates that adopts the Plan and is treated as an Employer in accordance with the provisions of Section 8.1. Diamondback E&amp;P LLC, a Delaware limited liability company, will be an Employer on the Effective Date, without need for separate action to adopt the Plan.</w:t>
      </w:r>
    </w:p>
    <w:p>
      <w:pPr>
        <w:spacing w:after="0" w:line="158" w:lineRule="exact"/>
        <w:rPr>
          <w:rFonts w:ascii="Arial" w:cs="Arial" w:eastAsia="Arial" w:hAnsi="Arial"/>
          <w:sz w:val="21"/>
          <w:szCs w:val="21"/>
          <w:color w:val="010000"/>
        </w:rPr>
      </w:pPr>
    </w:p>
    <w:p>
      <w:pPr>
        <w:ind w:left="1720" w:hanging="415"/>
        <w:spacing w:after="0"/>
        <w:tabs>
          <w:tab w:leader="none" w:pos="1720"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means the Employee Retirement Income Security Act of 1974, as amended from time to time.</w:t>
      </w:r>
    </w:p>
    <w:p>
      <w:pPr>
        <w:spacing w:after="0" w:line="231" w:lineRule="exact"/>
        <w:rPr>
          <w:rFonts w:ascii="Arial" w:cs="Arial" w:eastAsia="Arial" w:hAnsi="Arial"/>
          <w:sz w:val="21"/>
          <w:szCs w:val="21"/>
          <w:color w:val="010000"/>
        </w:rPr>
      </w:pPr>
    </w:p>
    <w:p>
      <w:pPr>
        <w:jc w:val="both"/>
        <w:ind w:firstLine="1305"/>
        <w:spacing w:after="0" w:line="293" w:lineRule="auto"/>
        <w:tabs>
          <w:tab w:leader="none" w:pos="1832" w:val="left"/>
        </w:tabs>
        <w:numPr>
          <w:ilvl w:val="0"/>
          <w:numId w:val="88"/>
        </w:numPr>
        <w:rPr>
          <w:rFonts w:ascii="Arial" w:cs="Arial" w:eastAsia="Arial" w:hAnsi="Arial"/>
          <w:sz w:val="19"/>
          <w:szCs w:val="19"/>
          <w:color w:val="010000"/>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a Participant’s resignation in the event of any (i) material reduction in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base salary, bonus opportunity or severance benefits; (ii) relocation of Participant’s principal office more than 25 miles from the current location, or (iii) material diminution in the Participant’s position, duties, reporting relationship or authority, which in any case is not cured within thirty (30) business days after written notice thereof by Participant to the Compensation Committee of the Board (which notice must be provided by Participant to the Company within 90 days following the initial occurrence of such event) and an opportunity to cure within the notice period (the “</w:t>
      </w:r>
      <w:r>
        <w:rPr>
          <w:rFonts w:ascii="Arial" w:cs="Arial" w:eastAsia="Arial" w:hAnsi="Arial"/>
          <w:sz w:val="19"/>
          <w:szCs w:val="19"/>
          <w:b w:val="1"/>
          <w:bCs w:val="1"/>
          <w:color w:val="auto"/>
        </w:rPr>
        <w:t>Cure Period</w:t>
      </w:r>
      <w:r>
        <w:rPr>
          <w:rFonts w:ascii="Arial" w:cs="Arial" w:eastAsia="Arial" w:hAnsi="Arial"/>
          <w:sz w:val="19"/>
          <w:szCs w:val="19"/>
          <w:color w:val="auto"/>
        </w:rPr>
        <w:t>”). Resignation by the Participant following the Employer’s cure or before the expiration of the Cure Period will constitute a voluntary resignation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8" w:right="239" w:bottom="1440" w:gutter="0" w:footer="0" w:header="0"/>
        </w:sectPr>
      </w:pPr>
    </w:p>
    <w:bookmarkStart w:id="202" w:name="page203"/>
    <w:bookmarkEnd w:id="202"/>
    <w:p>
      <w:pPr>
        <w:ind w:right="20"/>
        <w:spacing w:after="0" w:line="343" w:lineRule="auto"/>
        <w:rPr>
          <w:sz w:val="20"/>
          <w:szCs w:val="20"/>
          <w:color w:val="auto"/>
        </w:rPr>
      </w:pPr>
      <w:r>
        <w:rPr>
          <w:rFonts w:ascii="Arial" w:cs="Arial" w:eastAsia="Arial" w:hAnsi="Arial"/>
          <w:sz w:val="19"/>
          <w:szCs w:val="19"/>
          <w:color w:val="auto"/>
        </w:rPr>
        <w:t>and not a termination or resignation for Good Reason and will not entitle the Participant to any benefits under this Plan. Any termination on account of a Good Reason Resignation must occur within 120 days following the initial occurrence of such event.</w:t>
      </w:r>
    </w:p>
    <w:p>
      <w:pPr>
        <w:spacing w:after="0" w:line="99" w:lineRule="exact"/>
        <w:rPr>
          <w:sz w:val="20"/>
          <w:szCs w:val="20"/>
          <w:color w:val="auto"/>
        </w:rPr>
      </w:pPr>
    </w:p>
    <w:p>
      <w:pPr>
        <w:jc w:val="both"/>
        <w:ind w:firstLine="1305"/>
        <w:spacing w:after="0" w:line="293" w:lineRule="auto"/>
        <w:tabs>
          <w:tab w:leader="none" w:pos="1778"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Incumbent Directors</w:t>
      </w:r>
      <w:r>
        <w:rPr>
          <w:rFonts w:ascii="Arial" w:cs="Arial" w:eastAsia="Arial" w:hAnsi="Arial"/>
          <w:sz w:val="19"/>
          <w:szCs w:val="19"/>
          <w:color w:val="auto"/>
        </w:rPr>
        <w:t>” means individuals who, on the Effective Date, constitute the Board, provided that any individual becoming a member of the Board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election to the Board without objection to such nomination) will be an Incumbent Director. No individual initially elected or nominated as a member of the Board as a result of an actual or threatened election contest with respect to the Board or as a result of any other actual or threatened solicitation of proxies by or on behalf of any Person other than the Board will be an Incumbent Director.</w:t>
      </w:r>
    </w:p>
    <w:p>
      <w:pPr>
        <w:spacing w:after="0" w:line="145" w:lineRule="exact"/>
        <w:rPr>
          <w:rFonts w:ascii="Arial" w:cs="Arial" w:eastAsia="Arial" w:hAnsi="Arial"/>
          <w:sz w:val="19"/>
          <w:szCs w:val="19"/>
          <w:color w:val="010000"/>
        </w:rPr>
      </w:pPr>
    </w:p>
    <w:p>
      <w:pPr>
        <w:ind w:firstLine="1305"/>
        <w:spacing w:after="0" w:line="269" w:lineRule="auto"/>
        <w:tabs>
          <w:tab w:leader="none" w:pos="1839"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 Person who has been designated by the Administrator as an Eligible Senior Executive who may be eligible for benefits under the Plan upon an Eligible Termination.</w:t>
      </w:r>
    </w:p>
    <w:p>
      <w:pPr>
        <w:spacing w:after="0" w:line="162" w:lineRule="exact"/>
        <w:rPr>
          <w:rFonts w:ascii="Arial" w:cs="Arial" w:eastAsia="Arial" w:hAnsi="Arial"/>
          <w:sz w:val="22"/>
          <w:szCs w:val="22"/>
          <w:color w:val="010000"/>
        </w:rPr>
      </w:pPr>
    </w:p>
    <w:p>
      <w:pPr>
        <w:jc w:val="both"/>
        <w:ind w:firstLine="1305"/>
        <w:spacing w:after="0" w:line="259" w:lineRule="auto"/>
        <w:tabs>
          <w:tab w:leader="none" w:pos="1792" w:val="left"/>
        </w:tabs>
        <w:numPr>
          <w:ilvl w:val="0"/>
          <w:numId w:val="8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Participation Agreement</w:t>
      </w:r>
      <w:r>
        <w:rPr>
          <w:rFonts w:ascii="Arial" w:cs="Arial" w:eastAsia="Arial" w:hAnsi="Arial"/>
          <w:sz w:val="21"/>
          <w:szCs w:val="21"/>
          <w:color w:val="auto"/>
        </w:rPr>
        <w:t>” means an agreement between a Participant and the Company, in substantially the forms set forth on the attached Schedule C-1 and Schedule C-2, specifying the Participant’s acknowledgement and agreement to the terms of the Plan, including the provisions terminating and superseding the terms any employment agreement or offer letter, the Restrictive Covenant provisions, the forfeiture and clawback provisions and any other terms and conditions that are in addition to or different from those specified in the Plan document. Any Participation Agreement under this Plan is intended to constitute a Service Agreement as defined in and for purposes of the terms of any Award Agreements issued pursuant to the terms of the Diamondback Energy, Inc. 2019 Amended and Restated Equity Incentive Plan, the Rattler Midstream Partners LP Long-Term Incentive Plan, the Viper Energy Partners LP 2014 Equity Incentive Plan or such other equity incentive plan adopted or maintained by any Affiliate.</w:t>
      </w:r>
    </w:p>
    <w:p>
      <w:pPr>
        <w:spacing w:after="0" w:line="180" w:lineRule="exact"/>
        <w:rPr>
          <w:rFonts w:ascii="Arial" w:cs="Arial" w:eastAsia="Arial" w:hAnsi="Arial"/>
          <w:sz w:val="21"/>
          <w:szCs w:val="21"/>
          <w:color w:val="010000"/>
        </w:rPr>
      </w:pPr>
    </w:p>
    <w:p>
      <w:pPr>
        <w:ind w:left="1800" w:hanging="495"/>
        <w:spacing w:after="0"/>
        <w:tabs>
          <w:tab w:leader="none" w:pos="1800" w:val="left"/>
        </w:tabs>
        <w:numPr>
          <w:ilvl w:val="0"/>
          <w:numId w:val="89"/>
        </w:numPr>
        <w:rPr>
          <w:rFonts w:ascii="Arial" w:cs="Arial" w:eastAsia="Arial" w:hAnsi="Arial"/>
          <w:sz w:val="19"/>
          <w:szCs w:val="19"/>
          <w:color w:val="010000"/>
        </w:rPr>
      </w:pPr>
      <w:r>
        <w:rPr>
          <w:rFonts w:ascii="Arial" w:cs="Arial" w:eastAsia="Arial" w:hAnsi="Arial"/>
          <w:sz w:val="19"/>
          <w:szCs w:val="19"/>
          <w:b w:val="1"/>
          <w:bCs w:val="1"/>
          <w:color w:val="auto"/>
        </w:rPr>
        <w:t xml:space="preserve">“Payment Date” </w:t>
      </w:r>
      <w:r>
        <w:rPr>
          <w:rFonts w:ascii="Arial" w:cs="Arial" w:eastAsia="Arial" w:hAnsi="Arial"/>
          <w:sz w:val="19"/>
          <w:szCs w:val="19"/>
          <w:color w:val="auto"/>
        </w:rPr>
        <w:t>means the first regularly scheduled payroll date that is at least sixty (60) days following the</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Termination Date.</w:t>
      </w:r>
    </w:p>
    <w:p>
      <w:pPr>
        <w:spacing w:after="0" w:line="195" w:lineRule="exact"/>
        <w:rPr>
          <w:rFonts w:ascii="Arial" w:cs="Arial" w:eastAsia="Arial" w:hAnsi="Arial"/>
          <w:sz w:val="19"/>
          <w:szCs w:val="19"/>
          <w:color w:val="010000"/>
        </w:rPr>
      </w:pPr>
    </w:p>
    <w:p>
      <w:pPr>
        <w:jc w:val="both"/>
        <w:ind w:firstLine="1305"/>
        <w:spacing w:after="0" w:line="252" w:lineRule="auto"/>
        <w:tabs>
          <w:tab w:leader="none" w:pos="1806"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Persons</w:t>
      </w:r>
      <w:r>
        <w:rPr>
          <w:rFonts w:ascii="Arial" w:cs="Arial" w:eastAsia="Arial" w:hAnsi="Arial"/>
          <w:sz w:val="22"/>
          <w:szCs w:val="22"/>
          <w:color w:val="auto"/>
        </w:rPr>
        <w:t>” means an individual, partnership, limited liability company, corporation, association, joint stock company, trust, joint venture, labor organization, unincorporated organization, governmental entity or political subdivision thereof, or any other entity, and includes a syndicate or group as such terms are used in Section 13(d)(3) or 14(d)(2) of the Securities Exchange Act of 1934, as amended.</w:t>
      </w:r>
    </w:p>
    <w:p>
      <w:pPr>
        <w:spacing w:after="0" w:line="180" w:lineRule="exact"/>
        <w:rPr>
          <w:sz w:val="20"/>
          <w:szCs w:val="20"/>
          <w:color w:val="auto"/>
        </w:rPr>
      </w:pPr>
    </w:p>
    <w:p>
      <w:pPr>
        <w:ind w:firstLine="1305"/>
        <w:spacing w:after="0" w:line="269" w:lineRule="auto"/>
        <w:tabs>
          <w:tab w:leader="none" w:pos="1848"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the Diamondback Energy, Inc. Senior Management Severance Plan, as set forth herein, together with any amendments and supplements hereto as shall be adopted from time to time.</w:t>
      </w:r>
    </w:p>
    <w:p>
      <w:pPr>
        <w:spacing w:after="0" w:line="162" w:lineRule="exact"/>
        <w:rPr>
          <w:rFonts w:ascii="Arial" w:cs="Arial" w:eastAsia="Arial" w:hAnsi="Arial"/>
          <w:sz w:val="22"/>
          <w:szCs w:val="22"/>
          <w:color w:val="010000"/>
        </w:rPr>
      </w:pPr>
    </w:p>
    <w:p>
      <w:pPr>
        <w:ind w:firstLine="1305"/>
        <w:spacing w:after="0" w:line="269" w:lineRule="auto"/>
        <w:tabs>
          <w:tab w:leader="none" w:pos="1873" w:val="left"/>
        </w:tabs>
        <w:numPr>
          <w:ilvl w:val="0"/>
          <w:numId w:val="90"/>
        </w:numPr>
        <w:rPr>
          <w:rFonts w:ascii="Arial" w:cs="Arial" w:eastAsia="Arial" w:hAnsi="Arial"/>
          <w:sz w:val="22"/>
          <w:szCs w:val="22"/>
          <w:color w:val="010000"/>
        </w:rPr>
      </w:pPr>
      <w:r>
        <w:rPr>
          <w:rFonts w:ascii="Arial" w:cs="Arial" w:eastAsia="Arial" w:hAnsi="Arial"/>
          <w:sz w:val="22"/>
          <w:szCs w:val="22"/>
          <w:b w:val="1"/>
          <w:bCs w:val="1"/>
          <w:color w:val="auto"/>
        </w:rPr>
        <w:t xml:space="preserve">“Protection Period” </w:t>
      </w:r>
      <w:r>
        <w:rPr>
          <w:rFonts w:ascii="Arial" w:cs="Arial" w:eastAsia="Arial" w:hAnsi="Arial"/>
          <w:sz w:val="22"/>
          <w:szCs w:val="22"/>
          <w:color w:val="auto"/>
        </w:rPr>
        <w:t>means the period commencing on the consummation of a Change in Control and ending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the second anniversary of such Change in Control.</w:t>
      </w:r>
    </w:p>
    <w:p>
      <w:pPr>
        <w:spacing w:after="0" w:line="162" w:lineRule="exact"/>
        <w:rPr>
          <w:rFonts w:ascii="Arial" w:cs="Arial" w:eastAsia="Arial" w:hAnsi="Arial"/>
          <w:sz w:val="22"/>
          <w:szCs w:val="22"/>
          <w:color w:val="010000"/>
        </w:rPr>
      </w:pPr>
    </w:p>
    <w:p>
      <w:pPr>
        <w:jc w:val="both"/>
        <w:ind w:firstLine="1305"/>
        <w:spacing w:after="0" w:line="256" w:lineRule="auto"/>
        <w:tabs>
          <w:tab w:leader="none" w:pos="1889"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means any of (i) the oil, gas and gas liquids exploration and production business, (ii) the ownership, operation, development or acquisition of midstream infrastructure assets, including oil, gas and gas liquids gathering and transportation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5" w:right="239" w:bottom="1440" w:gutter="0" w:footer="0" w:header="0"/>
        </w:sectPr>
      </w:pPr>
    </w:p>
    <w:bookmarkStart w:id="203" w:name="page204"/>
    <w:bookmarkEnd w:id="203"/>
    <w:p>
      <w:pPr>
        <w:jc w:val="both"/>
        <w:spacing w:after="0" w:line="250" w:lineRule="auto"/>
        <w:rPr>
          <w:sz w:val="20"/>
          <w:szCs w:val="20"/>
          <w:color w:val="auto"/>
        </w:rPr>
      </w:pPr>
      <w:r>
        <w:rPr>
          <w:rFonts w:ascii="Arial" w:cs="Arial" w:eastAsia="Arial" w:hAnsi="Arial"/>
          <w:sz w:val="22"/>
          <w:szCs w:val="22"/>
          <w:color w:val="auto"/>
        </w:rPr>
        <w:t>services and water-related gathering, transportation, distribution and disposal services, or (iii) the ownership, acquisition or exploitation of oil and gas properties, in each case, in Texas, Oklahoma and New Mexico and each other area, location or field in which the Diamondback Parties conduct or are preparing to conduct business during the Participant’s employment with an Employer or any Affiliate.</w:t>
      </w:r>
    </w:p>
    <w:p>
      <w:pPr>
        <w:spacing w:after="0" w:line="182" w:lineRule="exact"/>
        <w:rPr>
          <w:sz w:val="20"/>
          <w:szCs w:val="20"/>
          <w:color w:val="auto"/>
        </w:rPr>
      </w:pPr>
    </w:p>
    <w:p>
      <w:pPr>
        <w:jc w:val="both"/>
        <w:ind w:firstLine="1305"/>
        <w:spacing w:after="0" w:line="256" w:lineRule="auto"/>
        <w:tabs>
          <w:tab w:leader="none" w:pos="1927" w:val="left"/>
        </w:tabs>
        <w:numPr>
          <w:ilvl w:val="0"/>
          <w:numId w:val="91"/>
        </w:numPr>
        <w:rPr>
          <w:rFonts w:ascii="Arial" w:cs="Arial" w:eastAsia="Arial" w:hAnsi="Arial"/>
          <w:sz w:val="22"/>
          <w:szCs w:val="22"/>
          <w:color w:val="010000"/>
        </w:rPr>
      </w:pPr>
      <w:r>
        <w:rPr>
          <w:rFonts w:ascii="Arial" w:cs="Arial" w:eastAsia="Arial" w:hAnsi="Arial"/>
          <w:sz w:val="22"/>
          <w:szCs w:val="22"/>
          <w:b w:val="1"/>
          <w:bCs w:val="1"/>
          <w:color w:val="auto"/>
        </w:rPr>
        <w:t xml:space="preserve">“Restricted Period” </w:t>
      </w:r>
      <w:r>
        <w:rPr>
          <w:rFonts w:ascii="Arial" w:cs="Arial" w:eastAsia="Arial" w:hAnsi="Arial"/>
          <w:sz w:val="22"/>
          <w:szCs w:val="22"/>
          <w:color w:val="auto"/>
        </w:rPr>
        <w:t>means, the period of the Participant’s employment with the Employer and a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one year following the termination of the Participant’s employment with the Employer for any reason or such applicable shorter period as may be specified pursuant to Section 3.2.</w:t>
      </w:r>
    </w:p>
    <w:p>
      <w:pPr>
        <w:spacing w:after="0" w:line="176" w:lineRule="exact"/>
        <w:rPr>
          <w:rFonts w:ascii="Arial" w:cs="Arial" w:eastAsia="Arial" w:hAnsi="Arial"/>
          <w:sz w:val="22"/>
          <w:szCs w:val="22"/>
          <w:color w:val="010000"/>
        </w:rPr>
      </w:pPr>
    </w:p>
    <w:p>
      <w:pPr>
        <w:ind w:left="1960" w:hanging="655"/>
        <w:spacing w:after="0"/>
        <w:tabs>
          <w:tab w:leader="none" w:pos="1960" w:val="left"/>
        </w:tabs>
        <w:numPr>
          <w:ilvl w:val="0"/>
          <w:numId w:val="91"/>
        </w:numPr>
        <w:rPr>
          <w:rFonts w:ascii="Arial" w:cs="Arial" w:eastAsia="Arial" w:hAnsi="Arial"/>
          <w:sz w:val="19"/>
          <w:szCs w:val="19"/>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means Section 409A of the Code and the Department of Treasury rules and regulations</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issued thereunder.</w:t>
      </w:r>
    </w:p>
    <w:p>
      <w:pPr>
        <w:spacing w:after="0" w:line="195" w:lineRule="exact"/>
        <w:rPr>
          <w:rFonts w:ascii="Arial" w:cs="Arial" w:eastAsia="Arial" w:hAnsi="Arial"/>
          <w:sz w:val="19"/>
          <w:szCs w:val="19"/>
          <w:color w:val="010000"/>
        </w:rPr>
      </w:pPr>
    </w:p>
    <w:p>
      <w:pPr>
        <w:ind w:left="1800" w:hanging="495"/>
        <w:spacing w:after="0"/>
        <w:tabs>
          <w:tab w:leader="none" w:pos="180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Service Agreement</w:t>
      </w:r>
      <w:r>
        <w:rPr>
          <w:rFonts w:ascii="Arial" w:cs="Arial" w:eastAsia="Arial" w:hAnsi="Arial"/>
          <w:sz w:val="22"/>
          <w:szCs w:val="22"/>
          <w:color w:val="auto"/>
        </w:rPr>
        <w:t>” has the meaning set forth in the definition of “Participation Agreement”.</w:t>
      </w:r>
    </w:p>
    <w:p>
      <w:pPr>
        <w:spacing w:after="0" w:line="219" w:lineRule="exact"/>
        <w:rPr>
          <w:rFonts w:ascii="Arial" w:cs="Arial" w:eastAsia="Arial" w:hAnsi="Arial"/>
          <w:sz w:val="22"/>
          <w:szCs w:val="22"/>
          <w:color w:val="010000"/>
        </w:rPr>
      </w:pPr>
    </w:p>
    <w:p>
      <w:pPr>
        <w:jc w:val="both"/>
        <w:ind w:firstLine="1305"/>
        <w:spacing w:after="0" w:line="256" w:lineRule="auto"/>
        <w:tabs>
          <w:tab w:leader="none" w:pos="1913" w:val="left"/>
        </w:tabs>
        <w:numPr>
          <w:ilvl w:val="0"/>
          <w:numId w:val="91"/>
        </w:numPr>
        <w:rPr>
          <w:rFonts w:ascii="Arial" w:cs="Arial" w:eastAsia="Arial" w:hAnsi="Arial"/>
          <w:sz w:val="22"/>
          <w:szCs w:val="22"/>
          <w:color w:val="010000"/>
        </w:rPr>
      </w:pPr>
      <w:r>
        <w:rPr>
          <w:rFonts w:ascii="Arial" w:cs="Arial" w:eastAsia="Arial" w:hAnsi="Arial"/>
          <w:sz w:val="22"/>
          <w:szCs w:val="22"/>
          <w:b w:val="1"/>
          <w:bCs w:val="1"/>
          <w:color w:val="auto"/>
        </w:rPr>
        <w:t xml:space="preserve">“Specified Employee” </w:t>
      </w:r>
      <w:r>
        <w:rPr>
          <w:rFonts w:ascii="Arial" w:cs="Arial" w:eastAsia="Arial" w:hAnsi="Arial"/>
          <w:sz w:val="22"/>
          <w:szCs w:val="22"/>
          <w:color w:val="auto"/>
        </w:rPr>
        <w:t>means a Person who is, as of the date of the Person’s termination of employment, a</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employee” within the meaning of Section 409A, taking into account the elections made and procedures established by the Company.</w:t>
      </w:r>
    </w:p>
    <w:p>
      <w:pPr>
        <w:spacing w:after="0" w:line="176" w:lineRule="exact"/>
        <w:rPr>
          <w:rFonts w:ascii="Arial" w:cs="Arial" w:eastAsia="Arial" w:hAnsi="Arial"/>
          <w:sz w:val="22"/>
          <w:szCs w:val="22"/>
          <w:color w:val="010000"/>
        </w:rPr>
      </w:pPr>
    </w:p>
    <w:p>
      <w:pPr>
        <w:ind w:firstLine="1305"/>
        <w:spacing w:after="0" w:line="269" w:lineRule="auto"/>
        <w:tabs>
          <w:tab w:leader="none" w:pos="1900"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means the date that an Eligible Senior Executive’s employment with all Employers and Affiliates actually terminates pursuant to an Eligible Termination, as determined by the Administrator.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Section 9.2 </w:t>
      </w:r>
      <w:r>
        <w:rPr>
          <w:rFonts w:ascii="Arial" w:cs="Arial" w:eastAsia="Arial" w:hAnsi="Arial"/>
          <w:sz w:val="22"/>
          <w:szCs w:val="22"/>
          <w:b w:val="1"/>
          <w:bCs w:val="1"/>
          <w:color w:val="000000"/>
        </w:rPr>
        <w:t>Number and Gender</w:t>
      </w:r>
      <w:r>
        <w:rPr>
          <w:rFonts w:ascii="Arial" w:cs="Arial" w:eastAsia="Arial" w:hAnsi="Arial"/>
          <w:sz w:val="22"/>
          <w:szCs w:val="22"/>
          <w:color w:val="000000"/>
        </w:rPr>
        <w:t>. Wherever appropriate herein, a word used in the singular will be considered to include</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plural and the plural to include the singular. The masculine gender, where appearing in this Plan, will be deemed to include the feminine gender.</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010000"/>
        </w:rPr>
        <w:t xml:space="preserve">Section 9.3 </w:t>
      </w:r>
      <w:r>
        <w:rPr>
          <w:rFonts w:ascii="Arial" w:cs="Arial" w:eastAsia="Arial" w:hAnsi="Arial"/>
          <w:sz w:val="22"/>
          <w:szCs w:val="22"/>
          <w:b w:val="1"/>
          <w:bCs w:val="1"/>
          <w:color w:val="000000"/>
        </w:rPr>
        <w:t>Headings</w:t>
      </w:r>
      <w:r>
        <w:rPr>
          <w:rFonts w:ascii="Arial" w:cs="Arial" w:eastAsia="Arial" w:hAnsi="Arial"/>
          <w:sz w:val="22"/>
          <w:szCs w:val="22"/>
          <w:color w:val="000000"/>
        </w:rPr>
        <w:t>. The headings of Articles and Sections herein are included solely for convenience and if there is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conflict between such headings and the text of this Plan, the text will control.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04" w:right="239" w:bottom="1440" w:gutter="0" w:footer="0" w:header="0"/>
        </w:sectPr>
      </w:pPr>
    </w:p>
    <w:bookmarkStart w:id="204" w:name="page205"/>
    <w:bookmarkEnd w:id="204"/>
    <w:p>
      <w:pPr>
        <w:spacing w:after="0" w:line="263" w:lineRule="auto"/>
        <w:rPr>
          <w:sz w:val="20"/>
          <w:szCs w:val="20"/>
          <w:color w:val="auto"/>
        </w:rPr>
      </w:pPr>
      <w:r>
        <w:rPr>
          <w:rFonts w:ascii="Arial" w:cs="Arial" w:eastAsia="Arial" w:hAnsi="Arial"/>
          <w:sz w:val="22"/>
          <w:szCs w:val="22"/>
          <w:color w:val="auto"/>
        </w:rPr>
        <w:t>To record the adoption of the Plan as set forth herein, effective as of the Effective Date, the Company has caused its duly authorized officer to execute the same this 20th day of February, 2020.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Travis D. Stice</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Travis D. Stice</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420"/>
          </w:cols>
          <w:pgMar w:left="240" w:top="604" w:right="2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 Plan Description Additional Information</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PLAN INFORMATION</w:t>
      </w: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010000"/>
        </w:rPr>
        <w:t xml:space="preserve">Section 1.1 </w:t>
      </w:r>
      <w:r>
        <w:rPr>
          <w:rFonts w:ascii="Arial" w:cs="Arial" w:eastAsia="Arial" w:hAnsi="Arial"/>
          <w:sz w:val="21"/>
          <w:szCs w:val="21"/>
          <w:b w:val="1"/>
          <w:bCs w:val="1"/>
          <w:color w:val="000000"/>
        </w:rPr>
        <w:t>Employer and Plan Identification Numbers</w:t>
      </w:r>
      <w:r>
        <w:rPr>
          <w:rFonts w:ascii="Arial" w:cs="Arial" w:eastAsia="Arial" w:hAnsi="Arial"/>
          <w:sz w:val="21"/>
          <w:szCs w:val="21"/>
          <w:color w:val="000000"/>
        </w:rPr>
        <w:t>. The Employer Identification Number assigned to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Company (which is the “Plan Sponsor” as that term is used in ERISA) by the Internal Revenue Service is 45-4502447. The Plan Number assigned to the Plan by the Plan Sponsor pursuant to the instructions of the Internal Revenue Service is 503.</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010000"/>
        </w:rPr>
        <w:t xml:space="preserve">Section 1.2 </w:t>
      </w:r>
      <w:r>
        <w:rPr>
          <w:rFonts w:ascii="Arial" w:cs="Arial" w:eastAsia="Arial" w:hAnsi="Arial"/>
          <w:sz w:val="22"/>
          <w:szCs w:val="22"/>
          <w:b w:val="1"/>
          <w:bCs w:val="1"/>
          <w:color w:val="000000"/>
        </w:rPr>
        <w:t>Ending Date for Plan’s Fiscal Year</w:t>
      </w:r>
      <w:r>
        <w:rPr>
          <w:rFonts w:ascii="Arial" w:cs="Arial" w:eastAsia="Arial" w:hAnsi="Arial"/>
          <w:sz w:val="22"/>
          <w:szCs w:val="22"/>
          <w:color w:val="000000"/>
        </w:rPr>
        <w:t>. The date of the end of the fiscal year for the purpose of maintaining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Plan’s records is December 31.</w:t>
      </w:r>
    </w:p>
    <w:p>
      <w:pPr>
        <w:spacing w:after="0" w:line="16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1.3</w:t>
      </w:r>
      <w:r>
        <w:rPr>
          <w:sz w:val="20"/>
          <w:szCs w:val="20"/>
          <w:color w:val="auto"/>
        </w:rPr>
        <w:tab/>
      </w:r>
      <w:r>
        <w:rPr>
          <w:rFonts w:ascii="Arial" w:cs="Arial" w:eastAsia="Arial" w:hAnsi="Arial"/>
          <w:sz w:val="19"/>
          <w:szCs w:val="19"/>
          <w:b w:val="1"/>
          <w:bCs w:val="1"/>
          <w:color w:val="auto"/>
        </w:rPr>
        <w:t>Agent for the Service of Legal Process</w:t>
      </w:r>
      <w:r>
        <w:rPr>
          <w:rFonts w:ascii="Arial" w:cs="Arial" w:eastAsia="Arial" w:hAnsi="Arial"/>
          <w:sz w:val="19"/>
          <w:szCs w:val="19"/>
          <w:color w:val="auto"/>
        </w:rPr>
        <w:t>. The agent for the service of legal process with respect to the Plan is:</w:t>
      </w:r>
    </w:p>
    <w:p>
      <w:pPr>
        <w:spacing w:after="0" w:line="22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500 West Texas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Suite 1200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Midland, TX 79701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Matt Zmigrosky, General Counsel</w:t>
      </w:r>
    </w:p>
    <w:p>
      <w:pPr>
        <w:spacing w:after="0" w:line="19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1.4</w:t>
      </w:r>
      <w:r>
        <w:rPr>
          <w:sz w:val="20"/>
          <w:szCs w:val="20"/>
          <w:color w:val="auto"/>
        </w:rPr>
        <w:tab/>
      </w:r>
      <w:r>
        <w:rPr>
          <w:rFonts w:ascii="Arial" w:cs="Arial" w:eastAsia="Arial" w:hAnsi="Arial"/>
          <w:sz w:val="19"/>
          <w:szCs w:val="19"/>
          <w:b w:val="1"/>
          <w:bCs w:val="1"/>
          <w:color w:val="auto"/>
        </w:rPr>
        <w:t>Plan Sponsor and Administrator</w:t>
      </w:r>
      <w:r>
        <w:rPr>
          <w:rFonts w:ascii="Arial" w:cs="Arial" w:eastAsia="Arial" w:hAnsi="Arial"/>
          <w:sz w:val="19"/>
          <w:szCs w:val="19"/>
          <w:color w:val="auto"/>
        </w:rPr>
        <w:t>. The “Plan Sponsor” of the Plan is:</w:t>
      </w:r>
    </w:p>
    <w:p>
      <w:pPr>
        <w:spacing w:after="0" w:line="22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500 West Texas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Suite 1200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Midland, TX 79701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Attention: Jennifer Soliman, Executive Vice President, and Chief Human Resources Officer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the “Plan Administrator” of the Plan is:</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500 West Texas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Suite 1200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Midland, TX 79701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Attention: Jennifer Soliman, Executive Vice President, and Chief Human Resources Officer</w:t>
      </w: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Plan Sponsor’s and Plan Administrator’s telephone number is (432) 221-7400. The Plan Administrator is the named fiduciary charged with the responsibility for administering the Plan.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8" w:right="239" w:bottom="1440" w:gutter="0" w:footer="0" w:header="0"/>
        </w:sectPr>
      </w:pPr>
    </w:p>
    <w:bookmarkStart w:id="206" w:name="page207"/>
    <w:bookmarkEnd w:id="206"/>
    <w:p>
      <w:pPr>
        <w:jc w:val="center"/>
        <w:ind w:right="40"/>
        <w:spacing w:after="0"/>
        <w:rPr>
          <w:sz w:val="20"/>
          <w:szCs w:val="20"/>
          <w:color w:val="auto"/>
        </w:rPr>
      </w:pPr>
      <w:r>
        <w:rPr>
          <w:rFonts w:ascii="Arial" w:cs="Arial" w:eastAsia="Arial" w:hAnsi="Arial"/>
          <w:sz w:val="22"/>
          <w:szCs w:val="22"/>
          <w:b w:val="1"/>
          <w:bCs w:val="1"/>
          <w:color w:val="010000"/>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ERISA RIGHTS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Participants in this Plan (which is both a welfare benefit plan and a pension benefit plan sponsored by Diamondback Energy, Inc.) are entitled to certain rights and protections under ERISA. If you are designated as an Eligible Senior Executive by the Administrator, selected by the Administrator to participate in the Plan and have entered into a Participation Agreement with the Company, you are considered a Participant in the Plan and, under ERISA, you are entitled 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Receive Information about Your Plan and Benefits</w:t>
      </w:r>
    </w:p>
    <w:p>
      <w:pPr>
        <w:spacing w:after="0" w:line="226" w:lineRule="exact"/>
        <w:rPr>
          <w:sz w:val="20"/>
          <w:szCs w:val="20"/>
          <w:color w:val="auto"/>
        </w:rPr>
      </w:pPr>
    </w:p>
    <w:p>
      <w:pPr>
        <w:jc w:val="both"/>
        <w:ind w:left="980" w:hanging="324"/>
        <w:spacing w:after="0" w:line="312" w:lineRule="auto"/>
        <w:tabs>
          <w:tab w:leader="none" w:pos="980"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33" w:lineRule="exact"/>
        <w:rPr>
          <w:rFonts w:ascii="Arial" w:cs="Arial" w:eastAsia="Arial" w:hAnsi="Arial"/>
          <w:sz w:val="19"/>
          <w:szCs w:val="19"/>
          <w:b w:val="1"/>
          <w:bCs w:val="1"/>
          <w:color w:val="auto"/>
        </w:rPr>
      </w:pPr>
    </w:p>
    <w:p>
      <w:pPr>
        <w:jc w:val="both"/>
        <w:ind w:left="980" w:hanging="324"/>
        <w:spacing w:after="0" w:line="253" w:lineRule="auto"/>
        <w:tabs>
          <w:tab w:leader="none" w:pos="98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and updated Summary Plan Description. The Administrator may make a reasonable charge for the copies; and</w:t>
      </w:r>
    </w:p>
    <w:p>
      <w:pPr>
        <w:spacing w:after="0" w:line="185" w:lineRule="exact"/>
        <w:rPr>
          <w:rFonts w:ascii="Arial" w:cs="Arial" w:eastAsia="Arial" w:hAnsi="Arial"/>
          <w:sz w:val="22"/>
          <w:szCs w:val="22"/>
          <w:b w:val="1"/>
          <w:bCs w:val="1"/>
          <w:color w:val="auto"/>
        </w:rPr>
      </w:pPr>
    </w:p>
    <w:p>
      <w:pPr>
        <w:ind w:left="980" w:right="20" w:hanging="324"/>
        <w:spacing w:after="0" w:line="263" w:lineRule="auto"/>
        <w:tabs>
          <w:tab w:leader="none" w:pos="98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Receive a summary of the Plan’s annual financial report. The Plan Administrator is required by law to furnish each participant with a copy of this summary annual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Prudent Actions by Plan Fiduciaries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Plan benefit or exercising your rights under ERISA.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 Your Rights</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your claim for a Plan benefit is denied or ignored, in whole or in part, you have a right to know why this was done, to obtain copies of documents relating to the decision without charge, and to appeal any denial, all within certain time schedules.</w:t>
      </w:r>
    </w:p>
    <w:p>
      <w:pPr>
        <w:spacing w:after="0" w:line="1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Federal court.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8" w:right="239" w:bottom="1440" w:gutter="0" w:footer="0" w:header="0"/>
        </w:sectPr>
      </w:pPr>
    </w:p>
    <w:bookmarkStart w:id="207" w:name="page208"/>
    <w:bookmarkEnd w:id="207"/>
    <w:p>
      <w:pPr>
        <w:jc w:val="both"/>
        <w:ind w:firstLine="648"/>
        <w:spacing w:after="0" w:line="302" w:lineRule="auto"/>
        <w:rPr>
          <w:sz w:val="20"/>
          <w:szCs w:val="20"/>
          <w:color w:val="auto"/>
        </w:rPr>
      </w:pPr>
      <w:r>
        <w:rPr>
          <w:rFonts w:ascii="Arial" w:cs="Arial" w:eastAsia="Arial" w:hAnsi="Arial"/>
          <w:sz w:val="19"/>
          <w:szCs w:val="19"/>
          <w:color w:val="auto"/>
        </w:rPr>
        <w:t>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Assistance with Your Questions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multiple of base salary and the number of months that the multiple of base salary will continue to be paid upon a</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Qualifying Termination outside of the Protection Period is determined based on the position of the Executive as follows:</w:t>
      </w:r>
    </w:p>
    <w:p>
      <w:pPr>
        <w:spacing w:after="0" w:line="336" w:lineRule="exact"/>
        <w:rPr>
          <w:sz w:val="20"/>
          <w:szCs w:val="20"/>
          <w:color w:val="auto"/>
        </w:rPr>
      </w:pPr>
    </w:p>
    <w:tbl>
      <w:tblPr>
        <w:tblLayout w:type="fixed"/>
        <w:tblInd w:w="1230" w:type="dxa"/>
        <w:tblCellMar>
          <w:top w:w="0" w:type="dxa"/>
          <w:left w:w="0" w:type="dxa"/>
          <w:bottom w:w="0" w:type="dxa"/>
          <w:right w:w="0" w:type="dxa"/>
        </w:tblCellMar>
      </w:tblPr>
      <w:tr>
        <w:trPr>
          <w:trHeight w:val="294"/>
        </w:trPr>
        <w:tc>
          <w:tcPr>
            <w:tcW w:w="3800" w:type="dxa"/>
            <w:vAlign w:val="bottom"/>
            <w:tcBorders>
              <w:top w:val="single" w:sz="8" w:color="auto"/>
              <w:left w:val="single" w:sz="8" w:color="auto"/>
              <w:right w:val="single" w:sz="8" w:color="auto"/>
            </w:tcBorders>
            <w:shd w:val="clear" w:color="auto" w:fill="4F81BD"/>
          </w:tcPr>
          <w:p>
            <w:pPr>
              <w:ind w:left="1520"/>
              <w:spacing w:after="0"/>
              <w:rPr>
                <w:sz w:val="20"/>
                <w:szCs w:val="20"/>
                <w:color w:val="auto"/>
              </w:rPr>
            </w:pPr>
            <w:r>
              <w:rPr>
                <w:rFonts w:ascii="Arial" w:cs="Arial" w:eastAsia="Arial" w:hAnsi="Arial"/>
                <w:sz w:val="22"/>
                <w:szCs w:val="22"/>
                <w:b w:val="1"/>
                <w:bCs w:val="1"/>
                <w:color w:val="auto"/>
              </w:rPr>
              <w:t>Position</w:t>
            </w:r>
          </w:p>
        </w:tc>
        <w:tc>
          <w:tcPr>
            <w:tcW w:w="262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0"/>
              </w:rPr>
              <w:t>Multiple of Base Salary</w:t>
            </w:r>
          </w:p>
        </w:tc>
        <w:tc>
          <w:tcPr>
            <w:tcW w:w="26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0"/>
              </w:rPr>
              <w:t>Number of Months</w:t>
            </w:r>
          </w:p>
        </w:tc>
      </w:tr>
      <w:tr>
        <w:trPr>
          <w:trHeight w:val="422"/>
        </w:trPr>
        <w:tc>
          <w:tcPr>
            <w:tcW w:w="3800" w:type="dxa"/>
            <w:vAlign w:val="bottom"/>
            <w:tcBorders>
              <w:left w:val="single" w:sz="8" w:color="auto"/>
              <w:bottom w:val="single" w:sz="8" w:color="auto"/>
              <w:right w:val="single" w:sz="8" w:color="auto"/>
            </w:tcBorders>
            <w:shd w:val="clear" w:color="auto" w:fill="4F81BD"/>
          </w:tcPr>
          <w:p>
            <w:pPr>
              <w:spacing w:after="0"/>
              <w:rPr>
                <w:sz w:val="24"/>
                <w:szCs w:val="24"/>
                <w:color w:val="auto"/>
              </w:rPr>
            </w:pPr>
          </w:p>
        </w:tc>
        <w:tc>
          <w:tcPr>
            <w:tcW w:w="2620" w:type="dxa"/>
            <w:vAlign w:val="bottom"/>
            <w:tcBorders>
              <w:bottom w:val="single" w:sz="8" w:color="auto"/>
              <w:right w:val="single" w:sz="8" w:color="auto"/>
            </w:tcBorders>
            <w:shd w:val="clear" w:color="auto" w:fill="4F81BD"/>
          </w:tcPr>
          <w:p>
            <w:pPr>
              <w:spacing w:after="0"/>
              <w:rPr>
                <w:sz w:val="24"/>
                <w:szCs w:val="24"/>
                <w:color w:val="auto"/>
              </w:rPr>
            </w:pPr>
          </w:p>
        </w:tc>
        <w:tc>
          <w:tcPr>
            <w:tcW w:w="2600" w:type="dxa"/>
            <w:vAlign w:val="bottom"/>
            <w:tcBorders>
              <w:bottom w:val="single" w:sz="8" w:color="auto"/>
              <w:right w:val="single" w:sz="8" w:color="auto"/>
            </w:tcBorders>
            <w:shd w:val="clear" w:color="auto" w:fill="4F81BD"/>
          </w:tcPr>
          <w:p>
            <w:pPr>
              <w:spacing w:after="0"/>
              <w:rPr>
                <w:sz w:val="24"/>
                <w:szCs w:val="24"/>
                <w:color w:val="auto"/>
              </w:rPr>
            </w:pPr>
          </w:p>
        </w:tc>
      </w:tr>
      <w:tr>
        <w:trPr>
          <w:trHeight w:val="274"/>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2x</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24</w:t>
            </w:r>
          </w:p>
        </w:tc>
      </w:tr>
      <w:tr>
        <w:trPr>
          <w:trHeight w:val="422"/>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274"/>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Executive 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18</w:t>
            </w:r>
          </w:p>
        </w:tc>
      </w:tr>
      <w:tr>
        <w:trPr>
          <w:trHeight w:val="422"/>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274"/>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Senior 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w:t>
            </w:r>
          </w:p>
        </w:tc>
      </w:tr>
      <w:tr>
        <w:trPr>
          <w:trHeight w:val="422"/>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274"/>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w:t>
            </w:r>
          </w:p>
        </w:tc>
      </w:tr>
      <w:tr>
        <w:trPr>
          <w:trHeight w:val="422"/>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B</w:t>
      </w:r>
    </w:p>
    <w:p>
      <w:pPr>
        <w:spacing w:after="0" w:line="226"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The Applicable Factor used to determine Severance Benefits related to a Change in Control is determined based on the position of the Executive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5" w:right="239" w:bottom="1440" w:gutter="0" w:footer="0" w:header="0"/>
        </w:sectPr>
      </w:pPr>
    </w:p>
    <w:bookmarkStart w:id="208" w:name="page209"/>
    <w:bookmarkEnd w:id="208"/>
    <w:tbl>
      <w:tblPr>
        <w:tblLayout w:type="fixed"/>
        <w:tblInd w:w="1350" w:type="dxa"/>
        <w:tblCellMar>
          <w:top w:w="0" w:type="dxa"/>
          <w:left w:w="0" w:type="dxa"/>
          <w:bottom w:w="0" w:type="dxa"/>
          <w:right w:w="0" w:type="dxa"/>
        </w:tblCellMar>
      </w:tblPr>
      <w:tr>
        <w:trPr>
          <w:trHeight w:val="294"/>
        </w:trPr>
        <w:tc>
          <w:tcPr>
            <w:tcW w:w="3760" w:type="dxa"/>
            <w:vAlign w:val="bottom"/>
            <w:tcBorders>
              <w:top w:val="single" w:sz="8" w:color="auto"/>
              <w:left w:val="single" w:sz="8" w:color="auto"/>
              <w:right w:val="single" w:sz="8" w:color="auto"/>
            </w:tcBorders>
            <w:shd w:val="clear" w:color="auto" w:fill="4F81BD"/>
          </w:tcPr>
          <w:p>
            <w:pPr>
              <w:ind w:left="1500"/>
              <w:spacing w:after="0"/>
              <w:rPr>
                <w:sz w:val="20"/>
                <w:szCs w:val="20"/>
                <w:color w:val="auto"/>
              </w:rPr>
            </w:pPr>
            <w:r>
              <w:rPr>
                <w:rFonts w:ascii="Arial" w:cs="Arial" w:eastAsia="Arial" w:hAnsi="Arial"/>
                <w:sz w:val="22"/>
                <w:szCs w:val="22"/>
                <w:b w:val="1"/>
                <w:bCs w:val="1"/>
                <w:color w:val="auto"/>
              </w:rPr>
              <w:t>Position</w:t>
            </w:r>
          </w:p>
        </w:tc>
        <w:tc>
          <w:tcPr>
            <w:tcW w:w="262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89"/>
              </w:rPr>
              <w:t>Applicable Factor</w:t>
            </w:r>
          </w:p>
        </w:tc>
      </w:tr>
      <w:tr>
        <w:trPr>
          <w:trHeight w:val="422"/>
        </w:trPr>
        <w:tc>
          <w:tcPr>
            <w:tcW w:w="3760" w:type="dxa"/>
            <w:vAlign w:val="bottom"/>
            <w:tcBorders>
              <w:left w:val="single" w:sz="8" w:color="auto"/>
              <w:bottom w:val="single" w:sz="8" w:color="auto"/>
              <w:right w:val="single" w:sz="8" w:color="auto"/>
            </w:tcBorders>
            <w:shd w:val="clear" w:color="auto" w:fill="4F81BD"/>
          </w:tcPr>
          <w:p>
            <w:pPr>
              <w:spacing w:after="0"/>
              <w:rPr>
                <w:sz w:val="24"/>
                <w:szCs w:val="24"/>
                <w:color w:val="auto"/>
              </w:rPr>
            </w:pPr>
          </w:p>
        </w:tc>
        <w:tc>
          <w:tcPr>
            <w:tcW w:w="2620" w:type="dxa"/>
            <w:vAlign w:val="bottom"/>
            <w:tcBorders>
              <w:bottom w:val="single" w:sz="8" w:color="auto"/>
              <w:right w:val="single" w:sz="8" w:color="auto"/>
            </w:tcBorders>
            <w:shd w:val="clear" w:color="auto" w:fill="4F81BD"/>
          </w:tcPr>
          <w:p>
            <w:pPr>
              <w:spacing w:after="0"/>
              <w:rPr>
                <w:sz w:val="24"/>
                <w:szCs w:val="24"/>
                <w:color w:val="auto"/>
              </w:rPr>
            </w:pPr>
          </w:p>
        </w:tc>
      </w:tr>
      <w:tr>
        <w:trPr>
          <w:trHeight w:val="274"/>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3.00</w:t>
            </w:r>
          </w:p>
        </w:tc>
      </w:tr>
      <w:tr>
        <w:trPr>
          <w:trHeight w:val="42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274"/>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Executive 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2.50</w:t>
            </w:r>
          </w:p>
        </w:tc>
      </w:tr>
      <w:tr>
        <w:trPr>
          <w:trHeight w:val="42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274"/>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Senior 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2.25</w:t>
            </w:r>
          </w:p>
        </w:tc>
      </w:tr>
      <w:tr>
        <w:trPr>
          <w:trHeight w:val="42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274"/>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Vice-Presidents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42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9019"/>
          </w:cols>
          <w:pgMar w:left="1440" w:top="727" w:right="1440" w:bottom="1440" w:gutter="0" w:footer="0" w:header="0"/>
        </w:sectPr>
      </w:pPr>
    </w:p>
    <w:bookmarkStart w:id="209" w:name="page210"/>
    <w:bookmarkEnd w:id="209"/>
    <w:p>
      <w:pPr>
        <w:ind w:left="4920"/>
        <w:spacing w:after="0"/>
        <w:rPr>
          <w:sz w:val="20"/>
          <w:szCs w:val="20"/>
          <w:color w:val="auto"/>
        </w:rPr>
      </w:pPr>
      <w:r>
        <w:rPr>
          <w:rFonts w:ascii="Arial" w:cs="Arial" w:eastAsia="Arial" w:hAnsi="Arial"/>
          <w:sz w:val="22"/>
          <w:szCs w:val="22"/>
          <w:b w:val="1"/>
          <w:bCs w:val="1"/>
          <w:color w:val="auto"/>
        </w:rPr>
        <w:t>SCHEDULE C-1</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PARTICIPATION AGREEMENT</w:t>
      </w:r>
    </w:p>
    <w:p>
      <w:pPr>
        <w:spacing w:after="0" w:line="2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DIAMONDBACK ENERGY, INC.</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EXECUTIVE SEVERANCE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Participation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by and between _______________ (the</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and Diamondback Energy,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effective as of February 20,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The Company maintains the Diamondback Energy, Inc. Senior Management Severance Plan (the “</w:t>
      </w:r>
      <w:r>
        <w:rPr>
          <w:rFonts w:ascii="Arial" w:cs="Arial" w:eastAsia="Arial" w:hAnsi="Arial"/>
          <w:sz w:val="19"/>
          <w:szCs w:val="19"/>
          <w:b w:val="1"/>
          <w:bCs w:val="1"/>
          <w:color w:val="auto"/>
        </w:rPr>
        <w:t>Plan</w:t>
      </w:r>
      <w:r>
        <w:rPr>
          <w:rFonts w:ascii="Arial" w:cs="Arial" w:eastAsia="Arial" w:hAnsi="Arial"/>
          <w:sz w:val="19"/>
          <w:szCs w:val="19"/>
          <w:color w:val="auto"/>
        </w:rPr>
        <w:t>”) to provide for specified severance benefits in connection with certain Eligible Terminations (as defined in the Plan). You have been selected by the Plan Administrator to be a Participant in the Plan. The Participant hereby acknowledges that Participant has read and understands the terms of the Plan and agrees to participate in the Plan. The Executive also expressly acknowledges and agrees that participation in the Plan replaces and supersedes the Employment Agreement made by and between the Company and the Participant dated ________, and that such Employment Agreement will be terminated and the Participant will no longer be entitled to any benefits under such Employment Agreement upon execution of this Agreement and participation in the Plan.</w:t>
      </w:r>
    </w:p>
    <w:p>
      <w:pPr>
        <w:spacing w:after="0" w:line="1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Participant further acknowledges and agrees that Section 3 of the Plan contains certain Restrictive Covenants, including covenants prohibiting competition, solicitation and disparagement. By signing this Participation Agreement, Participant is subject to the prohibited activities and Restrictive Covenants in Section 3 of the Plan, and Participant acknowledges and agrees that the violation of the provisions of Section 3 of the Plan may result in a loss of benefits under the Plan.</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parties has executed this Agreement, in the case of the Company by its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as of the day and year written below, effective as of the Effective Date written above.</w:t>
      </w:r>
    </w:p>
    <w:p>
      <w:pPr>
        <w:spacing w:after="0" w:line="311"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22"/>
          <w:szCs w:val="22"/>
          <w:b w:val="1"/>
          <w:bCs w:val="1"/>
          <w:color w:val="auto"/>
        </w:rPr>
        <w:t>DIAMONDBACK ENERGY, INC.</w:t>
      </w:r>
      <w:r>
        <w:rPr>
          <w:sz w:val="20"/>
          <w:szCs w:val="20"/>
          <w:color w:val="auto"/>
        </w:rPr>
        <w:tab/>
      </w: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24765</wp:posOffset>
            </wp:positionV>
            <wp:extent cx="6663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Travis Stice, Chief Executive Officer</w:t>
      </w:r>
    </w:p>
    <w:p>
      <w:pPr>
        <w:spacing w:after="0" w:line="44" w:lineRule="exact"/>
        <w:rPr>
          <w:sz w:val="20"/>
          <w:szCs w:val="20"/>
          <w:color w:val="auto"/>
        </w:rPr>
      </w:pPr>
    </w:p>
    <w:p>
      <w:pPr>
        <w:ind w:left="40"/>
        <w:spacing w:after="0"/>
        <w:tabs>
          <w:tab w:leader="none" w:pos="940" w:val="left"/>
          <w:tab w:leader="none" w:pos="6640" w:val="left"/>
          <w:tab w:leader="none" w:pos="75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February __, 2020</w:t>
      </w:r>
      <w:r>
        <w:rPr>
          <w:sz w:val="20"/>
          <w:szCs w:val="20"/>
          <w:color w:val="auto"/>
        </w:rPr>
        <w:tab/>
      </w:r>
      <w:r>
        <w:rPr>
          <w:rFonts w:ascii="Arial" w:cs="Arial" w:eastAsia="Arial" w:hAnsi="Arial"/>
          <w:sz w:val="22"/>
          <w:szCs w:val="22"/>
          <w:color w:val="auto"/>
        </w:rPr>
        <w:t>Dated:</w:t>
      </w:r>
      <w:r>
        <w:rPr>
          <w:sz w:val="20"/>
          <w:szCs w:val="20"/>
          <w:color w:val="auto"/>
        </w:rPr>
        <w:tab/>
      </w:r>
      <w:r>
        <w:rPr>
          <w:rFonts w:ascii="Arial" w:cs="Arial" w:eastAsia="Arial" w:hAnsi="Arial"/>
          <w:sz w:val="19"/>
          <w:szCs w:val="19"/>
          <w:color w:val="auto"/>
        </w:rPr>
        <w:t>February __, 2020</w:t>
      </w:r>
    </w:p>
    <w:p>
      <w:pPr>
        <w:sectPr>
          <w:pgSz w:w="11900" w:h="16838" w:orient="portrait"/>
          <w:cols w:equalWidth="0" w:num="1">
            <w:col w:w="11420"/>
          </w:cols>
          <w:pgMar w:left="240" w:top="598" w:right="239" w:bottom="1440" w:gutter="0" w:footer="0" w:header="0"/>
        </w:sectPr>
      </w:pPr>
    </w:p>
    <w:bookmarkStart w:id="210" w:name="page211"/>
    <w:bookmarkEnd w:id="210"/>
    <w:p>
      <w:pPr>
        <w:ind w:left="4920"/>
        <w:spacing w:after="0"/>
        <w:rPr>
          <w:sz w:val="20"/>
          <w:szCs w:val="20"/>
          <w:color w:val="auto"/>
        </w:rPr>
      </w:pPr>
      <w:r>
        <w:rPr>
          <w:rFonts w:ascii="Arial" w:cs="Arial" w:eastAsia="Arial" w:hAnsi="Arial"/>
          <w:sz w:val="22"/>
          <w:szCs w:val="22"/>
          <w:b w:val="1"/>
          <w:bCs w:val="1"/>
          <w:color w:val="auto"/>
        </w:rPr>
        <w:t>SCHEDULE C-2</w:t>
      </w:r>
    </w:p>
    <w:p>
      <w:pPr>
        <w:spacing w:after="0" w:line="220"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[PARTICIPATION AGREEMENT FOR TRAVIS D. STICE]</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PARTICIPATION AGREEMENT</w:t>
      </w:r>
    </w:p>
    <w:p>
      <w:pPr>
        <w:spacing w:after="0" w:line="2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DIAMONDBACK ENERGY, INC.</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EXECUTIVE SEVERANCE PLAN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Participation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by and between Travis D. Stice (the “</w:t>
      </w:r>
      <w:r>
        <w:rPr>
          <w:rFonts w:ascii="Arial" w:cs="Arial" w:eastAsia="Arial" w:hAnsi="Arial"/>
          <w:sz w:val="22"/>
          <w:szCs w:val="22"/>
          <w:b w:val="1"/>
          <w:bCs w:val="1"/>
          <w:color w:val="auto"/>
        </w:rPr>
        <w:t>Participant</w:t>
      </w:r>
      <w:r>
        <w:rPr>
          <w:rFonts w:ascii="Arial" w:cs="Arial" w:eastAsia="Arial" w:hAnsi="Arial"/>
          <w:sz w:val="22"/>
          <w:szCs w:val="22"/>
          <w:color w:val="auto"/>
        </w:rPr>
        <w:t>”) and Diamondback Energy,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effective as of February 20,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The Company maintains the Diamondback Energy, Inc. Senior Management Severance Plan (the “</w:t>
      </w:r>
      <w:r>
        <w:rPr>
          <w:rFonts w:ascii="Arial" w:cs="Arial" w:eastAsia="Arial" w:hAnsi="Arial"/>
          <w:sz w:val="19"/>
          <w:szCs w:val="19"/>
          <w:b w:val="1"/>
          <w:bCs w:val="1"/>
          <w:color w:val="auto"/>
        </w:rPr>
        <w:t>Plan</w:t>
      </w:r>
      <w:r>
        <w:rPr>
          <w:rFonts w:ascii="Arial" w:cs="Arial" w:eastAsia="Arial" w:hAnsi="Arial"/>
          <w:sz w:val="19"/>
          <w:szCs w:val="19"/>
          <w:color w:val="auto"/>
        </w:rPr>
        <w:t>”) to provide for specified severance benefits in connection with certain Eligible Terminations (as defined in the Plan). You have been selected by the Plan Administrator to be a Participant in the Plan. The Participant hereby acknowledges that Participant has read and understands the terms of the Plan and agrees to participate in the Plan. The Executive also expressly acknowledges and agrees that participation in the Plan replaces and supersedes the Employment Agreement made by and between Diamondback E&amp;P LLC, a wholly owned subsidiary of the Company, and the Participant dated April 18, 2014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and that such Employment Agreement will be terminated and the Participant will no longer be entitled to any benefits under such Employment Agreement upon execution of this Agreement and participation in the Plan.</w:t>
      </w:r>
    </w:p>
    <w:p>
      <w:pPr>
        <w:spacing w:after="0" w:line="1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Participant further acknowledges and agrees that Section 3 of the Plan contains certain Restrictive Covenants, including covenants prohibiting competition, solicitation and disparagement. By signing this Participation Agreement, Participant is subject to the prohibited activities and Restrictive Covenants in Section 3 of the Plan, and Participant acknowledges and agrees that the violation of the provisions of Section 3 of the Plan may result in a loss of benefits under the Plan.</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parties agree to the following additional provisions that will govern Participant’s benefits under the Plan (capitalized terms have the meaning as defined in the Plan), which provisions are intended to maintain certain specified benefits under the Employment Agreement that are consistent with prior public disclosure:</w:t>
      </w:r>
    </w:p>
    <w:p>
      <w:pPr>
        <w:spacing w:after="0" w:line="186" w:lineRule="exact"/>
        <w:rPr>
          <w:sz w:val="20"/>
          <w:szCs w:val="20"/>
          <w:color w:val="auto"/>
        </w:rPr>
      </w:pPr>
    </w:p>
    <w:p>
      <w:pPr>
        <w:ind w:firstLine="656"/>
        <w:spacing w:after="0" w:line="263" w:lineRule="auto"/>
        <w:tabs>
          <w:tab w:leader="none" w:pos="10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terms of each outstanding equity award granted to Executive by the Company or any Affiliate will provide that such equity award will become 100% vested upon the occurrence of an Eligible Termination.</w:t>
      </w:r>
    </w:p>
    <w:p>
      <w:pPr>
        <w:spacing w:after="0" w:line="174" w:lineRule="exact"/>
        <w:rPr>
          <w:rFonts w:ascii="Arial" w:cs="Arial" w:eastAsia="Arial" w:hAnsi="Arial"/>
          <w:sz w:val="22"/>
          <w:szCs w:val="22"/>
          <w:color w:val="auto"/>
        </w:rPr>
      </w:pPr>
    </w:p>
    <w:p>
      <w:pPr>
        <w:jc w:val="both"/>
        <w:ind w:firstLine="656"/>
        <w:spacing w:after="0" w:line="263" w:lineRule="auto"/>
        <w:tabs>
          <w:tab w:leader="none" w:pos="1059"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terms of each outstanding performance based equity award granted to Executive by the Company or any Affiliate will provide that, upon the occurrence of an Eligible Termination that results from a termination of the Participant’s employment with the Employer without Cause or a resignation by the Participant for Good Reason, any such outstanding performance based equity award will be determined assuming the performance criteria thereunder had been achieved at the maximum level under the equity award agreement and will be settled within 10 business after the vesting event.</w:t>
      </w:r>
    </w:p>
    <w:p>
      <w:pPr>
        <w:spacing w:after="0" w:line="175" w:lineRule="exact"/>
        <w:rPr>
          <w:rFonts w:ascii="Arial" w:cs="Arial" w:eastAsia="Arial" w:hAnsi="Arial"/>
          <w:sz w:val="21"/>
          <w:szCs w:val="21"/>
          <w:color w:val="auto"/>
        </w:rPr>
      </w:pPr>
    </w:p>
    <w:p>
      <w:pPr>
        <w:ind w:firstLine="656"/>
        <w:spacing w:after="0" w:line="263" w:lineRule="auto"/>
        <w:tabs>
          <w:tab w:leader="none" w:pos="1046" w:val="left"/>
        </w:tabs>
        <w:numPr>
          <w:ilvl w:val="0"/>
          <w:numId w:val="93"/>
        </w:numPr>
        <w:rPr>
          <w:rFonts w:ascii="Arial" w:cs="Arial" w:eastAsia="Arial" w:hAnsi="Arial"/>
          <w:sz w:val="22"/>
          <w:szCs w:val="22"/>
          <w:color w:val="auto"/>
        </w:rPr>
      </w:pPr>
      <w:r>
        <w:rPr>
          <w:rFonts w:ascii="Arial" w:cs="Arial" w:eastAsia="Arial" w:hAnsi="Arial"/>
          <w:sz w:val="22"/>
          <w:szCs w:val="22"/>
          <w:color w:val="auto"/>
        </w:rPr>
        <w:t>Upon the occurrence of an Eligible Termination on account of Participant’s death or Disability, in addition to any other benefits that Participant would be entitled to under the Plan,</w:t>
      </w:r>
    </w:p>
    <w:p>
      <w:pPr>
        <w:sectPr>
          <w:pgSz w:w="11900" w:h="16838" w:orient="portrait"/>
          <w:cols w:equalWidth="0" w:num="1">
            <w:col w:w="11420"/>
          </w:cols>
          <w:pgMar w:left="240" w:top="598" w:right="239" w:bottom="1440" w:gutter="0" w:footer="0" w:header="0"/>
        </w:sectPr>
      </w:pPr>
    </w:p>
    <w:bookmarkStart w:id="211" w:name="page212"/>
    <w:bookmarkEnd w:id="211"/>
    <w:p>
      <w:pPr>
        <w:jc w:val="both"/>
        <w:spacing w:after="0" w:line="292" w:lineRule="auto"/>
        <w:rPr>
          <w:sz w:val="20"/>
          <w:szCs w:val="20"/>
          <w:color w:val="auto"/>
        </w:rPr>
      </w:pPr>
      <w:r>
        <w:rPr>
          <w:rFonts w:ascii="Arial" w:cs="Arial" w:eastAsia="Arial" w:hAnsi="Arial"/>
          <w:sz w:val="19"/>
          <w:szCs w:val="19"/>
          <w:color w:val="auto"/>
        </w:rPr>
        <w:t>the Employer will pay one hundred percent (100%) of the premiums to continue Participant’s and any of Participant’s spouse’s and eligible dependents’ group health plan continuation coverage under COBRA (provided that such individuals are qualified beneficiaries who are eligible and timely elect COBRA continuation coverage) until the earlier of eighteen (18) months after Participant’s termination of employment causes a loss of group health plan coverage and the first date that Participant and Participant’s spouse or eligible dependents are covered under another employer’s program or the Employer is no longer obligated to offer COBRA continuation coverage to any such qualified beneficiary, provided that the Employer is providing such qualified beneficiaries with group health plan coverage at the time of Participant’s termination of employment.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604" w:right="239" w:bottom="1440" w:gutter="0" w:footer="0" w:header="0"/>
        </w:sectPr>
      </w:pPr>
    </w:p>
    <w:bookmarkStart w:id="212" w:name="page213"/>
    <w:bookmarkEnd w:id="212"/>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parties has executed this Agreement, in the case of the Company by its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as of the day and year written below, effective as of the Effective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54875" cy="1800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7254875" cy="1800860"/>
                    </a:xfrm>
                    <a:prstGeom prst="rect">
                      <a:avLst/>
                    </a:prstGeom>
                    <a:noFill/>
                  </pic:spPr>
                </pic:pic>
              </a:graphicData>
            </a:graphic>
          </wp:anchor>
        </w:drawing>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860" w:type="dxa"/>
            <w:vAlign w:val="bottom"/>
          </w:tcPr>
          <w:p>
            <w:pPr>
              <w:spacing w:after="0"/>
              <w:rPr>
                <w:sz w:val="20"/>
                <w:szCs w:val="20"/>
                <w:color w:val="auto"/>
              </w:rPr>
            </w:pPr>
            <w:r>
              <w:rPr>
                <w:rFonts w:ascii="Arial" w:cs="Arial" w:eastAsia="Arial" w:hAnsi="Arial"/>
                <w:sz w:val="22"/>
                <w:szCs w:val="22"/>
                <w:b w:val="1"/>
                <w:bCs w:val="1"/>
                <w:color w:val="auto"/>
              </w:rPr>
              <w:t>DIAMONDBACK ENERGY, INC.</w:t>
            </w:r>
          </w:p>
        </w:tc>
        <w:tc>
          <w:tcPr>
            <w:tcW w:w="4540" w:type="dxa"/>
            <w:vAlign w:val="bottom"/>
          </w:tcPr>
          <w:p>
            <w:pPr>
              <w:ind w:left="860"/>
              <w:spacing w:after="0"/>
              <w:rPr>
                <w:sz w:val="20"/>
                <w:szCs w:val="20"/>
                <w:color w:val="auto"/>
              </w:rPr>
            </w:pPr>
            <w:r>
              <w:rPr>
                <w:rFonts w:ascii="Arial" w:cs="Arial" w:eastAsia="Arial" w:hAnsi="Arial"/>
                <w:sz w:val="22"/>
                <w:szCs w:val="22"/>
                <w:b w:val="1"/>
                <w:bCs w:val="1"/>
                <w:color w:val="auto"/>
              </w:rPr>
              <w:t>PARTICIPANT</w:t>
            </w:r>
          </w:p>
        </w:tc>
      </w:tr>
      <w:tr>
        <w:trPr>
          <w:trHeight w:val="905"/>
        </w:trPr>
        <w:tc>
          <w:tcPr>
            <w:tcW w:w="4860" w:type="dxa"/>
            <w:vAlign w:val="bottom"/>
          </w:tcPr>
          <w:p>
            <w:pPr>
              <w:spacing w:after="0"/>
              <w:rPr>
                <w:sz w:val="20"/>
                <w:szCs w:val="20"/>
                <w:color w:val="auto"/>
              </w:rPr>
            </w:pPr>
            <w:r>
              <w:rPr>
                <w:rFonts w:ascii="Arial" w:cs="Arial" w:eastAsia="Arial" w:hAnsi="Arial"/>
                <w:sz w:val="22"/>
                <w:szCs w:val="22"/>
                <w:color w:val="auto"/>
              </w:rPr>
              <w:t>By:__________________________________</w:t>
            </w:r>
          </w:p>
        </w:tc>
        <w:tc>
          <w:tcPr>
            <w:tcW w:w="4540" w:type="dxa"/>
            <w:vAlign w:val="bottom"/>
          </w:tcPr>
          <w:p>
            <w:pPr>
              <w:ind w:left="860"/>
              <w:spacing w:after="0"/>
              <w:rPr>
                <w:sz w:val="20"/>
                <w:szCs w:val="20"/>
                <w:color w:val="auto"/>
              </w:rPr>
            </w:pPr>
            <w:r>
              <w:rPr>
                <w:rFonts w:ascii="Arial" w:cs="Arial" w:eastAsia="Arial" w:hAnsi="Arial"/>
                <w:sz w:val="22"/>
                <w:szCs w:val="22"/>
                <w:b w:val="1"/>
                <w:bCs w:val="1"/>
                <w:color w:val="auto"/>
                <w:w w:val="87"/>
              </w:rPr>
              <w:t>__________________________________</w:t>
            </w:r>
          </w:p>
        </w:tc>
      </w:tr>
    </w:tbl>
    <w:p>
      <w:pPr>
        <w:ind w:left="340" w:right="4360" w:firstLine="6"/>
        <w:spacing w:after="0" w:line="237" w:lineRule="auto"/>
        <w:tabs>
          <w:tab w:leader="none" w:pos="6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Matt Zmigrosky, Executive Vice President, General Travis D. Stice Counsel and Secretary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February __, 2020</w:t>
      </w:r>
    </w:p>
    <w:p>
      <w:pPr>
        <w:spacing w:after="0" w:line="179"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Dated: February __, 2020</w:t>
      </w:r>
    </w:p>
    <w:p>
      <w:pPr>
        <w:sectPr>
          <w:pgSz w:w="11900" w:h="16838" w:orient="portrait"/>
          <w:cols w:equalWidth="0" w:num="1">
            <w:col w:w="11420"/>
          </w:cols>
          <w:pgMar w:left="240" w:top="1071"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tcPr>
          <w:p>
            <w:pPr>
              <w:ind w:left="6880"/>
              <w:spacing w:after="0"/>
              <w:rPr>
                <w:sz w:val="20"/>
                <w:szCs w:val="20"/>
                <w:color w:val="auto"/>
              </w:rPr>
            </w:pPr>
            <w:r>
              <w:rPr>
                <w:rFonts w:ascii="Arial" w:cs="Arial" w:eastAsia="Arial" w:hAnsi="Arial"/>
                <w:sz w:val="18"/>
                <w:szCs w:val="18"/>
                <w:b w:val="1"/>
                <w:bCs w:val="1"/>
                <w:color w:val="auto"/>
                <w:w w:val="91"/>
              </w:rPr>
              <w:t>Exhibit 21.1</w:t>
            </w:r>
          </w:p>
        </w:tc>
      </w:tr>
      <w:tr>
        <w:trPr>
          <w:trHeight w:val="414"/>
        </w:trPr>
        <w:tc>
          <w:tcPr>
            <w:tcW w:w="3600" w:type="dxa"/>
            <w:vAlign w:val="bottom"/>
          </w:tcPr>
          <w:p>
            <w:pPr>
              <w:spacing w:after="0"/>
              <w:rPr>
                <w:sz w:val="24"/>
                <w:szCs w:val="24"/>
                <w:color w:val="auto"/>
              </w:rPr>
            </w:pPr>
          </w:p>
        </w:tc>
        <w:tc>
          <w:tcPr>
            <w:tcW w:w="7820" w:type="dxa"/>
            <w:vAlign w:val="bottom"/>
          </w:tcPr>
          <w:p>
            <w:pPr>
              <w:jc w:val="center"/>
              <w:ind w:right="351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600" w:type="dxa"/>
            <w:vAlign w:val="bottom"/>
          </w:tcPr>
          <w:p>
            <w:pPr>
              <w:spacing w:after="0"/>
              <w:rPr>
                <w:sz w:val="20"/>
                <w:szCs w:val="20"/>
                <w:color w:val="auto"/>
              </w:rPr>
            </w:pPr>
          </w:p>
        </w:tc>
        <w:tc>
          <w:tcPr>
            <w:tcW w:w="7820" w:type="dxa"/>
            <w:vAlign w:val="bottom"/>
          </w:tcPr>
          <w:p>
            <w:pPr>
              <w:jc w:val="center"/>
              <w:ind w:right="3510"/>
              <w:spacing w:after="0"/>
              <w:rPr>
                <w:sz w:val="20"/>
                <w:szCs w:val="20"/>
                <w:color w:val="auto"/>
              </w:rPr>
            </w:pPr>
            <w:r>
              <w:rPr>
                <w:rFonts w:ascii="Arial" w:cs="Arial" w:eastAsia="Arial" w:hAnsi="Arial"/>
                <w:sz w:val="18"/>
                <w:szCs w:val="18"/>
                <w:b w:val="1"/>
                <w:bCs w:val="1"/>
                <w:color w:val="auto"/>
                <w:w w:val="88"/>
              </w:rPr>
              <w:t>Subsidiaries of Registrant</w:t>
            </w:r>
          </w:p>
        </w:tc>
      </w:tr>
      <w:tr>
        <w:trPr>
          <w:trHeight w:val="135"/>
        </w:trPr>
        <w:tc>
          <w:tcPr>
            <w:tcW w:w="3600" w:type="dxa"/>
            <w:vAlign w:val="bottom"/>
            <w:tcBorders>
              <w:bottom w:val="single" w:sz="8" w:color="auto"/>
            </w:tcBorders>
          </w:tcPr>
          <w:p>
            <w:pPr>
              <w:spacing w:after="0"/>
              <w:rPr>
                <w:sz w:val="11"/>
                <w:szCs w:val="11"/>
                <w:color w:val="auto"/>
              </w:rPr>
            </w:pPr>
          </w:p>
        </w:tc>
        <w:tc>
          <w:tcPr>
            <w:tcW w:w="7820" w:type="dxa"/>
            <w:vAlign w:val="bottom"/>
            <w:tcBorders>
              <w:bottom w:val="single" w:sz="8" w:color="auto"/>
            </w:tcBorders>
          </w:tcPr>
          <w:p>
            <w:pPr>
              <w:spacing w:after="0"/>
              <w:rPr>
                <w:sz w:val="11"/>
                <w:szCs w:val="1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7820" w:type="dxa"/>
            <w:vAlign w:val="bottom"/>
          </w:tcPr>
          <w:p>
            <w:pPr>
              <w:jc w:val="center"/>
              <w:ind w:left="50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36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 E&amp;P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Diamondback O&amp;G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Energen Corporation</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90"/>
              </w:rPr>
              <w:t>Alabama</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Energen Resources Corporation</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90"/>
              </w:rPr>
              <w:t>Alabama</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EGN Services, Inc.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90"/>
              </w:rPr>
              <w:t>Alabama</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Midstream GP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Midstream Operating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Midstream LP</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Tall City Towers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Ajax Processing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OMOG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Viper Energy Partners GP</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Energy Partners LP</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Viper Energy Partners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553"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23.1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issued our reports dated February 26, 2020, with respect to the consolidated financial statements and internal control over financial reporting included in the Annual Report of Diamondback Energy, Inc. on Form 10-K for the year ended December 31, 2019. We consent to the incorporation by reference of said reports in the Registration Statements of Diamondback Energy, Inc. on Forms S-3ASR (File No. 333-218346, effective May 30, 2017), (File No. 333-228584, effective November 29, 2018) and (File No. 333-234764 effective November 18, 2019), and on Forms S-8 (File No. 333-188552, effective May 13, 2013), (File No. 333-215798, effective January 27, 2017), (File No. 333-228637, effective November 30, 2018) and (File No. 333-235671, effective December 23, 2019).</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554"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23.2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issued our report dated January 10, 2020 on estimates of proved reserves, future production and income attributable to certain leasehold interest of Diamondback Energy, Inc. (“Diamondback”) as of December 31, 2019.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333-218346, effective May 30, 2017), (File No. 333-228584, effective November 29, 2018) and (File No. 333-234764 effective November 18, 2019), and on Forms S-8 (File No. 333-188552, effective May 13, 2013), (File No. 333-215798, effective January 27, 2017), (File No. 333-228637, effective November 30, 2018) and (File No. 333-235671, effective December 23, 2019).</w:t>
      </w:r>
    </w:p>
    <w:p>
      <w:pPr>
        <w:spacing w:after="0" w:line="200" w:lineRule="exact"/>
        <w:rPr>
          <w:sz w:val="20"/>
          <w:szCs w:val="20"/>
          <w:color w:val="auto"/>
        </w:rPr>
      </w:pPr>
    </w:p>
    <w:p>
      <w:pPr>
        <w:spacing w:after="0" w:line="25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84"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603"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b w:val="1"/>
          <w:bCs w:val="1"/>
          <w:color w:val="auto"/>
        </w:rPr>
        <w:t>Exhibit 23.3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issued our report dated January 10, 2020 on estimates of proved reserves, future production and income attributable to certain royalty interests of Viper Energy Partners LP, a subsidiary of Diamondback Energy, Inc. (“Diamondback”), as of December 31, 2019.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333-218346, effective May 30, 2017), (File No. 333-228584, effective November 29, 2018) and (File No. 333-234764 effective November 18, 2019), and on Forms S-8 (File No. 333-188552, effective May 13, 2013), (File No. 333-215798, effective January 27, 2017), (File No. 333-228637, effective November 30, 2018) and (File No. 333-235671, effective December 23, 2019).</w:t>
      </w:r>
    </w:p>
    <w:p>
      <w:pPr>
        <w:spacing w:after="0" w:line="131"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0"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603"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4"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90" w:lineRule="exact"/>
        <w:rPr>
          <w:sz w:val="20"/>
          <w:szCs w:val="20"/>
          <w:color w:val="auto"/>
        </w:rPr>
      </w:pPr>
    </w:p>
    <w:p>
      <w:pPr>
        <w:ind w:left="460" w:hanging="438"/>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 Kaes Van't Hof,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6"/>
          <w:szCs w:val="16"/>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80"/>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10795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RYDER SCOTT COMPANY, L.P.</w:t>
      </w:r>
    </w:p>
    <w:p>
      <w:pPr>
        <w:jc w:val="center"/>
        <w:ind w:right="1180"/>
        <w:spacing w:after="0"/>
        <w:rPr>
          <w:sz w:val="20"/>
          <w:szCs w:val="20"/>
          <w:color w:val="auto"/>
        </w:rPr>
      </w:pPr>
      <w:r>
        <w:rPr>
          <w:rFonts w:ascii="Arial" w:cs="Arial" w:eastAsia="Arial" w:hAnsi="Arial"/>
          <w:sz w:val="20"/>
          <w:szCs w:val="20"/>
          <w:color w:val="auto"/>
        </w:rPr>
        <w:t>TBPE Firm Registration No. F-1580</w:t>
      </w:r>
    </w:p>
    <w:p>
      <w:pPr>
        <w:spacing w:after="0" w:line="201"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337" w:right="2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January 10,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leasehold and royalty interests of Diamondback Energy, Inc. (Diamondback) as of December 31, 2019.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7, 2020 and presented herein, was prepared for public disclosure by Diamondback in filings made with the SEC in accordance with the disclosure requirements set forth in the SEC regulations.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Diamondback as of December 31, 2019.</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2019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6" w:lineRule="exact"/>
        <w:rPr>
          <w:sz w:val="20"/>
          <w:szCs w:val="20"/>
          <w:color w:val="auto"/>
        </w:rPr>
      </w:pPr>
    </w:p>
    <w:p>
      <w:pPr>
        <w:ind w:left="1800" w:right="3080"/>
        <w:spacing w:after="0" w:line="258" w:lineRule="auto"/>
        <w:rPr>
          <w:sz w:val="20"/>
          <w:szCs w:val="20"/>
          <w:color w:val="auto"/>
        </w:rPr>
      </w:pPr>
      <w:r>
        <w:rPr>
          <w:rFonts w:ascii="Arial" w:cs="Arial" w:eastAsia="Arial" w:hAnsi="Arial"/>
          <w:sz w:val="14"/>
          <w:szCs w:val="14"/>
          <w:color w:val="auto"/>
        </w:rPr>
        <w:t>SUITE 800, 350 7TH AVENUE, S.W. CALGARY, ALBERTA T2P 3N9 TEL (403) 262-2799 FAX (403) 262-2790 633 17TH STREET, SUITE 1700 DENVER, COLORADO 80202 TEL (303) 339-8110</w:t>
      </w:r>
    </w:p>
    <w:p>
      <w:pPr>
        <w:sectPr>
          <w:pgSz w:w="11900" w:h="16838" w:orient="portrait"/>
          <w:cols w:equalWidth="0" w:num="1">
            <w:col w:w="11420"/>
          </w:cols>
          <w:pgMar w:left="240" w:top="136" w:right="2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Leasehold and Royalty Interests of</w:t>
      </w:r>
    </w:p>
    <w:p>
      <w:pPr>
        <w:ind w:left="4520"/>
        <w:spacing w:after="0"/>
        <w:rPr>
          <w:sz w:val="20"/>
          <w:szCs w:val="20"/>
          <w:color w:val="auto"/>
        </w:rPr>
      </w:pPr>
      <w:r>
        <w:rPr>
          <w:rFonts w:ascii="Arial" w:cs="Arial" w:eastAsia="Arial" w:hAnsi="Arial"/>
          <w:sz w:val="20"/>
          <w:szCs w:val="20"/>
          <w:b w:val="1"/>
          <w:bCs w:val="1"/>
          <w:color w:val="auto"/>
        </w:rPr>
        <w:t xml:space="preserve">Diamondback </w:t>
      </w:r>
      <w:r>
        <w:rPr>
          <w:rFonts w:ascii="Arial" w:cs="Arial" w:eastAsia="Arial" w:hAnsi="Arial"/>
          <w:sz w:val="18"/>
          <w:szCs w:val="18"/>
          <w:b w:val="1"/>
          <w:bCs w:val="1"/>
          <w:color w:val="auto"/>
        </w:rPr>
        <w:t>Energy, Inc.</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620"/>
              <w:spacing w:after="0"/>
              <w:rPr>
                <w:sz w:val="20"/>
                <w:szCs w:val="20"/>
                <w:color w:val="auto"/>
              </w:rPr>
            </w:pPr>
            <w:r>
              <w:rPr>
                <w:rFonts w:ascii="Arial" w:cs="Arial" w:eastAsia="Arial" w:hAnsi="Arial"/>
                <w:sz w:val="18"/>
                <w:szCs w:val="18"/>
                <w:color w:val="auto"/>
                <w:w w:val="98"/>
              </w:rPr>
              <w:t>Proved</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20" w:type="dxa"/>
            <w:vAlign w:val="bottom"/>
            <w:gridSpan w:val="3"/>
          </w:tcPr>
          <w:p>
            <w:pPr>
              <w:ind w:left="460"/>
              <w:spacing w:after="0"/>
              <w:rPr>
                <w:sz w:val="20"/>
                <w:szCs w:val="20"/>
                <w:color w:val="auto"/>
              </w:rPr>
            </w:pPr>
            <w:r>
              <w:rPr>
                <w:rFonts w:ascii="Arial" w:cs="Arial" w:eastAsia="Arial" w:hAnsi="Arial"/>
                <w:sz w:val="18"/>
                <w:szCs w:val="18"/>
                <w:color w:val="auto"/>
              </w:rPr>
              <w:t>Developed</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120" w:type="dxa"/>
            <w:vAlign w:val="bottom"/>
            <w:gridSpan w:val="3"/>
          </w:tcPr>
          <w:p>
            <w:pPr>
              <w:ind w:left="480"/>
              <w:spacing w:after="0"/>
              <w:rPr>
                <w:sz w:val="20"/>
                <w:szCs w:val="20"/>
                <w:color w:val="auto"/>
              </w:rPr>
            </w:pPr>
            <w:r>
              <w:rPr>
                <w:rFonts w:ascii="Arial" w:cs="Arial" w:eastAsia="Arial" w:hAnsi="Arial"/>
                <w:sz w:val="18"/>
                <w:szCs w:val="18"/>
                <w:color w:val="auto"/>
              </w:rPr>
              <w:t>Producing</w:t>
            </w:r>
          </w:p>
        </w:tc>
        <w:tc>
          <w:tcPr>
            <w:tcW w:w="300" w:type="dxa"/>
            <w:vAlign w:val="bottom"/>
          </w:tcPr>
          <w:p>
            <w:pPr>
              <w:spacing w:after="0"/>
              <w:rPr>
                <w:sz w:val="23"/>
                <w:szCs w:val="23"/>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Undeveloped</w:t>
            </w:r>
          </w:p>
        </w:tc>
        <w:tc>
          <w:tcPr>
            <w:tcW w:w="4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33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416,226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240,257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656,483</w:t>
            </w:r>
          </w:p>
        </w:tc>
        <w:tc>
          <w:tcPr>
            <w:tcW w:w="0" w:type="dxa"/>
            <w:vAlign w:val="bottom"/>
          </w:tcPr>
          <w:p>
            <w:pPr>
              <w:spacing w:after="0"/>
              <w:rPr>
                <w:sz w:val="1"/>
                <w:szCs w:val="1"/>
                <w:color w:val="auto"/>
              </w:rPr>
            </w:pPr>
          </w:p>
        </w:tc>
      </w:tr>
      <w:tr>
        <w:trPr>
          <w:trHeight w:val="270"/>
        </w:trPr>
        <w:tc>
          <w:tcPr>
            <w:tcW w:w="330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7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150,179</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61,460</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211,639</w:t>
            </w:r>
          </w:p>
        </w:tc>
        <w:tc>
          <w:tcPr>
            <w:tcW w:w="0" w:type="dxa"/>
            <w:vAlign w:val="bottom"/>
          </w:tcPr>
          <w:p>
            <w:pPr>
              <w:spacing w:after="0"/>
              <w:rPr>
                <w:sz w:val="1"/>
                <w:szCs w:val="1"/>
                <w:color w:val="auto"/>
              </w:rPr>
            </w:pPr>
          </w:p>
        </w:tc>
      </w:tr>
      <w:tr>
        <w:trPr>
          <w:trHeight w:val="270"/>
        </w:trPr>
        <w:tc>
          <w:tcPr>
            <w:tcW w:w="330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7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744,023</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279,014</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1,023,037</w:t>
            </w:r>
          </w:p>
        </w:tc>
        <w:tc>
          <w:tcPr>
            <w:tcW w:w="0" w:type="dxa"/>
            <w:vAlign w:val="bottom"/>
          </w:tcPr>
          <w:p>
            <w:pPr>
              <w:spacing w:after="0"/>
              <w:rPr>
                <w:sz w:val="1"/>
                <w:szCs w:val="1"/>
                <w:color w:val="auto"/>
              </w:rPr>
            </w:pPr>
          </w:p>
        </w:tc>
      </w:tr>
      <w:tr>
        <w:trPr>
          <w:trHeight w:val="270"/>
        </w:trPr>
        <w:tc>
          <w:tcPr>
            <w:tcW w:w="3300" w:type="dxa"/>
            <w:vAlign w:val="bottom"/>
            <w:gridSpan w:val="3"/>
          </w:tcPr>
          <w:p>
            <w:pPr>
              <w:spacing w:after="0"/>
              <w:rPr>
                <w:sz w:val="20"/>
                <w:szCs w:val="20"/>
                <w:color w:val="auto"/>
              </w:rPr>
            </w:pPr>
            <w:r>
              <w:rPr>
                <w:rFonts w:ascii="Arial" w:cs="Arial" w:eastAsia="Arial" w:hAnsi="Arial"/>
                <w:sz w:val="18"/>
                <w:szCs w:val="18"/>
                <w:color w:val="auto"/>
              </w:rPr>
              <w:t>MBOE</w:t>
            </w:r>
          </w:p>
        </w:tc>
        <w:tc>
          <w:tcPr>
            <w:tcW w:w="7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690,409</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348,219</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1,038,628</w:t>
            </w:r>
          </w:p>
        </w:tc>
        <w:tc>
          <w:tcPr>
            <w:tcW w:w="0" w:type="dxa"/>
            <w:vAlign w:val="bottom"/>
          </w:tcPr>
          <w:p>
            <w:pPr>
              <w:spacing w:after="0"/>
              <w:rPr>
                <w:sz w:val="1"/>
                <w:szCs w:val="1"/>
                <w:color w:val="auto"/>
              </w:rPr>
            </w:pPr>
          </w:p>
        </w:tc>
      </w:tr>
      <w:tr>
        <w:trPr>
          <w:trHeight w:val="527"/>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9"/>
              </w:rPr>
              <w:t xml:space="preserve">Income Data </w:t>
            </w:r>
            <w:r>
              <w:rPr>
                <w:rFonts w:ascii="Arial" w:cs="Arial" w:eastAsia="Arial" w:hAnsi="Arial"/>
                <w:sz w:val="18"/>
                <w:szCs w:val="18"/>
                <w:b w:val="1"/>
                <w:bCs w:val="1"/>
                <w:i w:val="1"/>
                <w:iCs w:val="1"/>
                <w:u w:val="single" w:color="auto"/>
                <w:color w:val="auto"/>
                <w:w w:val="99"/>
              </w:rPr>
              <w:t>($</w:t>
            </w:r>
            <w:r>
              <w:rPr>
                <w:rFonts w:ascii="Arial" w:cs="Arial" w:eastAsia="Arial" w:hAnsi="Arial"/>
                <w:sz w:val="18"/>
                <w:szCs w:val="18"/>
                <w:b w:val="1"/>
                <w:bCs w:val="1"/>
                <w:i w:val="1"/>
                <w:iCs w:val="1"/>
                <w:color w:val="auto"/>
                <w:w w:val="99"/>
              </w:rPr>
              <w:t>M)</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0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22,880,661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$12,746,650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$35,627,311</w:t>
            </w:r>
          </w:p>
        </w:tc>
        <w:tc>
          <w:tcPr>
            <w:tcW w:w="0" w:type="dxa"/>
            <w:vAlign w:val="bottom"/>
          </w:tcPr>
          <w:p>
            <w:pPr>
              <w:spacing w:after="0"/>
              <w:rPr>
                <w:sz w:val="1"/>
                <w:szCs w:val="1"/>
                <w:color w:val="auto"/>
              </w:rPr>
            </w:pPr>
          </w:p>
        </w:tc>
      </w:tr>
      <w:tr>
        <w:trPr>
          <w:trHeight w:val="270"/>
        </w:trPr>
        <w:tc>
          <w:tcPr>
            <w:tcW w:w="330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7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7,909,371</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6,051,309</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13,960,680</w:t>
            </w:r>
          </w:p>
        </w:tc>
        <w:tc>
          <w:tcPr>
            <w:tcW w:w="0" w:type="dxa"/>
            <w:vAlign w:val="bottom"/>
          </w:tcPr>
          <w:p>
            <w:pPr>
              <w:spacing w:after="0"/>
              <w:rPr>
                <w:sz w:val="1"/>
                <w:szCs w:val="1"/>
                <w:color w:val="auto"/>
              </w:rPr>
            </w:pPr>
          </w:p>
        </w:tc>
      </w:tr>
      <w:tr>
        <w:trPr>
          <w:trHeight w:val="27"/>
        </w:trPr>
        <w:tc>
          <w:tcPr>
            <w:tcW w:w="3300" w:type="dxa"/>
            <w:vAlign w:val="bottom"/>
            <w:gridSpan w:val="3"/>
            <w:vMerge w:val="restart"/>
          </w:tcPr>
          <w:p>
            <w:pPr>
              <w:spacing w:after="0"/>
              <w:rPr>
                <w:sz w:val="20"/>
                <w:szCs w:val="20"/>
                <w:color w:val="auto"/>
              </w:rPr>
            </w:pPr>
            <w:r>
              <w:rPr>
                <w:rFonts w:ascii="Arial" w:cs="Arial" w:eastAsia="Arial" w:hAnsi="Arial"/>
                <w:sz w:val="18"/>
                <w:szCs w:val="18"/>
                <w:color w:val="auto"/>
              </w:rPr>
              <w:t>Future Net Income (FNI)</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gridSpan w:val="3"/>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14,971,290</w:t>
            </w:r>
          </w:p>
        </w:tc>
        <w:tc>
          <w:tcPr>
            <w:tcW w:w="36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6,695,341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$21,666,631</w:t>
            </w:r>
          </w:p>
        </w:tc>
        <w:tc>
          <w:tcPr>
            <w:tcW w:w="0" w:type="dxa"/>
            <w:vAlign w:val="bottom"/>
          </w:tcPr>
          <w:p>
            <w:pPr>
              <w:spacing w:after="0"/>
              <w:rPr>
                <w:sz w:val="1"/>
                <w:szCs w:val="1"/>
                <w:color w:val="auto"/>
              </w:rPr>
            </w:pPr>
          </w:p>
        </w:tc>
      </w:tr>
      <w:tr>
        <w:trPr>
          <w:trHeight w:val="567"/>
        </w:trPr>
        <w:tc>
          <w:tcPr>
            <w:tcW w:w="330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7,645,177</w:t>
            </w:r>
          </w:p>
        </w:tc>
        <w:tc>
          <w:tcPr>
            <w:tcW w:w="36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2,224,738</w:t>
            </w:r>
          </w:p>
        </w:tc>
        <w:tc>
          <w:tcPr>
            <w:tcW w:w="26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9,869,915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2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recompletion costs, development costs, and certain abandonment costs net of salvage. “Other” costs shown in the cash flow are variable production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99.6 percent and gas reserves account for the remaining 0.4 percent of total future gross revenue from proved reserves.</w:t>
      </w:r>
    </w:p>
    <w:p>
      <w:pPr>
        <w:spacing w:after="0" w:line="2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20" w:type="dxa"/>
            <w:vAlign w:val="bottom"/>
            <w:gridSpan w:val="2"/>
          </w:tcPr>
          <w:p>
            <w:pPr>
              <w:jc w:val="center"/>
              <w:spacing w:after="0"/>
              <w:rPr>
                <w:sz w:val="20"/>
                <w:szCs w:val="20"/>
                <w:color w:val="auto"/>
              </w:rPr>
            </w:pPr>
            <w:r>
              <w:rPr>
                <w:rFonts w:ascii="Arial" w:cs="Arial" w:eastAsia="Arial" w:hAnsi="Arial"/>
                <w:sz w:val="19"/>
                <w:szCs w:val="19"/>
                <w:color w:val="auto"/>
                <w:w w:val="99"/>
              </w:rPr>
              <w:t>Discounted Future Net Income ($M)</w:t>
            </w:r>
          </w:p>
        </w:tc>
      </w:tr>
      <w:tr>
        <w:trPr>
          <w:trHeight w:val="275"/>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As of December 31, 2019</w:t>
            </w:r>
          </w:p>
        </w:tc>
      </w:tr>
      <w:tr>
        <w:trPr>
          <w:trHeight w:val="259"/>
        </w:trPr>
        <w:tc>
          <w:tcPr>
            <w:tcW w:w="1760" w:type="dxa"/>
            <w:vAlign w:val="bottom"/>
          </w:tcPr>
          <w:p>
            <w:pPr>
              <w:jc w:val="center"/>
              <w:spacing w:after="0"/>
              <w:rPr>
                <w:sz w:val="20"/>
                <w:szCs w:val="20"/>
                <w:color w:val="auto"/>
              </w:rPr>
            </w:pPr>
            <w:r>
              <w:rPr>
                <w:rFonts w:ascii="Arial" w:cs="Arial" w:eastAsia="Arial" w:hAnsi="Arial"/>
                <w:sz w:val="19"/>
                <w:szCs w:val="19"/>
                <w:color w:val="auto"/>
              </w:rPr>
              <w:t>Discount Rate</w:t>
            </w: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00" w:type="dxa"/>
            <w:vAlign w:val="bottom"/>
          </w:tcPr>
          <w:p>
            <w:pPr>
              <w:jc w:val="center"/>
              <w:ind w:right="845"/>
              <w:spacing w:after="0"/>
              <w:rPr>
                <w:sz w:val="20"/>
                <w:szCs w:val="20"/>
                <w:color w:val="auto"/>
              </w:rPr>
            </w:pPr>
            <w:r>
              <w:rPr>
                <w:rFonts w:ascii="Arial" w:cs="Arial" w:eastAsia="Arial" w:hAnsi="Arial"/>
                <w:sz w:val="19"/>
                <w:szCs w:val="19"/>
                <w:color w:val="auto"/>
                <w:w w:val="94"/>
              </w:rPr>
              <w:t>Total</w:t>
            </w:r>
          </w:p>
        </w:tc>
      </w:tr>
      <w:tr>
        <w:trPr>
          <w:trHeight w:val="27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Borders>
              <w:bottom w:val="single" w:sz="8" w:color="auto"/>
            </w:tcBorders>
          </w:tcPr>
          <w:p>
            <w:pPr>
              <w:jc w:val="center"/>
              <w:ind w:right="845"/>
              <w:spacing w:after="0"/>
              <w:rPr>
                <w:sz w:val="20"/>
                <w:szCs w:val="20"/>
                <w:color w:val="auto"/>
              </w:rPr>
            </w:pPr>
            <w:r>
              <w:rPr>
                <w:rFonts w:ascii="Arial" w:cs="Arial" w:eastAsia="Arial" w:hAnsi="Arial"/>
                <w:sz w:val="19"/>
                <w:szCs w:val="19"/>
                <w:color w:val="auto"/>
                <w:w w:val="99"/>
              </w:rPr>
              <w:t>Proved</w:t>
            </w:r>
          </w:p>
        </w:tc>
      </w:tr>
      <w:tr>
        <w:trPr>
          <w:trHeight w:val="555"/>
        </w:trPr>
        <w:tc>
          <w:tcPr>
            <w:tcW w:w="1760" w:type="dxa"/>
            <w:vAlign w:val="bottom"/>
          </w:tcPr>
          <w:p>
            <w:pPr>
              <w:jc w:val="center"/>
              <w:spacing w:after="0"/>
              <w:rPr>
                <w:sz w:val="20"/>
                <w:szCs w:val="20"/>
                <w:color w:val="auto"/>
              </w:rPr>
            </w:pPr>
            <w:r>
              <w:rPr>
                <w:rFonts w:ascii="Arial" w:cs="Arial" w:eastAsia="Arial" w:hAnsi="Arial"/>
                <w:sz w:val="19"/>
                <w:szCs w:val="19"/>
                <w:color w:val="auto"/>
              </w:rPr>
              <w:t>5</w:t>
            </w:r>
          </w:p>
        </w:tc>
        <w:tc>
          <w:tcPr>
            <w:tcW w:w="4240" w:type="dxa"/>
            <w:vAlign w:val="bottom"/>
            <w:gridSpan w:val="3"/>
          </w:tcPr>
          <w:p>
            <w:pPr>
              <w:jc w:val="center"/>
              <w:ind w:left="710"/>
              <w:spacing w:after="0"/>
              <w:rPr>
                <w:sz w:val="20"/>
                <w:szCs w:val="20"/>
                <w:color w:val="auto"/>
              </w:rPr>
            </w:pPr>
            <w:r>
              <w:rPr>
                <w:rFonts w:ascii="Arial" w:cs="Arial" w:eastAsia="Arial" w:hAnsi="Arial"/>
                <w:sz w:val="18"/>
                <w:szCs w:val="18"/>
                <w:color w:val="auto"/>
                <w:w w:val="99"/>
              </w:rPr>
              <w:t>$13,460,920</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$7,874,082</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$6,597,195</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$5,045,936</w:t>
            </w:r>
          </w:p>
        </w:tc>
      </w:tr>
    </w:tbl>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evaluated herein.</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Diamondback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226" w:name="page227"/>
    <w:bookmarkEnd w:id="226"/>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80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2019 in those cases where such data were considered to be definitive. The data utilized in this analysis were furnished to Ryder Scott by Diamondback or obtained from public data sources and were considered sufficient for the purpose thereof. The remaining 20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27" w:name="page228"/>
    <w:bookmarkEnd w:id="227"/>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verification of the data furnished by Diamondback. We consider the factual data used in this report appropriate and sufficient for the purpose of preparing the estimates of reserves and future net revenues herein.</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Diamondback furnished us with the above mentioned average prices in effect on December 31, 2019.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summarizes the “benchmark prices” and “price reference” used for the geographic area included in the report. In certain geographic areas, the price reference and benchmark prices may be defined by contractual arrangements.</w:t>
      </w:r>
    </w:p>
    <w:p>
      <w:pPr>
        <w:spacing w:after="0" w:line="215"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23"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areas included in the report.</w:t>
      </w:r>
    </w:p>
    <w:p>
      <w:pPr>
        <w:spacing w:after="0" w:line="200" w:lineRule="exact"/>
        <w:rPr>
          <w:sz w:val="20"/>
          <w:szCs w:val="20"/>
          <w:color w:val="auto"/>
        </w:rPr>
      </w:pP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40" w:type="dxa"/>
            <w:vAlign w:val="bottom"/>
            <w:tcBorders>
              <w:top w:val="single" w:sz="8" w:color="00000A"/>
              <w:left w:val="single" w:sz="8" w:color="00000A"/>
              <w:right w:val="single" w:sz="8" w:color="00000A"/>
            </w:tcBorders>
          </w:tcPr>
          <w:p>
            <w:pPr>
              <w:spacing w:after="0"/>
              <w:rPr>
                <w:sz w:val="22"/>
                <w:szCs w:val="22"/>
                <w:color w:val="auto"/>
              </w:rPr>
            </w:pPr>
          </w:p>
        </w:tc>
        <w:tc>
          <w:tcPr>
            <w:tcW w:w="230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20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1940" w:type="dxa"/>
            <w:vAlign w:val="bottom"/>
            <w:tcBorders>
              <w:top w:val="single" w:sz="8" w:color="00000A"/>
              <w:right w:val="single" w:sz="8" w:color="00000A"/>
            </w:tcBorders>
          </w:tcPr>
          <w:p>
            <w:pPr>
              <w:spacing w:after="0"/>
              <w:rPr>
                <w:sz w:val="22"/>
                <w:szCs w:val="22"/>
                <w:color w:val="auto"/>
              </w:rPr>
            </w:pP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230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0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5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2300" w:type="dxa"/>
            <w:vAlign w:val="bottom"/>
            <w:tcBorders>
              <w:bottom w:val="single" w:sz="8" w:color="00000A"/>
              <w:right w:val="single" w:sz="8" w:color="00000A"/>
            </w:tcBorders>
          </w:tcPr>
          <w:p>
            <w:pPr>
              <w:ind w:left="80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5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30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20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64"/>
        </w:trPr>
        <w:tc>
          <w:tcPr>
            <w:tcW w:w="2540" w:type="dxa"/>
            <w:vAlign w:val="bottom"/>
            <w:tcBorders>
              <w:left w:val="single" w:sz="8" w:color="00000A"/>
              <w:right w:val="single" w:sz="8" w:color="00000A"/>
            </w:tcBorders>
          </w:tcPr>
          <w:p>
            <w:pPr>
              <w:spacing w:after="0"/>
              <w:rPr>
                <w:sz w:val="22"/>
                <w:szCs w:val="22"/>
                <w:color w:val="auto"/>
              </w:rPr>
            </w:pPr>
          </w:p>
        </w:tc>
        <w:tc>
          <w:tcPr>
            <w:tcW w:w="2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$55.69/bbl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$51.79/bbl</w:t>
            </w:r>
          </w:p>
        </w:tc>
      </w:tr>
      <w:tr>
        <w:trPr>
          <w:trHeight w:val="264"/>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$55.69/bbl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$15.64/bbl</w:t>
            </w:r>
          </w:p>
        </w:tc>
      </w:tr>
      <w:tr>
        <w:trPr>
          <w:trHeight w:val="264"/>
        </w:trPr>
        <w:tc>
          <w:tcPr>
            <w:tcW w:w="2540" w:type="dxa"/>
            <w:vAlign w:val="bottom"/>
            <w:tcBorders>
              <w:left w:val="single" w:sz="8" w:color="00000A"/>
              <w:bottom w:val="single" w:sz="8" w:color="00000A"/>
              <w:right w:val="single" w:sz="8" w:color="00000A"/>
            </w:tcBorders>
          </w:tcPr>
          <w:p>
            <w:pPr>
              <w:spacing w:after="0"/>
              <w:rPr>
                <w:sz w:val="22"/>
                <w:szCs w:val="22"/>
                <w:color w:val="auto"/>
              </w:rPr>
            </w:pPr>
          </w:p>
        </w:tc>
        <w:tc>
          <w:tcPr>
            <w:tcW w:w="2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$2.58/MMBTU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$0.15/Mcf</w:t>
            </w:r>
          </w:p>
        </w:tc>
      </w:tr>
    </w:tbl>
    <w:p>
      <w:pPr>
        <w:spacing w:after="0" w:line="200" w:lineRule="exact"/>
        <w:rPr>
          <w:sz w:val="20"/>
          <w:szCs w:val="20"/>
          <w:color w:val="auto"/>
        </w:rPr>
      </w:pPr>
    </w:p>
    <w:p>
      <w:pPr>
        <w:spacing w:after="0" w:line="25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5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Operating costs for the leases and wells in this report were furnished by Diamondback and are based on the operating expense reports of Diamondback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to us were accepted as factual data and reviewed by us for their reasonableness; however, we have not conducted an independent verification of the operating cost data used by Diamondback. No deduction was made for loan repayments, interest expenses, or exploration and development prepayments that were not charged directly to the leases or wells.</w:t>
      </w:r>
    </w:p>
    <w:p>
      <w:pPr>
        <w:spacing w:after="0" w:line="22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Development costs were furnished to us by Diamondback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was included for properties where abandonment costs net of salvage were material. The estimates of the net abandonment costs furnished by Diamondback were accepted without independent verification.</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undeveloped reserves in this report have been incorporated herein in accordance with Diamondback’s plans to develop these reserves as of December 31, 2019.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2019, such changes were, in accordance with rules adopted by the SEC, omitted from consideration in making this evaluation.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Diamondback.</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2019 annual report on Form 10-K of Diamondback. Our written consent for such use is included as a separate exhibit to the filings made with the SEC by Diamondback.</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Val Rick Robinson</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Robinson,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(GR)/pl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2019 continuing education hours, Mr. Robinson attended 32 hours of formalized training including the 2019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16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71"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60" w:right="23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34" w:name="page235"/>
    <w:bookmarkEnd w:id="234"/>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firstLine="5"/>
        <w:spacing w:after="0" w:line="267" w:lineRule="auto"/>
        <w:tabs>
          <w:tab w:leader="none" w:pos="1628" w:val="left"/>
        </w:tabs>
        <w:numPr>
          <w:ilvl w:val="1"/>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77" w:lineRule="exact"/>
        <w:rPr>
          <w:rFonts w:ascii="Arial" w:cs="Arial" w:eastAsia="Arial" w:hAnsi="Arial"/>
          <w:sz w:val="20"/>
          <w:szCs w:val="20"/>
          <w:i w:val="1"/>
          <w:iCs w:val="1"/>
          <w:color w:val="auto"/>
        </w:rPr>
      </w:pPr>
    </w:p>
    <w:p>
      <w:pPr>
        <w:jc w:val="both"/>
        <w:ind w:left="660" w:hanging="4"/>
        <w:spacing w:after="0" w:line="253" w:lineRule="auto"/>
        <w:tabs>
          <w:tab w:leader="none" w:pos="943"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1"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101"/>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10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10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60" w:right="239" w:bottom="1440" w:gutter="0" w:footer="0" w:header="0"/>
        </w:sectPr>
      </w:pPr>
    </w:p>
    <w:bookmarkStart w:id="236" w:name="page237"/>
    <w:bookmarkEnd w:id="236"/>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980"/>
        <w:spacing w:after="0"/>
        <w:rPr>
          <w:sz w:val="20"/>
          <w:szCs w:val="20"/>
          <w:color w:val="auto"/>
        </w:rPr>
      </w:pPr>
      <w:r>
        <w:rPr>
          <w:rFonts w:ascii="Arial" w:cs="Arial" w:eastAsia="Arial" w:hAnsi="Arial"/>
          <w:sz w:val="20"/>
          <w:szCs w:val="20"/>
          <w:i w:val="1"/>
          <w:iCs w:val="1"/>
          <w:color w:val="auto"/>
        </w:rPr>
        <w:t>(1)completion intervals that are open at the time of the estimate but which have not yet started producing;</w:t>
      </w:r>
    </w:p>
    <w:p>
      <w:pPr>
        <w:ind w:left="980"/>
        <w:spacing w:after="0"/>
        <w:rPr>
          <w:sz w:val="20"/>
          <w:szCs w:val="20"/>
          <w:color w:val="auto"/>
        </w:rPr>
      </w:pPr>
      <w:r>
        <w:rPr>
          <w:rFonts w:ascii="Arial" w:cs="Arial" w:eastAsia="Arial" w:hAnsi="Arial"/>
          <w:sz w:val="20"/>
          <w:szCs w:val="20"/>
          <w:i w:val="1"/>
          <w:iCs w:val="1"/>
          <w:color w:val="auto"/>
        </w:rPr>
        <w:t>(2)wells which were shut-in for market conditions or pipeline connections; or</w:t>
      </w:r>
    </w:p>
    <w:p>
      <w:pPr>
        <w:ind w:left="980"/>
        <w:spacing w:after="0"/>
        <w:rPr>
          <w:sz w:val="20"/>
          <w:szCs w:val="20"/>
          <w:color w:val="auto"/>
        </w:rPr>
      </w:pPr>
      <w:r>
        <w:rPr>
          <w:rFonts w:ascii="Arial" w:cs="Arial" w:eastAsia="Arial" w:hAnsi="Arial"/>
          <w:sz w:val="20"/>
          <w:szCs w:val="20"/>
          <w:i w:val="1"/>
          <w:iCs w:val="1"/>
          <w:color w:val="auto"/>
        </w:rPr>
        <w:t>(3)wells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ind w:left="1500" w:right="240" w:hanging="188"/>
        <w:spacing w:after="0" w:line="253" w:lineRule="auto"/>
        <w:rPr>
          <w:sz w:val="20"/>
          <w:szCs w:val="20"/>
          <w:color w:val="auto"/>
        </w:rPr>
      </w:pPr>
      <w:r>
        <w:rPr>
          <w:rFonts w:ascii="Arial" w:cs="Arial" w:eastAsia="Arial" w:hAnsi="Arial"/>
          <w:sz w:val="20"/>
          <w:szCs w:val="20"/>
          <w:i w:val="1"/>
          <w:iCs w:val="1"/>
          <w:color w:val="auto"/>
        </w:rPr>
        <w:t>(i)Reserves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sz w:val="20"/>
          <w:szCs w:val="20"/>
          <w:color w:val="auto"/>
        </w:rPr>
      </w:pPr>
    </w:p>
    <w:p>
      <w:pPr>
        <w:jc w:val="both"/>
        <w:ind w:left="1300" w:firstLine="5"/>
        <w:spacing w:after="0" w:line="253" w:lineRule="auto"/>
        <w:tabs>
          <w:tab w:leader="none" w:pos="1610" w:val="left"/>
        </w:tabs>
        <w:numPr>
          <w:ilvl w:val="0"/>
          <w:numId w:val="103"/>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103"/>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10795</wp:posOffset>
            </wp:positionV>
            <wp:extent cx="3721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RYDER SCOTT COMPANY, L.P.</w:t>
      </w:r>
    </w:p>
    <w:p>
      <w:pPr>
        <w:jc w:val="center"/>
        <w:ind w:right="1200"/>
        <w:spacing w:after="0"/>
        <w:rPr>
          <w:sz w:val="20"/>
          <w:szCs w:val="20"/>
          <w:color w:val="auto"/>
        </w:rPr>
      </w:pPr>
      <w:r>
        <w:rPr>
          <w:rFonts w:ascii="Arial" w:cs="Arial" w:eastAsia="Arial" w:hAnsi="Arial"/>
          <w:sz w:val="20"/>
          <w:szCs w:val="20"/>
          <w:color w:val="auto"/>
        </w:rPr>
        <w:t>TBPE Firm Registration No. F-1580</w:t>
      </w:r>
    </w:p>
    <w:p>
      <w:pPr>
        <w:spacing w:after="0" w:line="201"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122" w:right="239"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January 10,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2019.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7, 2020 and presented herein, was prepared for public disclosure by Viper in filings made with the SEC in accordance with the disclosure requirements set forth in the SEC regulations.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2019.</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2019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22" w:lineRule="exact"/>
        <w:rPr>
          <w:sz w:val="20"/>
          <w:szCs w:val="20"/>
          <w:color w:val="auto"/>
        </w:rPr>
      </w:pPr>
    </w:p>
    <w:p>
      <w:pPr>
        <w:ind w:left="3180" w:right="2420" w:hanging="735"/>
        <w:spacing w:after="0" w:line="258" w:lineRule="auto"/>
        <w:rPr>
          <w:sz w:val="20"/>
          <w:szCs w:val="20"/>
          <w:color w:val="auto"/>
        </w:rPr>
      </w:pPr>
      <w:r>
        <w:rPr>
          <w:rFonts w:ascii="Arial" w:cs="Arial" w:eastAsia="Arial" w:hAnsi="Arial"/>
          <w:sz w:val="14"/>
          <w:szCs w:val="14"/>
          <w:color w:val="auto"/>
        </w:rPr>
        <w:t>SUITE 800, 350 7TH AVENUE, S.W.</w:t>
      </w:r>
      <w:r>
        <w:rPr>
          <w:sz w:val="20"/>
          <w:szCs w:val="20"/>
          <w:color w:val="auto"/>
        </w:rPr>
        <w:t xml:space="preserve"> </w:t>
      </w:r>
      <w:r>
        <w:rPr>
          <w:rFonts w:ascii="Arial" w:cs="Arial" w:eastAsia="Arial" w:hAnsi="Arial"/>
          <w:sz w:val="14"/>
          <w:szCs w:val="14"/>
          <w:color w:val="auto"/>
        </w:rPr>
        <w:t>CALGARY, ALBERTA T2P 3N9 TEL (403) 262-2799 FAX (403) 262-2790 633 17TH STREET, SUITE 1700 DENVER, COLORADO 80202 TEL (303) 339-8110</w:t>
      </w:r>
    </w:p>
    <w:p>
      <w:pPr>
        <w:sectPr>
          <w:pgSz w:w="11900" w:h="16838" w:orient="portrait"/>
          <w:cols w:equalWidth="0" w:num="1">
            <w:col w:w="11420"/>
          </w:cols>
          <w:pgMar w:left="240" w:top="136" w:right="239" w:bottom="1440" w:gutter="0" w:footer="0" w:header="0"/>
        </w:sectPr>
      </w:pPr>
    </w:p>
    <w:bookmarkStart w:id="239" w:name="page240"/>
    <w:bookmarkEnd w:id="239"/>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b w:val="1"/>
          <w:bCs w:val="1"/>
          <w:color w:val="auto"/>
        </w:rPr>
        <w:t>Viper Energy Partners, LP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12700</wp:posOffset>
            </wp:positionV>
            <wp:extent cx="4570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4"/>
          </w:tcPr>
          <w:p>
            <w:pPr>
              <w:ind w:left="420"/>
              <w:spacing w:after="0"/>
              <w:rPr>
                <w:sz w:val="20"/>
                <w:szCs w:val="20"/>
                <w:color w:val="auto"/>
              </w:rPr>
            </w:pPr>
            <w:r>
              <w:rPr>
                <w:rFonts w:ascii="Arial" w:cs="Arial" w:eastAsia="Arial" w:hAnsi="Arial"/>
                <w:sz w:val="18"/>
                <w:szCs w:val="18"/>
                <w:color w:val="auto"/>
              </w:rPr>
              <w:t>Proved</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40" w:type="dxa"/>
            <w:vAlign w:val="bottom"/>
            <w:gridSpan w:val="4"/>
          </w:tcPr>
          <w:p>
            <w:pPr>
              <w:ind w:left="480"/>
              <w:spacing w:after="0"/>
              <w:rPr>
                <w:sz w:val="20"/>
                <w:szCs w:val="20"/>
                <w:color w:val="auto"/>
              </w:rPr>
            </w:pPr>
            <w:r>
              <w:rPr>
                <w:rFonts w:ascii="Arial" w:cs="Arial" w:eastAsia="Arial" w:hAnsi="Arial"/>
                <w:sz w:val="18"/>
                <w:szCs w:val="18"/>
                <w:color w:val="auto"/>
              </w:rPr>
              <w:t>Developed</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40" w:type="dxa"/>
            <w:vAlign w:val="bottom"/>
            <w:gridSpan w:val="4"/>
          </w:tcPr>
          <w:p>
            <w:pPr>
              <w:ind w:left="520"/>
              <w:spacing w:after="0"/>
              <w:rPr>
                <w:sz w:val="20"/>
                <w:szCs w:val="20"/>
                <w:color w:val="auto"/>
              </w:rPr>
            </w:pPr>
            <w:r>
              <w:rPr>
                <w:rFonts w:ascii="Arial" w:cs="Arial" w:eastAsia="Arial" w:hAnsi="Arial"/>
                <w:sz w:val="18"/>
                <w:szCs w:val="18"/>
                <w:color w:val="auto"/>
              </w:rPr>
              <w:t>Producing</w:t>
            </w:r>
          </w:p>
        </w:tc>
        <w:tc>
          <w:tcPr>
            <w:tcW w:w="2000" w:type="dxa"/>
            <w:vAlign w:val="bottom"/>
            <w:gridSpan w:val="4"/>
          </w:tcPr>
          <w:p>
            <w:pPr>
              <w:ind w:left="320"/>
              <w:spacing w:after="0"/>
              <w:rPr>
                <w:sz w:val="20"/>
                <w:szCs w:val="20"/>
                <w:color w:val="auto"/>
              </w:rPr>
            </w:pPr>
            <w:r>
              <w:rPr>
                <w:rFonts w:ascii="Arial" w:cs="Arial" w:eastAsia="Arial" w:hAnsi="Arial"/>
                <w:sz w:val="18"/>
                <w:szCs w:val="18"/>
                <w:color w:val="auto"/>
              </w:rPr>
              <w:t>Undeveloped</w:t>
            </w: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34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80" w:type="dxa"/>
            <w:vAlign w:val="bottom"/>
            <w:gridSpan w:val="3"/>
            <w:vMerge w:val="continue"/>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8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40,857</w:t>
            </w:r>
          </w:p>
        </w:tc>
        <w:tc>
          <w:tcPr>
            <w:tcW w:w="28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13,563</w:t>
            </w:r>
          </w:p>
        </w:tc>
        <w:tc>
          <w:tcPr>
            <w:tcW w:w="280" w:type="dxa"/>
            <w:vAlign w:val="bottom"/>
          </w:tcPr>
          <w:p>
            <w:pPr>
              <w:spacing w:after="0"/>
              <w:rPr>
                <w:sz w:val="24"/>
                <w:szCs w:val="24"/>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54,420</w:t>
            </w:r>
          </w:p>
        </w:tc>
        <w:tc>
          <w:tcPr>
            <w:tcW w:w="0" w:type="dxa"/>
            <w:vAlign w:val="bottom"/>
          </w:tcPr>
          <w:p>
            <w:pPr>
              <w:spacing w:after="0"/>
              <w:rPr>
                <w:sz w:val="1"/>
                <w:szCs w:val="1"/>
                <w:color w:val="auto"/>
              </w:rPr>
            </w:pPr>
          </w:p>
        </w:tc>
      </w:tr>
      <w:tr>
        <w:trPr>
          <w:trHeight w:val="270"/>
        </w:trPr>
        <w:tc>
          <w:tcPr>
            <w:tcW w:w="348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14,994</w:t>
            </w:r>
          </w:p>
        </w:tc>
        <w:tc>
          <w:tcPr>
            <w:tcW w:w="28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3,570</w:t>
            </w:r>
          </w:p>
        </w:tc>
        <w:tc>
          <w:tcPr>
            <w:tcW w:w="280" w:type="dxa"/>
            <w:vAlign w:val="bottom"/>
          </w:tcPr>
          <w:p>
            <w:pPr>
              <w:spacing w:after="0"/>
              <w:rPr>
                <w:sz w:val="23"/>
                <w:szCs w:val="23"/>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70"/>
        </w:trPr>
        <w:tc>
          <w:tcPr>
            <w:tcW w:w="348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80,737</w:t>
            </w:r>
          </w:p>
        </w:tc>
        <w:tc>
          <w:tcPr>
            <w:tcW w:w="28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15,037</w:t>
            </w:r>
          </w:p>
        </w:tc>
        <w:tc>
          <w:tcPr>
            <w:tcW w:w="280" w:type="dxa"/>
            <w:vAlign w:val="bottom"/>
          </w:tcPr>
          <w:p>
            <w:pPr>
              <w:spacing w:after="0"/>
              <w:rPr>
                <w:sz w:val="23"/>
                <w:szCs w:val="23"/>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95,774</w:t>
            </w:r>
          </w:p>
        </w:tc>
        <w:tc>
          <w:tcPr>
            <w:tcW w:w="0" w:type="dxa"/>
            <w:vAlign w:val="bottom"/>
          </w:tcPr>
          <w:p>
            <w:pPr>
              <w:spacing w:after="0"/>
              <w:rPr>
                <w:sz w:val="1"/>
                <w:szCs w:val="1"/>
                <w:color w:val="auto"/>
              </w:rPr>
            </w:pPr>
          </w:p>
        </w:tc>
      </w:tr>
      <w:tr>
        <w:trPr>
          <w:trHeight w:val="270"/>
        </w:trPr>
        <w:tc>
          <w:tcPr>
            <w:tcW w:w="3480" w:type="dxa"/>
            <w:vAlign w:val="bottom"/>
            <w:gridSpan w:val="3"/>
          </w:tcPr>
          <w:p>
            <w:pPr>
              <w:spacing w:after="0"/>
              <w:rPr>
                <w:sz w:val="20"/>
                <w:szCs w:val="20"/>
                <w:color w:val="auto"/>
              </w:rPr>
            </w:pPr>
            <w:r>
              <w:rPr>
                <w:rFonts w:ascii="Arial" w:cs="Arial" w:eastAsia="Arial" w:hAnsi="Arial"/>
                <w:sz w:val="18"/>
                <w:szCs w:val="18"/>
                <w:color w:val="auto"/>
              </w:rPr>
              <w:t>MBOE</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69,307</w:t>
            </w:r>
          </w:p>
        </w:tc>
        <w:tc>
          <w:tcPr>
            <w:tcW w:w="28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19,639</w:t>
            </w:r>
          </w:p>
        </w:tc>
        <w:tc>
          <w:tcPr>
            <w:tcW w:w="280" w:type="dxa"/>
            <w:vAlign w:val="bottom"/>
          </w:tcPr>
          <w:p>
            <w:pPr>
              <w:spacing w:after="0"/>
              <w:rPr>
                <w:sz w:val="23"/>
                <w:szCs w:val="23"/>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88,946</w:t>
            </w:r>
          </w:p>
        </w:tc>
        <w:tc>
          <w:tcPr>
            <w:tcW w:w="0" w:type="dxa"/>
            <w:vAlign w:val="bottom"/>
          </w:tcPr>
          <w:p>
            <w:pPr>
              <w:spacing w:after="0"/>
              <w:rPr>
                <w:sz w:val="1"/>
                <w:szCs w:val="1"/>
                <w:color w:val="auto"/>
              </w:rPr>
            </w:pPr>
          </w:p>
        </w:tc>
      </w:tr>
      <w:tr>
        <w:trPr>
          <w:trHeight w:val="527"/>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9"/>
              </w:rPr>
              <w:t xml:space="preserve">Income Data </w:t>
            </w:r>
            <w:r>
              <w:rPr>
                <w:rFonts w:ascii="Arial" w:cs="Arial" w:eastAsia="Arial" w:hAnsi="Arial"/>
                <w:sz w:val="18"/>
                <w:szCs w:val="18"/>
                <w:b w:val="1"/>
                <w:bCs w:val="1"/>
                <w:i w:val="1"/>
                <w:iCs w:val="1"/>
                <w:u w:val="single" w:color="auto"/>
                <w:color w:val="auto"/>
                <w:w w:val="99"/>
              </w:rPr>
              <w:t>($</w:t>
            </w:r>
            <w:r>
              <w:rPr>
                <w:rFonts w:ascii="Arial" w:cs="Arial" w:eastAsia="Arial" w:hAnsi="Arial"/>
                <w:sz w:val="18"/>
                <w:szCs w:val="18"/>
                <w:b w:val="1"/>
                <w:bCs w:val="1"/>
                <w:i w:val="1"/>
                <w:iCs w:val="1"/>
                <w:color w:val="auto"/>
                <w:w w:val="99"/>
              </w:rPr>
              <w:t>M)</w:t>
            </w:r>
          </w:p>
        </w:tc>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48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$2,317,872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$741,187</w:t>
            </w:r>
          </w:p>
        </w:tc>
        <w:tc>
          <w:tcPr>
            <w:tcW w:w="2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$3,059,059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58,807</w:t>
            </w:r>
          </w:p>
        </w:tc>
        <w:tc>
          <w:tcPr>
            <w:tcW w:w="280" w:type="dxa"/>
            <w:vAlign w:val="bottom"/>
          </w:tcPr>
          <w:p>
            <w:pPr>
              <w:spacing w:after="0"/>
              <w:rPr>
                <w:sz w:val="19"/>
                <w:szCs w:val="19"/>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19,176</w:t>
            </w:r>
          </w:p>
        </w:tc>
        <w:tc>
          <w:tcPr>
            <w:tcW w:w="280" w:type="dxa"/>
            <w:vAlign w:val="bottom"/>
          </w:tcPr>
          <w:p>
            <w:pPr>
              <w:spacing w:after="0"/>
              <w:rPr>
                <w:sz w:val="19"/>
                <w:szCs w:val="19"/>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77,983</w:t>
            </w:r>
          </w:p>
        </w:tc>
        <w:tc>
          <w:tcPr>
            <w:tcW w:w="0" w:type="dxa"/>
            <w:vAlign w:val="bottom"/>
          </w:tcPr>
          <w:p>
            <w:pPr>
              <w:spacing w:after="0"/>
              <w:rPr>
                <w:sz w:val="1"/>
                <w:szCs w:val="1"/>
                <w:color w:val="auto"/>
              </w:rPr>
            </w:pPr>
          </w:p>
        </w:tc>
      </w:tr>
      <w:tr>
        <w:trPr>
          <w:trHeight w:val="20"/>
        </w:trPr>
        <w:tc>
          <w:tcPr>
            <w:tcW w:w="34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8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$2,259,065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$722,011</w:t>
            </w:r>
          </w:p>
        </w:tc>
        <w:tc>
          <w:tcPr>
            <w:tcW w:w="2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$2,981,076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48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$1,036,004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$353,004</w:t>
            </w:r>
          </w:p>
        </w:tc>
        <w:tc>
          <w:tcPr>
            <w:tcW w:w="2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$1,389,008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Viper.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98 percent and gas reserves account for the remaining 2 percent of total future gross revenue from proved reserves.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0" w:name="page241"/>
    <w:bookmarkEnd w:id="240"/>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90"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40" w:type="dxa"/>
            <w:vAlign w:val="bottom"/>
            <w:gridSpan w:val="2"/>
          </w:tcPr>
          <w:p>
            <w:pPr>
              <w:jc w:val="center"/>
              <w:spacing w:after="0"/>
              <w:rPr>
                <w:sz w:val="20"/>
                <w:szCs w:val="20"/>
                <w:color w:val="auto"/>
              </w:rPr>
            </w:pPr>
            <w:r>
              <w:rPr>
                <w:rFonts w:ascii="Arial" w:cs="Arial" w:eastAsia="Arial" w:hAnsi="Arial"/>
                <w:sz w:val="19"/>
                <w:szCs w:val="19"/>
                <w:color w:val="auto"/>
                <w:w w:val="99"/>
              </w:rPr>
              <w:t>Discounted Future Net Income ($M)</w:t>
            </w:r>
          </w:p>
        </w:tc>
      </w:tr>
      <w:tr>
        <w:trPr>
          <w:trHeight w:val="275"/>
        </w:trPr>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4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As of December 31, 2019</w:t>
            </w:r>
          </w:p>
        </w:tc>
      </w:tr>
      <w:tr>
        <w:trPr>
          <w:trHeight w:val="259"/>
        </w:trPr>
        <w:tc>
          <w:tcPr>
            <w:tcW w:w="1720" w:type="dxa"/>
            <w:vAlign w:val="bottom"/>
          </w:tcPr>
          <w:p>
            <w:pPr>
              <w:jc w:val="center"/>
              <w:spacing w:after="0"/>
              <w:rPr>
                <w:sz w:val="20"/>
                <w:szCs w:val="20"/>
                <w:color w:val="auto"/>
              </w:rPr>
            </w:pPr>
            <w:r>
              <w:rPr>
                <w:rFonts w:ascii="Arial" w:cs="Arial" w:eastAsia="Arial" w:hAnsi="Arial"/>
                <w:sz w:val="19"/>
                <w:szCs w:val="19"/>
                <w:color w:val="auto"/>
                <w:w w:val="98"/>
              </w:rPr>
              <w:t>Discount Rate</w:t>
            </w: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60" w:type="dxa"/>
            <w:vAlign w:val="bottom"/>
          </w:tcPr>
          <w:p>
            <w:pPr>
              <w:jc w:val="center"/>
              <w:ind w:right="825"/>
              <w:spacing w:after="0"/>
              <w:rPr>
                <w:sz w:val="20"/>
                <w:szCs w:val="20"/>
                <w:color w:val="auto"/>
              </w:rPr>
            </w:pPr>
            <w:r>
              <w:rPr>
                <w:rFonts w:ascii="Arial" w:cs="Arial" w:eastAsia="Arial" w:hAnsi="Arial"/>
                <w:sz w:val="19"/>
                <w:szCs w:val="19"/>
                <w:color w:val="auto"/>
                <w:w w:val="89"/>
              </w:rPr>
              <w:t>Total</w:t>
            </w:r>
          </w:p>
        </w:tc>
      </w:tr>
      <w:tr>
        <w:trPr>
          <w:trHeight w:val="27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Percent</w:t>
            </w: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60" w:type="dxa"/>
            <w:vAlign w:val="bottom"/>
            <w:tcBorders>
              <w:bottom w:val="single" w:sz="8" w:color="auto"/>
            </w:tcBorders>
          </w:tcPr>
          <w:p>
            <w:pPr>
              <w:jc w:val="center"/>
              <w:ind w:right="825"/>
              <w:spacing w:after="0"/>
              <w:rPr>
                <w:sz w:val="20"/>
                <w:szCs w:val="20"/>
                <w:color w:val="auto"/>
              </w:rPr>
            </w:pPr>
            <w:r>
              <w:rPr>
                <w:rFonts w:ascii="Arial" w:cs="Arial" w:eastAsia="Arial" w:hAnsi="Arial"/>
                <w:sz w:val="19"/>
                <w:szCs w:val="19"/>
                <w:color w:val="auto"/>
                <w:w w:val="96"/>
              </w:rPr>
              <w:t>Proved</w:t>
            </w:r>
          </w:p>
        </w:tc>
      </w:tr>
      <w:tr>
        <w:trPr>
          <w:trHeight w:val="555"/>
        </w:trPr>
        <w:tc>
          <w:tcPr>
            <w:tcW w:w="1720" w:type="dxa"/>
            <w:vAlign w:val="bottom"/>
          </w:tcPr>
          <w:p>
            <w:pPr>
              <w:jc w:val="center"/>
              <w:spacing w:after="0"/>
              <w:rPr>
                <w:sz w:val="20"/>
                <w:szCs w:val="20"/>
                <w:color w:val="auto"/>
              </w:rPr>
            </w:pPr>
            <w:r>
              <w:rPr>
                <w:rFonts w:ascii="Arial" w:cs="Arial" w:eastAsia="Arial" w:hAnsi="Arial"/>
                <w:sz w:val="19"/>
                <w:szCs w:val="19"/>
                <w:color w:val="auto"/>
                <w:w w:val="94"/>
              </w:rPr>
              <w:t>5</w:t>
            </w:r>
          </w:p>
        </w:tc>
        <w:tc>
          <w:tcPr>
            <w:tcW w:w="416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$1,850,832</w:t>
            </w:r>
          </w:p>
        </w:tc>
      </w:tr>
      <w:tr>
        <w:trPr>
          <w:trHeight w:val="270"/>
        </w:trPr>
        <w:tc>
          <w:tcPr>
            <w:tcW w:w="1720" w:type="dxa"/>
            <w:vAlign w:val="bottom"/>
          </w:tcPr>
          <w:p>
            <w:pPr>
              <w:jc w:val="center"/>
              <w:spacing w:after="0"/>
              <w:rPr>
                <w:sz w:val="20"/>
                <w:szCs w:val="20"/>
                <w:color w:val="auto"/>
              </w:rPr>
            </w:pPr>
            <w:r>
              <w:rPr>
                <w:rFonts w:ascii="Arial" w:cs="Arial" w:eastAsia="Arial" w:hAnsi="Arial"/>
                <w:sz w:val="19"/>
                <w:szCs w:val="19"/>
                <w:color w:val="auto"/>
              </w:rPr>
              <w:t>15</w:t>
            </w:r>
          </w:p>
        </w:tc>
        <w:tc>
          <w:tcPr>
            <w:tcW w:w="416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$1,138,082</w:t>
            </w:r>
          </w:p>
        </w:tc>
      </w:tr>
      <w:tr>
        <w:trPr>
          <w:trHeight w:val="270"/>
        </w:trPr>
        <w:tc>
          <w:tcPr>
            <w:tcW w:w="1720" w:type="dxa"/>
            <w:vAlign w:val="bottom"/>
          </w:tcPr>
          <w:p>
            <w:pPr>
              <w:jc w:val="center"/>
              <w:spacing w:after="0"/>
              <w:rPr>
                <w:sz w:val="20"/>
                <w:szCs w:val="20"/>
                <w:color w:val="auto"/>
              </w:rPr>
            </w:pPr>
            <w:r>
              <w:rPr>
                <w:rFonts w:ascii="Arial" w:cs="Arial" w:eastAsia="Arial" w:hAnsi="Arial"/>
                <w:sz w:val="19"/>
                <w:szCs w:val="19"/>
                <w:color w:val="auto"/>
              </w:rPr>
              <w:t>20</w:t>
            </w:r>
          </w:p>
        </w:tc>
        <w:tc>
          <w:tcPr>
            <w:tcW w:w="416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$977,996</w:t>
            </w:r>
          </w:p>
        </w:tc>
      </w:tr>
      <w:tr>
        <w:trPr>
          <w:trHeight w:val="270"/>
        </w:trPr>
        <w:tc>
          <w:tcPr>
            <w:tcW w:w="1720" w:type="dxa"/>
            <w:vAlign w:val="bottom"/>
          </w:tcPr>
          <w:p>
            <w:pPr>
              <w:jc w:val="center"/>
              <w:spacing w:after="0"/>
              <w:rPr>
                <w:sz w:val="20"/>
                <w:szCs w:val="20"/>
                <w:color w:val="auto"/>
              </w:rPr>
            </w:pPr>
            <w:r>
              <w:rPr>
                <w:rFonts w:ascii="Arial" w:cs="Arial" w:eastAsia="Arial" w:hAnsi="Arial"/>
                <w:sz w:val="19"/>
                <w:szCs w:val="19"/>
                <w:color w:val="auto"/>
              </w:rPr>
              <w:t>30</w:t>
            </w:r>
          </w:p>
        </w:tc>
        <w:tc>
          <w:tcPr>
            <w:tcW w:w="416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$781,477</w:t>
            </w:r>
          </w:p>
        </w:tc>
      </w:tr>
    </w:tbl>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Viper’s request, this report addresses only the proved reserves attributable to the properties evaluated herein.</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85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2019 in those cases where such data were considered to be definitive. The data utilized in this analysis were furnished to Ryder Scott by Diamondback or obtained from public data sources and were considered sufficient for the purpose thereof. The remaining 15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3" w:name="page244"/>
    <w:bookmarkEnd w:id="243"/>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 furnished us with the above mentioned average prices in effect on December 31, 2019.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for their reasonableness; however, we have not conducted an independent verification of the data used by Diamondback to determine these differentials.</w:t>
      </w:r>
    </w:p>
    <w:p>
      <w:pPr>
        <w:spacing w:after="0" w:line="21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areas included in the report.</w:t>
      </w:r>
    </w:p>
    <w:p>
      <w:pPr>
        <w:spacing w:after="0" w:line="339" w:lineRule="exact"/>
        <w:rPr>
          <w:sz w:val="20"/>
          <w:szCs w:val="20"/>
          <w:color w:val="auto"/>
        </w:rPr>
      </w:pPr>
    </w:p>
    <w:tbl>
      <w:tblPr>
        <w:tblLayout w:type="fixed"/>
        <w:tblInd w:w="110" w:type="dxa"/>
        <w:tblCellMar>
          <w:top w:w="0" w:type="dxa"/>
          <w:left w:w="0" w:type="dxa"/>
          <w:bottom w:w="0" w:type="dxa"/>
          <w:right w:w="0" w:type="dxa"/>
        </w:tblCellMar>
      </w:tblPr>
      <w:tr>
        <w:trPr>
          <w:trHeight w:val="253"/>
        </w:trPr>
        <w:tc>
          <w:tcPr>
            <w:tcW w:w="2840" w:type="dxa"/>
            <w:vAlign w:val="bottom"/>
            <w:tcBorders>
              <w:top w:val="single" w:sz="8" w:color="00000A"/>
              <w:left w:val="single" w:sz="8" w:color="00000A"/>
              <w:right w:val="single" w:sz="8" w:color="00000A"/>
            </w:tcBorders>
          </w:tcPr>
          <w:p>
            <w:pPr>
              <w:spacing w:after="0"/>
              <w:rPr>
                <w:sz w:val="22"/>
                <w:szCs w:val="22"/>
                <w:color w:val="auto"/>
              </w:rPr>
            </w:pPr>
          </w:p>
        </w:tc>
        <w:tc>
          <w:tcPr>
            <w:tcW w:w="1900" w:type="dxa"/>
            <w:vAlign w:val="bottom"/>
            <w:tcBorders>
              <w:top w:val="single" w:sz="8" w:color="00000A"/>
              <w:right w:val="single" w:sz="8" w:color="00000A"/>
            </w:tcBorders>
          </w:tcPr>
          <w:p>
            <w:pPr>
              <w:spacing w:after="0"/>
              <w:rPr>
                <w:sz w:val="22"/>
                <w:szCs w:val="22"/>
                <w:color w:val="auto"/>
              </w:rPr>
            </w:pPr>
          </w:p>
        </w:tc>
        <w:tc>
          <w:tcPr>
            <w:tcW w:w="2580" w:type="dxa"/>
            <w:vAlign w:val="bottom"/>
            <w:tcBorders>
              <w:top w:val="single" w:sz="8" w:color="00000A"/>
              <w:right w:val="single" w:sz="8" w:color="00000A"/>
            </w:tcBorders>
          </w:tcPr>
          <w:p>
            <w:pPr>
              <w:spacing w:after="0"/>
              <w:rPr>
                <w:sz w:val="22"/>
                <w:szCs w:val="22"/>
                <w:color w:val="auto"/>
              </w:rPr>
            </w:pPr>
          </w:p>
        </w:tc>
        <w:tc>
          <w:tcPr>
            <w:tcW w:w="2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Average</w:t>
            </w:r>
          </w:p>
        </w:tc>
        <w:tc>
          <w:tcPr>
            <w:tcW w:w="1900" w:type="dxa"/>
            <w:vAlign w:val="bottom"/>
            <w:tcBorders>
              <w:top w:val="single" w:sz="8" w:color="00000A"/>
              <w:right w:val="single" w:sz="8" w:color="00000A"/>
            </w:tcBorders>
          </w:tcPr>
          <w:p>
            <w:pPr>
              <w:spacing w:after="0"/>
              <w:rPr>
                <w:sz w:val="22"/>
                <w:szCs w:val="22"/>
                <w:color w:val="auto"/>
              </w:rPr>
            </w:pPr>
          </w:p>
        </w:tc>
      </w:tr>
      <w:tr>
        <w:trPr>
          <w:trHeight w:val="216"/>
        </w:trPr>
        <w:tc>
          <w:tcPr>
            <w:tcW w:w="2840" w:type="dxa"/>
            <w:vAlign w:val="bottom"/>
            <w:tcBorders>
              <w:left w:val="single" w:sz="8" w:color="00000A"/>
              <w:right w:val="single" w:sz="8" w:color="00000A"/>
            </w:tcBorders>
          </w:tcPr>
          <w:p>
            <w:pPr>
              <w:spacing w:after="0"/>
              <w:rPr>
                <w:sz w:val="18"/>
                <w:szCs w:val="18"/>
                <w:color w:val="auto"/>
              </w:rPr>
            </w:pPr>
          </w:p>
        </w:tc>
        <w:tc>
          <w:tcPr>
            <w:tcW w:w="1900" w:type="dxa"/>
            <w:vAlign w:val="bottom"/>
            <w:tcBorders>
              <w:right w:val="single" w:sz="8" w:color="00000A"/>
            </w:tcBorders>
          </w:tcPr>
          <w:p>
            <w:pPr>
              <w:spacing w:after="0"/>
              <w:rPr>
                <w:sz w:val="18"/>
                <w:szCs w:val="18"/>
                <w:color w:val="auto"/>
              </w:rPr>
            </w:pPr>
          </w:p>
        </w:tc>
        <w:tc>
          <w:tcPr>
            <w:tcW w:w="25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0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9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8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190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0"/>
                <w:szCs w:val="20"/>
                <w:color w:val="auto"/>
              </w:rPr>
              <w:t>Product</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20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9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8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1900" w:type="dxa"/>
            <w:vAlign w:val="bottom"/>
            <w:tcBorders>
              <w:bottom w:val="single" w:sz="8" w:color="00000A"/>
              <w:right w:val="single" w:sz="8" w:color="00000A"/>
            </w:tcBorders>
          </w:tcPr>
          <w:p>
            <w:pPr>
              <w:spacing w:after="0"/>
              <w:rPr>
                <w:sz w:val="22"/>
                <w:szCs w:val="22"/>
                <w:color w:val="auto"/>
              </w:rPr>
            </w:pPr>
          </w:p>
        </w:tc>
        <w:tc>
          <w:tcPr>
            <w:tcW w:w="2580" w:type="dxa"/>
            <w:vAlign w:val="bottom"/>
            <w:tcBorders>
              <w:bottom w:val="single" w:sz="8" w:color="00000A"/>
              <w:right w:val="single" w:sz="8" w:color="00000A"/>
            </w:tcBorders>
          </w:tcPr>
          <w:p>
            <w:pPr>
              <w:spacing w:after="0"/>
              <w:rPr>
                <w:sz w:val="22"/>
                <w:szCs w:val="22"/>
                <w:color w:val="auto"/>
              </w:rPr>
            </w:pPr>
          </w:p>
        </w:tc>
        <w:tc>
          <w:tcPr>
            <w:tcW w:w="2020" w:type="dxa"/>
            <w:vAlign w:val="bottom"/>
            <w:tcBorders>
              <w:bottom w:val="single" w:sz="8" w:color="00000A"/>
              <w:right w:val="single" w:sz="8" w:color="00000A"/>
            </w:tcBorders>
          </w:tcPr>
          <w:p>
            <w:pPr>
              <w:spacing w:after="0"/>
              <w:rPr>
                <w:sz w:val="22"/>
                <w:szCs w:val="22"/>
                <w:color w:val="auto"/>
              </w:rPr>
            </w:pPr>
          </w:p>
        </w:tc>
        <w:tc>
          <w:tcPr>
            <w:tcW w:w="1900" w:type="dxa"/>
            <w:vAlign w:val="bottom"/>
            <w:tcBorders>
              <w:bottom w:val="single" w:sz="8" w:color="00000A"/>
              <w:right w:val="single" w:sz="8" w:color="00000A"/>
            </w:tcBorders>
          </w:tcPr>
          <w:p>
            <w:pPr>
              <w:spacing w:after="0"/>
              <w:rPr>
                <w:sz w:val="22"/>
                <w:szCs w:val="22"/>
                <w:color w:val="auto"/>
              </w:rPr>
            </w:pPr>
          </w:p>
        </w:tc>
      </w:tr>
      <w:tr>
        <w:trPr>
          <w:trHeight w:val="262"/>
        </w:trPr>
        <w:tc>
          <w:tcPr>
            <w:tcW w:w="2840" w:type="dxa"/>
            <w:vAlign w:val="bottom"/>
            <w:tcBorders>
              <w:left w:val="single" w:sz="8" w:color="00000A"/>
              <w:right w:val="single" w:sz="8" w:color="00000A"/>
            </w:tcBorders>
          </w:tcPr>
          <w:p>
            <w:pPr>
              <w:spacing w:after="0"/>
              <w:rPr>
                <w:sz w:val="22"/>
                <w:szCs w:val="22"/>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$55.69/bbl</w:t>
            </w:r>
          </w:p>
        </w:tc>
        <w:tc>
          <w:tcPr>
            <w:tcW w:w="19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$52.86/bbl</w:t>
            </w:r>
          </w:p>
        </w:tc>
      </w:tr>
      <w:tr>
        <w:trPr>
          <w:trHeight w:val="265"/>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$55.69/bbl</w:t>
            </w:r>
          </w:p>
        </w:tc>
        <w:tc>
          <w:tcPr>
            <w:tcW w:w="19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$15.79/bbl</w:t>
            </w:r>
          </w:p>
        </w:tc>
      </w:tr>
      <w:tr>
        <w:trPr>
          <w:trHeight w:val="264"/>
        </w:trPr>
        <w:tc>
          <w:tcPr>
            <w:tcW w:w="2840" w:type="dxa"/>
            <w:vAlign w:val="bottom"/>
            <w:tcBorders>
              <w:left w:val="single" w:sz="8" w:color="00000A"/>
              <w:bottom w:val="single" w:sz="8" w:color="00000A"/>
              <w:right w:val="single" w:sz="8" w:color="00000A"/>
            </w:tcBorders>
          </w:tcPr>
          <w:p>
            <w:pPr>
              <w:spacing w:after="0"/>
              <w:rPr>
                <w:sz w:val="22"/>
                <w:szCs w:val="22"/>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$2.58/MMBTU</w:t>
            </w:r>
          </w:p>
        </w:tc>
        <w:tc>
          <w:tcPr>
            <w:tcW w:w="19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$0.51/Mcf</w:t>
            </w:r>
          </w:p>
        </w:tc>
      </w:tr>
    </w:tbl>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2019.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2019, such changes were, in accordance with rules adopted by the SEC, omitted from consideration in making this evaluation.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making process of our clients. This allows us to bring the highest level of independence and objectivity to each engagement for our services.</w:t>
      </w:r>
    </w:p>
    <w:p>
      <w:pPr>
        <w:spacing w:after="0" w:line="21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2019 annual report on Form 10-K of Viper. Our written consent for such use is included as a separate exhibit to the filings made with the SEC by Viper.</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32"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Val Rick Robinson</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Robisnon,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247" w:name="page248"/>
    <w:bookmarkEnd w:id="247"/>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2019 continuing education hours, Mr. Robinson attended 32 hours of formalized training including the 2019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16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248" w:name="page249"/>
    <w:bookmarkEnd w:id="24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49" w:name="page250"/>
    <w:bookmarkEnd w:id="249"/>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centered gas, shale gas, gas hydrates, natural bitumen and oil shale deposits. These unconventional accumulations may require specialized extraction technology and/or significant processing prior to sale.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3"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5"/>
        <w:spacing w:after="0"/>
        <w:tabs>
          <w:tab w:leader="none" w:pos="1620" w:val="left"/>
        </w:tabs>
        <w:numPr>
          <w:ilvl w:val="1"/>
          <w:numId w:val="10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104"/>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77" w:lineRule="exact"/>
        <w:rPr>
          <w:rFonts w:ascii="Arial" w:cs="Arial" w:eastAsia="Arial" w:hAnsi="Arial"/>
          <w:sz w:val="20"/>
          <w:szCs w:val="20"/>
          <w:i w:val="1"/>
          <w:iCs w:val="1"/>
          <w:color w:val="auto"/>
        </w:rPr>
      </w:pPr>
    </w:p>
    <w:p>
      <w:pPr>
        <w:jc w:val="both"/>
        <w:ind w:left="660" w:hanging="4"/>
        <w:spacing w:after="0" w:line="253" w:lineRule="auto"/>
        <w:tabs>
          <w:tab w:leader="none" w:pos="943" w:val="left"/>
        </w:tabs>
        <w:numPr>
          <w:ilvl w:val="0"/>
          <w:numId w:val="104"/>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77" w:lineRule="exact"/>
        <w:rPr>
          <w:rFonts w:ascii="Arial" w:cs="Arial" w:eastAsia="Arial" w:hAnsi="Arial"/>
          <w:sz w:val="20"/>
          <w:szCs w:val="20"/>
          <w:i w:val="1"/>
          <w:iCs w:val="1"/>
          <w:color w:val="auto"/>
        </w:rPr>
      </w:pPr>
    </w:p>
    <w:p>
      <w:pPr>
        <w:ind w:left="660" w:hanging="4"/>
        <w:spacing w:after="0" w:line="267" w:lineRule="auto"/>
        <w:tabs>
          <w:tab w:leader="none" w:pos="1005" w:val="left"/>
        </w:tabs>
        <w:numPr>
          <w:ilvl w:val="0"/>
          <w:numId w:val="104"/>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50" w:name="page251"/>
    <w:bookmarkEnd w:id="250"/>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2"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i w:val="1"/>
          <w:iCs w:val="1"/>
          <w:color w:val="auto"/>
        </w:rPr>
        <w:t>structurally higher portions of the reservoir only if geoscience, engineering, or performance data and reliable technology establish the higher contact with reasonable certainty.</w:t>
      </w:r>
    </w:p>
    <w:p>
      <w:pPr>
        <w:spacing w:after="0" w:line="164" w:lineRule="exact"/>
        <w:rPr>
          <w:sz w:val="20"/>
          <w:szCs w:val="20"/>
          <w:color w:val="auto"/>
        </w:rPr>
      </w:pPr>
    </w:p>
    <w:p>
      <w:pPr>
        <w:ind w:left="660" w:hanging="4"/>
        <w:spacing w:after="0" w:line="267" w:lineRule="auto"/>
        <w:tabs>
          <w:tab w:leader="none" w:pos="993" w:val="left"/>
        </w:tabs>
        <w:numPr>
          <w:ilvl w:val="0"/>
          <w:numId w:val="10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77" w:lineRule="exact"/>
        <w:rPr>
          <w:rFonts w:ascii="Arial" w:cs="Arial" w:eastAsia="Arial" w:hAnsi="Arial"/>
          <w:sz w:val="20"/>
          <w:szCs w:val="20"/>
          <w:i w:val="1"/>
          <w:iCs w:val="1"/>
          <w:color w:val="auto"/>
        </w:rPr>
      </w:pPr>
    </w:p>
    <w:p>
      <w:pPr>
        <w:jc w:val="both"/>
        <w:ind w:left="1300" w:firstLine="5"/>
        <w:spacing w:after="0" w:line="249" w:lineRule="auto"/>
        <w:tabs>
          <w:tab w:leader="none" w:pos="1640" w:val="left"/>
        </w:tabs>
        <w:numPr>
          <w:ilvl w:val="1"/>
          <w:numId w:val="105"/>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8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105"/>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63"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51" w:name="page252"/>
    <w:bookmarkEnd w:id="251"/>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5"/>
        <w:spacing w:after="0" w:line="267" w:lineRule="auto"/>
        <w:tabs>
          <w:tab w:leader="none" w:pos="1569" w:val="left"/>
        </w:tabs>
        <w:numPr>
          <w:ilvl w:val="0"/>
          <w:numId w:val="106"/>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63"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106"/>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52" w:name="page253"/>
    <w:bookmarkEnd w:id="252"/>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107"/>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107"/>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107"/>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64" w:lineRule="exact"/>
        <w:rPr>
          <w:sz w:val="20"/>
          <w:szCs w:val="20"/>
          <w:color w:val="auto"/>
        </w:rPr>
      </w:pPr>
    </w:p>
    <w:p>
      <w:pPr>
        <w:ind w:left="1460" w:right="280" w:hanging="188"/>
        <w:spacing w:after="0" w:line="253" w:lineRule="auto"/>
        <w:rPr>
          <w:sz w:val="20"/>
          <w:szCs w:val="20"/>
          <w:color w:val="auto"/>
        </w:rPr>
      </w:pPr>
      <w:r>
        <w:rPr>
          <w:rFonts w:ascii="Arial" w:cs="Arial" w:eastAsia="Arial" w:hAnsi="Arial"/>
          <w:sz w:val="20"/>
          <w:szCs w:val="20"/>
          <w:i w:val="1"/>
          <w:iCs w:val="1"/>
          <w:color w:val="auto"/>
        </w:rPr>
        <w:t>(i)Reserves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8" w:lineRule="exact"/>
        <w:rPr>
          <w:sz w:val="20"/>
          <w:szCs w:val="20"/>
          <w:color w:val="auto"/>
        </w:rPr>
      </w:pPr>
    </w:p>
    <w:p>
      <w:pPr>
        <w:jc w:val="both"/>
        <w:ind w:left="1300" w:firstLine="5"/>
        <w:spacing w:after="0" w:line="253" w:lineRule="auto"/>
        <w:tabs>
          <w:tab w:leader="none" w:pos="1610" w:val="left"/>
        </w:tabs>
        <w:numPr>
          <w:ilvl w:val="0"/>
          <w:numId w:val="108"/>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7"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108"/>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lvl w:ilvl="1">
      <w:lvlJc w:val="left"/>
      <w:lvlText w:val="(%2)"/>
      <w:numFmt w:val="decimal"/>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lowerRoman"/>
      <w:start w:val="2"/>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lowerLetter"/>
      <w:start w:val="3"/>
    </w:lvl>
  </w:abstractNum>
  <w:abstractNum w:abstractNumId="33">
    <w:nsid w:val="799D0247"/>
    <w:multiLevelType w:val="hybridMultilevel"/>
    <w:lvl w:ilvl="0">
      <w:lvlJc w:val="left"/>
      <w:lvlText w:val="(%1)"/>
      <w:numFmt w:val="lowerLetter"/>
      <w:start w:val="3"/>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7"/>
    </w:lvl>
  </w:abstractNum>
  <w:abstractNum w:abstractNumId="37">
    <w:nsid w:val="1EBA5D23"/>
    <w:multiLevelType w:val="hybridMultilevel"/>
    <w:lvl w:ilvl="0">
      <w:lvlJc w:val="left"/>
      <w:lvlText w:val="(%1)"/>
      <w:numFmt w:val="lowerRoman"/>
      <w:start w:val="1"/>
    </w:lvl>
  </w:abstractNum>
  <w:abstractNum w:abstractNumId="38">
    <w:nsid w:val="661E3F1E"/>
    <w:multiLevelType w:val="hybridMultilevel"/>
    <w:lvl w:ilvl="0">
      <w:lvlJc w:val="left"/>
      <w:lvlText w:val="%1"/>
      <w:numFmt w:val="decimal"/>
      <w:start w:val="10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lvl w:ilvl="1">
      <w:lvlJc w:val="left"/>
      <w:lvlText w:val="◦"/>
      <w:numFmt w:val="bullet"/>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decimal"/>
      <w:start w:val="3"/>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1)"/>
      <w:numFmt w:val="lowerRoman"/>
      <w:start w:val="4"/>
    </w:lvl>
  </w:abstractNum>
  <w:abstractNum w:abstractNumId="48">
    <w:nsid w:val="8F2B15E"/>
    <w:multiLevelType w:val="hybridMultilevel"/>
    <w:lvl w:ilvl="0">
      <w:lvlJc w:val="left"/>
      <w:lvlText w:val="(%1)"/>
      <w:numFmt w:val="lowerRoman"/>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3"/>
    </w:lvl>
  </w:abstractNum>
  <w:abstractNum w:abstractNumId="54">
    <w:nsid w:val="6A5EE64"/>
    <w:multiLevelType w:val="hybridMultilevel"/>
    <w:lvl w:ilvl="0">
      <w:lvlJc w:val="left"/>
      <w:lvlText w:val="%1."/>
      <w:numFmt w:val="decimal"/>
      <w:start w:val="4"/>
    </w:lvl>
  </w:abstractNum>
  <w:abstractNum w:abstractNumId="55">
    <w:nsid w:val="14330624"/>
    <w:multiLevelType w:val="hybridMultilevel"/>
    <w:lvl w:ilvl="0">
      <w:lvlJc w:val="left"/>
      <w:lvlText w:val="%1."/>
      <w:numFmt w:val="decimal"/>
      <w:start w:val="6"/>
    </w:lvl>
  </w:abstractNum>
  <w:abstractNum w:abstractNumId="56">
    <w:nsid w:val="7FFFCA11"/>
    <w:multiLevelType w:val="hybridMultilevel"/>
    <w:lvl w:ilvl="0">
      <w:lvlJc w:val="left"/>
      <w:lvlText w:val="%1."/>
      <w:numFmt w:val="decimal"/>
      <w:start w:val="8"/>
    </w:lvl>
  </w:abstractNum>
  <w:abstractNum w:abstractNumId="57">
    <w:nsid w:val="1A27709E"/>
    <w:multiLevelType w:val="hybridMultilevel"/>
    <w:lvl w:ilvl="0">
      <w:lvlJc w:val="left"/>
      <w:lvlText w:val="%1."/>
      <w:numFmt w:val="decimal"/>
      <w:start w:val="12"/>
    </w:lvl>
  </w:abstractNum>
  <w:abstractNum w:abstractNumId="58">
    <w:nsid w:val="71EA1109"/>
    <w:multiLevelType w:val="hybridMultilevel"/>
    <w:lvl w:ilvl="0">
      <w:lvlJc w:val="left"/>
      <w:lvlText w:val="(%1)"/>
      <w:numFmt w:val="lowerLetter"/>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1."/>
      <w:numFmt w:val="decimal"/>
      <w:start w:val="3"/>
    </w:lvl>
  </w:abstractNum>
  <w:abstractNum w:abstractNumId="61">
    <w:nsid w:val="6EB5BD4"/>
    <w:multiLevelType w:val="hybridMultilevel"/>
    <w:lvl w:ilvl="0">
      <w:lvlJc w:val="left"/>
      <w:lvlText w:val="%1."/>
      <w:numFmt w:val="decimal"/>
      <w:start w:val="4"/>
    </w:lvl>
  </w:abstractNum>
  <w:abstractNum w:abstractNumId="62">
    <w:nsid w:val="6F6DD9AC"/>
    <w:multiLevelType w:val="hybridMultilevel"/>
    <w:lvl w:ilvl="0">
      <w:lvlJc w:val="left"/>
      <w:lvlText w:val="%1."/>
      <w:numFmt w:val="decimal"/>
      <w:start w:val="8"/>
    </w:lvl>
  </w:abstractNum>
  <w:abstractNum w:abstractNumId="63">
    <w:nsid w:val="94211F2"/>
    <w:multiLevelType w:val="hybridMultilevel"/>
    <w:lvl w:ilvl="0">
      <w:lvlJc w:val="left"/>
      <w:lvlText w:val="(%1)"/>
      <w:numFmt w:val="lowerLetter"/>
      <w:start w:val="1"/>
    </w:lvl>
  </w:abstractNum>
  <w:abstractNum w:abstractNumId="64">
    <w:nsid w:val="885E1B"/>
    <w:multiLevelType w:val="hybridMultilevel"/>
    <w:lvl w:ilvl="0">
      <w:lvlJc w:val="left"/>
      <w:lvlText w:val="(%1)"/>
      <w:numFmt w:val="lowerLetter"/>
      <w:start w:val="3"/>
    </w:lvl>
  </w:abstractNum>
  <w:abstractNum w:abstractNumId="65">
    <w:nsid w:val="76272110"/>
    <w:multiLevelType w:val="hybridMultilevel"/>
    <w:lvl w:ilvl="0">
      <w:lvlJc w:val="left"/>
      <w:lvlText w:val="(%1)"/>
      <w:numFmt w:val="lowerLetter"/>
      <w:start w:val="1"/>
    </w:lvl>
  </w:abstractNum>
  <w:abstractNum w:abstractNumId="66">
    <w:nsid w:val="4C04A8AF"/>
    <w:multiLevelType w:val="hybridMultilevel"/>
    <w:lvl w:ilvl="0">
      <w:lvlJc w:val="left"/>
      <w:lvlText w:val="(%1)"/>
      <w:numFmt w:val="lowerRoman"/>
      <w:start w:val="1"/>
    </w:lvl>
  </w:abstractNum>
  <w:abstractNum w:abstractNumId="67">
    <w:nsid w:val="1716703B"/>
    <w:multiLevelType w:val="hybridMultilevel"/>
    <w:lvl w:ilvl="0">
      <w:lvlJc w:val="left"/>
      <w:lvlText w:val="(%1)"/>
      <w:numFmt w:val="lowerLetter"/>
      <w:start w:val="2"/>
    </w:lvl>
  </w:abstractNum>
  <w:abstractNum w:abstractNumId="68">
    <w:nsid w:val="14E17E33"/>
    <w:multiLevelType w:val="hybridMultilevel"/>
    <w:lvl w:ilvl="0">
      <w:lvlJc w:val="left"/>
      <w:lvlText w:val="(%1)"/>
      <w:numFmt w:val="lowerLetter"/>
      <w:start w:val="1"/>
    </w:lvl>
  </w:abstractNum>
  <w:abstractNum w:abstractNumId="69">
    <w:nsid w:val="3222E7CD"/>
    <w:multiLevelType w:val="hybridMultilevel"/>
    <w:lvl w:ilvl="0">
      <w:lvlJc w:val="left"/>
      <w:lvlText w:val="(%1)"/>
      <w:numFmt w:val="lowerLetter"/>
      <w:start w:val="1"/>
    </w:lvl>
  </w:abstractNum>
  <w:abstractNum w:abstractNumId="70">
    <w:nsid w:val="74DE0EE3"/>
    <w:multiLevelType w:val="hybridMultilevel"/>
    <w:lvl w:ilvl="0">
      <w:lvlJc w:val="left"/>
      <w:lvlText w:val="%1"/>
      <w:numFmt w:val="upperLetter"/>
      <w:start w:val="1"/>
    </w:lvl>
    <w:lvl w:ilvl="1">
      <w:lvlJc w:val="left"/>
      <w:lvlText w:val="(%2)"/>
      <w:numFmt w:val="lowerLetter"/>
      <w:start w:val="1"/>
    </w:lvl>
  </w:abstractNum>
  <w:abstractNum w:abstractNumId="71">
    <w:nsid w:val="68EBC550"/>
    <w:multiLevelType w:val="hybridMultilevel"/>
    <w:lvl w:ilvl="0">
      <w:lvlJc w:val="left"/>
      <w:lvlText w:val="(%1)"/>
      <w:numFmt w:val="upperLetter"/>
      <w:start w:val="3"/>
    </w:lvl>
    <w:lvl w:ilvl="1">
      <w:lvlJc w:val="left"/>
      <w:lvlText w:val="(%2)"/>
      <w:numFmt w:val="lowerLetter"/>
      <w:start w:val="3"/>
    </w:lvl>
  </w:abstractNum>
  <w:abstractNum w:abstractNumId="72">
    <w:nsid w:val="2DF6D648"/>
    <w:multiLevelType w:val="hybridMultilevel"/>
    <w:lvl w:ilvl="0">
      <w:lvlJc w:val="left"/>
      <w:lvlText w:val="(%1)"/>
      <w:numFmt w:val="lowerLetter"/>
      <w:start w:val="3"/>
    </w:lvl>
  </w:abstractNum>
  <w:abstractNum w:abstractNumId="73">
    <w:nsid w:val="46B7D447"/>
    <w:multiLevelType w:val="hybridMultilevel"/>
    <w:lvl w:ilvl="0">
      <w:lvlJc w:val="left"/>
      <w:lvlText w:val="(%1)"/>
      <w:numFmt w:val="lowerLetter"/>
      <w:start w:val="1"/>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1"/>
    </w:lvl>
  </w:abstractNum>
  <w:abstractNum w:abstractNumId="76">
    <w:nsid w:val="57FC4FBB"/>
    <w:multiLevelType w:val="hybridMultilevel"/>
    <w:lvl w:ilvl="0">
      <w:lvlJc w:val="left"/>
      <w:lvlText w:val="(%1)"/>
      <w:numFmt w:val="lowerLetter"/>
      <w:start w:val="3"/>
    </w:lvl>
  </w:abstractNum>
  <w:abstractNum w:abstractNumId="77">
    <w:nsid w:val="CC1016F"/>
    <w:multiLevelType w:val="hybridMultilevel"/>
    <w:lvl w:ilvl="0">
      <w:lvlJc w:val="left"/>
      <w:lvlText w:val="(%1)"/>
      <w:numFmt w:val="lowerRoman"/>
      <w:start w:val="1"/>
    </w:lvl>
  </w:abstractNum>
  <w:abstractNum w:abstractNumId="78">
    <w:nsid w:val="43F18422"/>
    <w:multiLevelType w:val="hybridMultilevel"/>
    <w:lvl w:ilvl="0">
      <w:lvlJc w:val="left"/>
      <w:lvlText w:val="(%1)"/>
      <w:numFmt w:val="lowerLetter"/>
      <w:start w:val="4"/>
    </w:lvl>
  </w:abstractNum>
  <w:abstractNum w:abstractNumId="79">
    <w:nsid w:val="60EF0119"/>
    <w:multiLevelType w:val="hybridMultilevel"/>
    <w:lvl w:ilvl="0">
      <w:lvlJc w:val="left"/>
      <w:lvlText w:val="(%1)"/>
      <w:numFmt w:val="lowerRoman"/>
      <w:start w:val="1"/>
    </w:lvl>
    <w:lvl w:ilvl="1">
      <w:lvlJc w:val="left"/>
      <w:lvlText w:val="(%2)"/>
      <w:numFmt w:val="upperLetter"/>
      <w:start w:val="1"/>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1"/>
    </w:lvl>
  </w:abstractNum>
  <w:abstractNum w:abstractNumId="82">
    <w:nsid w:val="49DA307D"/>
    <w:multiLevelType w:val="hybridMultilevel"/>
    <w:lvl w:ilvl="0">
      <w:lvlJc w:val="left"/>
      <w:lvlText w:val="(%1)"/>
      <w:numFmt w:val="lowerLetter"/>
      <w:start w:val="2"/>
    </w:lvl>
  </w:abstractNum>
  <w:abstractNum w:abstractNumId="83">
    <w:nsid w:val="7055A5F5"/>
    <w:multiLevelType w:val="hybridMultilevel"/>
    <w:lvl w:ilvl="0">
      <w:lvlJc w:val="left"/>
      <w:lvlText w:val="(%1)"/>
      <w:numFmt w:val="lowerLetter"/>
      <w:start w:val="1"/>
    </w:lvl>
  </w:abstractNum>
  <w:abstractNum w:abstractNumId="84">
    <w:nsid w:val="5FB8370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85">
    <w:nsid w:val="50801EE1"/>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86">
    <w:nsid w:val="488AC1A"/>
    <w:multiLevelType w:val="hybridMultilevel"/>
    <w:lvl w:ilvl="0">
      <w:lvlJc w:val="left"/>
      <w:lvlText w:val="(%1)"/>
      <w:numFmt w:val="lowerLetter"/>
      <w:start w:val="10"/>
    </w:lvl>
  </w:abstractNum>
  <w:abstractNum w:abstractNumId="87">
    <w:nsid w:val="5FB8011C"/>
    <w:multiLevelType w:val="hybridMultilevel"/>
    <w:lvl w:ilvl="0">
      <w:lvlJc w:val="left"/>
      <w:lvlText w:val="(%1)"/>
      <w:numFmt w:val="lowerLetter"/>
      <w:start w:val="13"/>
    </w:lvl>
  </w:abstractNum>
  <w:abstractNum w:abstractNumId="88">
    <w:nsid w:val="6AA78F7F"/>
    <w:multiLevelType w:val="hybridMultilevel"/>
    <w:lvl w:ilvl="0">
      <w:lvlJc w:val="left"/>
      <w:lvlText w:val="(%1)"/>
      <w:numFmt w:val="lowerLetter"/>
      <w:start w:val="22"/>
    </w:lvl>
  </w:abstractNum>
  <w:abstractNum w:abstractNumId="89">
    <w:nsid w:val="7672BD23"/>
    <w:multiLevelType w:val="hybridMultilevel"/>
    <w:lvl w:ilvl="0">
      <w:lvlJc w:val="left"/>
      <w:lvlText w:val="(%1)"/>
      <w:numFmt w:val="lowerLetter"/>
      <w:start w:val="27"/>
    </w:lvl>
  </w:abstractNum>
  <w:abstractNum w:abstractNumId="90">
    <w:nsid w:val="6FC75AF8"/>
    <w:multiLevelType w:val="hybridMultilevel"/>
    <w:lvl w:ilvl="0">
      <w:lvlJc w:val="left"/>
      <w:lvlText w:val="(%1)"/>
      <w:numFmt w:val="lowerLetter"/>
      <w:start w:val="30"/>
    </w:lvl>
  </w:abstractNum>
  <w:abstractNum w:abstractNumId="91">
    <w:nsid w:val="6A5F7029"/>
    <w:multiLevelType w:val="hybridMultilevel"/>
    <w:lvl w:ilvl="0">
      <w:lvlJc w:val="left"/>
      <w:lvlText w:val="(%1)"/>
      <w:numFmt w:val="lowerLetter"/>
      <w:start w:val="1"/>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upperLetter"/>
      <w:start w:val="16"/>
    </w:lvl>
  </w:abstractNum>
  <w:abstractNum w:abstractNumId="94">
    <w:nsid w:val="73A1821B"/>
    <w:multiLevelType w:val="hybridMultilevel"/>
    <w:lvl w:ilvl="0">
      <w:lvlJc w:val="left"/>
      <w:lvlText w:val="%1."/>
      <w:numFmt w:val="decimal"/>
      <w:start w:val="1"/>
    </w:lvl>
    <w:lvl w:ilvl="1">
      <w:lvlJc w:val="left"/>
      <w:lvlText w:val="(%2)"/>
      <w:numFmt w:val="lowerLetter"/>
      <w:start w:val="1"/>
    </w:lvl>
  </w:abstractNum>
  <w:abstractNum w:abstractNumId="95">
    <w:nsid w:val="7DE67713"/>
    <w:multiLevelType w:val="hybridMultilevel"/>
    <w:lvl w:ilvl="0">
      <w:lvlJc w:val="left"/>
      <w:lvlText w:val="%1."/>
      <w:numFmt w:val="decimal"/>
      <w:start w:val="1"/>
    </w:lvl>
    <w:lvl w:ilvl="1">
      <w:lvlJc w:val="left"/>
      <w:lvlText w:val="(%2)"/>
      <w:numFmt w:val="lowerLetter"/>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1)"/>
      <w:numFmt w:val="lowerRoman"/>
      <w:start w:val="1"/>
    </w:lvl>
    <w:lvl w:ilvl="1">
      <w:lvlJc w:val="left"/>
      <w:lvlText w:val="(%2)"/>
      <w:numFmt w:val="upperLetter"/>
      <w:start w:val="1"/>
    </w:lvl>
  </w:abstractNum>
  <w:abstractNum w:abstractNumId="99">
    <w:nsid w:val="6A3DD3E8"/>
    <w:multiLevelType w:val="hybridMultilevel"/>
    <w:lvl w:ilvl="0">
      <w:lvlJc w:val="left"/>
      <w:lvlText w:val="%1"/>
      <w:numFmt w:val="lowerRoman"/>
      <w:start w:val="1"/>
    </w:lvl>
    <w:lvl w:ilvl="1">
      <w:lvlJc w:val="left"/>
      <w:lvlText w:val="(%2)"/>
      <w:numFmt w:val="upperLetter"/>
      <w:start w:val="2"/>
    </w:lvl>
  </w:abstractNum>
  <w:abstractNum w:abstractNumId="100">
    <w:nsid w:val="71C91298"/>
    <w:multiLevelType w:val="hybridMultilevel"/>
    <w:lvl w:ilvl="0">
      <w:lvlJc w:val="left"/>
      <w:lvlText w:val="(%1)"/>
      <w:numFmt w:val="lowerRoman"/>
      <w:start w:val="2"/>
    </w:lvl>
    <w:lvl w:ilvl="1">
      <w:lvlJc w:val="left"/>
      <w:lvlText w:val="(%2)"/>
      <w:numFmt w:val="upperLetter"/>
      <w:start w:val="1"/>
    </w:lvl>
  </w:abstractNum>
  <w:abstractNum w:abstractNumId="101">
    <w:nsid w:val="9DAF632"/>
    <w:multiLevelType w:val="hybridMultilevel"/>
    <w:lvl w:ilvl="0">
      <w:lvlJc w:val="left"/>
      <w:lvlText w:val="(%1)"/>
      <w:numFmt w:val="lowerRoman"/>
      <w:start w:val="1"/>
    </w:lvl>
  </w:abstractNum>
  <w:abstractNum w:abstractNumId="102">
    <w:nsid w:val="53299938"/>
    <w:multiLevelType w:val="hybridMultilevel"/>
    <w:lvl w:ilvl="0">
      <w:lvlJc w:val="left"/>
      <w:lvlText w:val="(%1)"/>
      <w:numFmt w:val="lowerRoman"/>
      <w:start w:val="2"/>
    </w:lvl>
  </w:abstractNum>
  <w:abstractNum w:abstractNumId="103">
    <w:nsid w:val="1FBFE8E0"/>
    <w:multiLevelType w:val="hybridMultilevel"/>
    <w:lvl w:ilvl="0">
      <w:lvlJc w:val="left"/>
      <w:lvlText w:val="(%1)"/>
      <w:numFmt w:val="lowerRoman"/>
      <w:start w:val="1"/>
    </w:lvl>
    <w:lvl w:ilvl="1">
      <w:lvlJc w:val="left"/>
      <w:lvlText w:val="(%2)"/>
      <w:numFmt w:val="upperLetter"/>
      <w:start w:val="1"/>
    </w:lvl>
  </w:abstractNum>
  <w:abstractNum w:abstractNumId="104">
    <w:nsid w:val="5092CA79"/>
    <w:multiLevelType w:val="hybridMultilevel"/>
    <w:lvl w:ilvl="0">
      <w:lvlJc w:val="left"/>
      <w:lvlText w:val="(%1)"/>
      <w:numFmt w:val="lowerRoman"/>
      <w:start w:val="4"/>
    </w:lvl>
    <w:lvl w:ilvl="1">
      <w:lvlJc w:val="left"/>
      <w:lvlText w:val="(%2)"/>
      <w:numFmt w:val="upperLetter"/>
      <w:start w:val="1"/>
    </w:lvl>
  </w:abstractNum>
  <w:abstractNum w:abstractNumId="105">
    <w:nsid w:val="1D545C4D"/>
    <w:multiLevelType w:val="hybridMultilevel"/>
    <w:lvl w:ilvl="0">
      <w:lvlJc w:val="left"/>
      <w:lvlText w:val="(%1)"/>
      <w:numFmt w:val="lowerRoman"/>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85" Type="http://schemas.openxmlformats.org/officeDocument/2006/relationships/image" Target="media/image31.png"/><Relationship Id="rId86" Type="http://schemas.openxmlformats.org/officeDocument/2006/relationships/image" Target="media/image32.png"/><Relationship Id="rId87"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98" Type="http://schemas.openxmlformats.org/officeDocument/2006/relationships/image" Target="media/image44.png"/><Relationship Id="rId99" Type="http://schemas.openxmlformats.org/officeDocument/2006/relationships/image" Target="media/image45.png"/><Relationship Id="rId10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103" Type="http://schemas.openxmlformats.org/officeDocument/2006/relationships/image" Target="media/image49.png"/><Relationship Id="rId104" Type="http://schemas.openxmlformats.org/officeDocument/2006/relationships/image" Target="media/image50.png"/><Relationship Id="rId105" Type="http://schemas.openxmlformats.org/officeDocument/2006/relationships/image" Target="media/image51.png"/><Relationship Id="rId106" Type="http://schemas.openxmlformats.org/officeDocument/2006/relationships/image" Target="media/image52.png"/><Relationship Id="rId38" Type="http://schemas.openxmlformats.org/officeDocument/2006/relationships/hyperlink" Target="http://www.sec.gov/Archives/edgar/data/1539838/000119312518249523/d593162dex21.htm" TargetMode="External"/><Relationship Id="rId39" Type="http://schemas.openxmlformats.org/officeDocument/2006/relationships/hyperlink" Target="http://www.sec.gov/Archives/edgar/data/1539838/000153983812000004/exhibit31amendcertofincorp.htm" TargetMode="External"/><Relationship Id="rId40" Type="http://schemas.openxmlformats.org/officeDocument/2006/relationships/hyperlink" Target="http://www.sec.gov/Archives/edgar/data/1539838/000153983816000266/diamondbackex31-12x12x16.htm" TargetMode="External"/><Relationship Id="rId41" Type="http://schemas.openxmlformats.org/officeDocument/2006/relationships/hyperlink" Target="http://www.sec.gov/Archives/edgar/data/1539838/000153983812000004/exhibit32amendandrestatedb.htm" TargetMode="External"/><Relationship Id="rId42" Type="http://schemas.openxmlformats.org/officeDocument/2006/relationships/hyperlink" Target="http://www.sec.gov/Archives/edgar/data/1539838/000153983818000048/diamondbackex31-4x27x18.htm" TargetMode="External"/><Relationship Id="rId43" Type="http://schemas.openxmlformats.org/officeDocument/2006/relationships/hyperlink" Target="http://www.sec.gov/Archives/edgar/data/1539838/000119312512360997/d295327dex41.htm" TargetMode="External"/><Relationship Id="rId44" Type="http://schemas.openxmlformats.org/officeDocument/2006/relationships/hyperlink" Target="http://www.sec.gov/Archives/edgar/data/1539838/000153983816000272/diamondbackex41-12x21x16.htm" TargetMode="External"/><Relationship Id="rId45" Type="http://schemas.openxmlformats.org/officeDocument/2006/relationships/hyperlink" Target="http://www.sec.gov/Archives/edgar/data/1539838/000153983818000006/diamondbackex43-1x30x18.htm" TargetMode="External"/><Relationship Id="rId46" Type="http://schemas.openxmlformats.org/officeDocument/2006/relationships/hyperlink" Target="http://www.sec.gov/Archives/edgar/data/1539838/000153983819000008/diamondback201810-kxex48.htm" TargetMode="External"/><Relationship Id="rId47" Type="http://schemas.openxmlformats.org/officeDocument/2006/relationships/hyperlink" Target="http://www.sec.gov/Archives/edgar/data/1539838/000153983819000008/diamondback201810-kxex49.htm" TargetMode="External"/><Relationship Id="rId48" Type="http://schemas.openxmlformats.org/officeDocument/2006/relationships/hyperlink" Target="http://www.sec.gov/Archives/edgar/data/1539838/000153983819000127/diamondbackex41-12x5x19.htm" TargetMode="External"/><Relationship Id="rId49" Type="http://schemas.openxmlformats.org/officeDocument/2006/relationships/hyperlink" Target="http://www.sec.gov/Archives/edgar/data/1539838/000153983819000127/diamondbackex42-12x5x19.htm" TargetMode="External"/><Relationship Id="rId50" Type="http://schemas.openxmlformats.org/officeDocument/2006/relationships/hyperlink" Target="http://www.sec.gov/Archives/edgar/data/1602065/000110465919054635/tm19193893_ex4-1.htm" TargetMode="External"/><Relationship Id="rId51" Type="http://schemas.openxmlformats.org/officeDocument/2006/relationships/hyperlink" Target="http://www.sec.gov/Archives/edgar/data/1539838/000153983819000103/diamondbackex101-9x4x19.htm" TargetMode="External"/><Relationship Id="rId52" Type="http://schemas.openxmlformats.org/officeDocument/2006/relationships/hyperlink" Target="http://www.sec.gov/Archives/edgar/data/1602065/000110465919054635/tm19193893_ex10-2.htm" TargetMode="External"/><Relationship Id="rId53" Type="http://schemas.openxmlformats.org/officeDocument/2006/relationships/hyperlink" Target="http://www.sec.gov/Archives/edgar/data/1539838/000153983817000040/diamondbackex41-3x6x17.htm" TargetMode="External"/><Relationship Id="rId54" Type="http://schemas.openxmlformats.org/officeDocument/2006/relationships/hyperlink" Target="http://www.sec.gov/Archives/edgar/data/1539838/000153983818000117/exhibit410.htm" TargetMode="External"/><Relationship Id="rId55" Type="http://schemas.openxmlformats.org/officeDocument/2006/relationships/hyperlink" Target="http://www.sec.gov/Archives/edgar/data/277595/0000950109-96-005681.txt" TargetMode="External"/><Relationship Id="rId56" Type="http://schemas.openxmlformats.org/officeDocument/2006/relationships/hyperlink" Target="http://www.sec.gov/Archives/edgar/data/1539838/000153983816000181/a2016additionalproxymateri.htm" TargetMode="External"/><Relationship Id="rId57" Type="http://schemas.openxmlformats.org/officeDocument/2006/relationships/hyperlink" Target="http://www.sec.gov/Archives/edgar/data/1539838/000119312512360997/d295327dex1015.htm" TargetMode="External"/><Relationship Id="rId58" Type="http://schemas.openxmlformats.org/officeDocument/2006/relationships/hyperlink" Target="http://www.sec.gov/Archives/edgar/data/1539838/000153983814000043/ex10_1diamondback2014ex.htm" TargetMode="External"/><Relationship Id="rId59" Type="http://schemas.openxmlformats.org/officeDocument/2006/relationships/hyperlink" Target="http://www.sec.gov/Archives/edgar/data/1539838/000153983814000018/ex10_1db2014awardstimebase.htm" TargetMode="External"/><Relationship Id="rId60" Type="http://schemas.openxmlformats.org/officeDocument/2006/relationships/hyperlink" Target="http://www.sec.gov/Archives/edgar/data/1539838/000153983814000018/ex10_2db2014tsrperformance.htm" TargetMode="External"/><Relationship Id="rId61" Type="http://schemas.openxmlformats.org/officeDocument/2006/relationships/hyperlink" Target="http://www.sec.gov/Archives/edgar/data/1539838/000153983813000013/ex1038-formofamendemnttors.htm" TargetMode="External"/><Relationship Id="rId62" Type="http://schemas.openxmlformats.org/officeDocument/2006/relationships/hyperlink" Target="http://www.sec.gov/Archives/edgar/data/1539838/000153983813000093/ex10_3diamondbacksecondame.htm" TargetMode="External"/><Relationship Id="rId63" Type="http://schemas.openxmlformats.org/officeDocument/2006/relationships/hyperlink" Target="http://www.sec.gov/Archives/edgar/data/1539838/000153983814000081/ex10_4firstamendmenttoseco.htm" TargetMode="External"/><Relationship Id="rId64" Type="http://schemas.openxmlformats.org/officeDocument/2006/relationships/hyperlink" Target="http://www.sec.gov/Archives/edgar/data/1539838/000119312514416704/d822128dex102.htm" TargetMode="External"/><Relationship Id="rId65" Type="http://schemas.openxmlformats.org/officeDocument/2006/relationships/hyperlink" Target="http://www.sec.gov/Archives/edgar/data/1539838/000153983816000195/diamondbackexhibit101-6x27.htm" TargetMode="External"/><Relationship Id="rId66" Type="http://schemas.openxmlformats.org/officeDocument/2006/relationships/hyperlink" Target="http://www.sec.gov/Archives/edgar/data/1539838/000153983816000270/diamondbackex102-12x20x16.htm" TargetMode="External"/><Relationship Id="rId67" Type="http://schemas.openxmlformats.org/officeDocument/2006/relationships/hyperlink" Target="http://www.sec.gov/Archives/edgar/data/1539838/000153983817000135/diamondbackex101-12x4x17.htm" TargetMode="External"/><Relationship Id="rId68" Type="http://schemas.openxmlformats.org/officeDocument/2006/relationships/hyperlink" Target="http://www.sec.gov/Archives/edgar/data/1539838/000153983818000111/diamondbackex101-11x1x18.htm" TargetMode="External"/><Relationship Id="rId69" Type="http://schemas.openxmlformats.org/officeDocument/2006/relationships/hyperlink" Target="http://www.sec.gov/Archives/edgar/data/1539838/000119312518343869/d661873dex101.htm" TargetMode="External"/><Relationship Id="rId70" Type="http://schemas.openxmlformats.org/officeDocument/2006/relationships/hyperlink" Target="http://www.sec.gov/Archives/edgar/data/1539838/000153983819000043/diamondbackex101-3x29x19.htm" TargetMode="External"/><Relationship Id="rId71" Type="http://schemas.openxmlformats.org/officeDocument/2006/relationships/hyperlink" Target="http://www.sec.gov/Archives/edgar/data/1539838/000153983819000082/diamondbackex10-1x7x3x19.htm" TargetMode="External"/><Relationship Id="rId72" Type="http://schemas.openxmlformats.org/officeDocument/2006/relationships/hyperlink" Target="http://www.sec.gov/Archives/edgar/data/1602065/000119312514245558/d743920dex101.htm" TargetMode="External"/><Relationship Id="rId73" Type="http://schemas.openxmlformats.org/officeDocument/2006/relationships/hyperlink" Target="http://www.sec.gov/Archives/edgar/data/1602065/000160206518000027/viperex101-7x26x18.htm" TargetMode="External"/><Relationship Id="rId74" Type="http://schemas.openxmlformats.org/officeDocument/2006/relationships/hyperlink" Target="http://www.sec.gov/Archives/edgar/data/1602065/000160206519000040/viperex101-9x30x19.htm" TargetMode="External"/><Relationship Id="rId75" Type="http://schemas.openxmlformats.org/officeDocument/2006/relationships/hyperlink" Target="http://www.sec.gov/Archives/edgar/data/1602065/000160206519000042/viperex101-10x10x19.htm" TargetMode="External"/><Relationship Id="rId76" Type="http://schemas.openxmlformats.org/officeDocument/2006/relationships/hyperlink" Target="http://www.sec.gov/Archives/edgar/data/1748773/000119312519159754/d751257dex102.htm" TargetMode="External"/><Relationship Id="rId77" Type="http://schemas.openxmlformats.org/officeDocument/2006/relationships/hyperlink" Target="http://www.sec.gov/Archives/edgar/data/1748773/000174877319000010/rattlerex101-10x28x19.htm" TargetMode="External"/><Relationship Id="rId78" Type="http://schemas.openxmlformats.org/officeDocument/2006/relationships/hyperlink" Target="http://www.sec.gov/Archives/edgar/data/1539838/000119312518347161/d672709dex101.htm" TargetMode="External"/><Relationship Id="rId79" Type="http://schemas.openxmlformats.org/officeDocument/2006/relationships/hyperlink" Target="http://www.sec.gov/Archives/edgar/data/277595/000027759517000067/egn93017exhibit10b.htm" TargetMode="External"/><Relationship Id="rId80" Type="http://schemas.openxmlformats.org/officeDocument/2006/relationships/hyperlink" Target="http://www.sec.gov/Archives/edgar/data/1539838/000119312518339924/d667200dex47.htm" TargetMode="External"/><Relationship Id="rId81" Type="http://schemas.openxmlformats.org/officeDocument/2006/relationships/hyperlink" Target="http://www.sec.gov/Archives/edgar/data/3146/000027759513000012/exhibit10r.htm" TargetMode="External"/><Relationship Id="rId82" Type="http://schemas.openxmlformats.org/officeDocument/2006/relationships/hyperlink" Target="http://www.sec.gov/Archives/edgar/data/3146/000027759513000012/exhibit10s.htm" TargetMode="External"/><Relationship Id="rId83" Type="http://schemas.openxmlformats.org/officeDocument/2006/relationships/hyperlink" Target="http://www.sec.gov/Archives/edgar/data/3146/000119312513471062/d642324dex102.htm" TargetMode="External"/><Relationship Id="rId84" Type="http://schemas.openxmlformats.org/officeDocument/2006/relationships/hyperlink" Target="http://www.sec.gov/Archives/edgar/data/3146/000027759513000012/exhibit10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2020-02-27T05:30:12Z</dcterms:created>
  <dcterms:modified xsi:type="dcterms:W3CDTF">2020-02-27T05:30:12Z</dcterms:modified>
</cp:coreProperties>
</file>